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第</w:t>
      </w:r>
      <w:r>
        <w:rPr>
          <w:rFonts w:hint="eastAsia" w:ascii="方正小标宋简体" w:hAnsi="方正小标宋简体" w:eastAsia="方正小标宋简体" w:cs="方正小标宋简体"/>
          <w:bCs/>
          <w:color w:val="auto"/>
          <w:kern w:val="0"/>
          <w:sz w:val="44"/>
          <w:szCs w:val="44"/>
        </w:rPr>
        <w:t>三</w:t>
      </w:r>
      <w:r>
        <w:rPr>
          <w:rFonts w:hint="eastAsia" w:ascii="方正小标宋简体" w:hAnsi="方正小标宋简体" w:eastAsia="方正小标宋简体" w:cs="方正小标宋简体"/>
          <w:bCs/>
          <w:color w:val="auto"/>
          <w:kern w:val="0"/>
          <w:sz w:val="44"/>
          <w:szCs w:val="44"/>
        </w:rPr>
        <w:t>部分</w:t>
      </w:r>
      <w:r>
        <w:rPr>
          <w:rFonts w:hint="eastAsia" w:ascii="方正小标宋简体" w:hAnsi="方正小标宋简体" w:eastAsia="方正小标宋简体" w:cs="方正小标宋简体"/>
          <w:bCs/>
          <w:color w:val="auto"/>
          <w:kern w:val="0"/>
          <w:sz w:val="44"/>
          <w:szCs w:val="44"/>
        </w:rPr>
        <w:t>相关</w:t>
      </w:r>
      <w:r>
        <w:rPr>
          <w:rFonts w:hint="eastAsia" w:ascii="方正小标宋简体" w:hAnsi="方正小标宋简体" w:eastAsia="方正小标宋简体" w:cs="方正小标宋简体"/>
          <w:bCs/>
          <w:color w:val="auto"/>
          <w:kern w:val="0"/>
          <w:sz w:val="44"/>
          <w:szCs w:val="44"/>
        </w:rPr>
        <w:t>说明</w:t>
      </w:r>
    </w:p>
    <w:p>
      <w:pPr>
        <w:widowControl/>
        <w:spacing w:line="600" w:lineRule="exact"/>
        <w:jc w:val="left"/>
        <w:rPr>
          <w:rFonts w:eastAsia="仿宋_GB2312"/>
          <w:b/>
          <w:bCs/>
          <w:color w:val="auto"/>
          <w:kern w:val="0"/>
          <w:sz w:val="32"/>
          <w:szCs w:val="32"/>
        </w:rPr>
      </w:pPr>
    </w:p>
    <w:p>
      <w:pPr>
        <w:widowControl/>
        <w:spacing w:line="360" w:lineRule="auto"/>
        <w:ind w:firstLine="627" w:firstLineChars="196"/>
        <w:rPr>
          <w:rFonts w:eastAsia="黑体"/>
          <w:bCs/>
          <w:color w:val="auto"/>
          <w:kern w:val="0"/>
          <w:sz w:val="32"/>
          <w:szCs w:val="32"/>
        </w:rPr>
      </w:pPr>
      <w:r>
        <w:rPr>
          <w:rFonts w:eastAsia="黑体"/>
          <w:bCs/>
          <w:color w:val="auto"/>
          <w:kern w:val="0"/>
          <w:sz w:val="32"/>
          <w:szCs w:val="32"/>
        </w:rPr>
        <w:t>一、税收返还和转移支付情况</w:t>
      </w:r>
    </w:p>
    <w:p>
      <w:pPr>
        <w:spacing w:line="360" w:lineRule="auto"/>
        <w:ind w:firstLine="640" w:firstLineChars="200"/>
        <w:rPr>
          <w:rFonts w:eastAsia="仿宋_GB2312"/>
          <w:color w:val="auto"/>
          <w:sz w:val="32"/>
          <w:szCs w:val="32"/>
        </w:rPr>
      </w:pPr>
      <w:r>
        <w:rPr>
          <w:rFonts w:hint="eastAsia" w:eastAsia="仿宋_GB2312"/>
          <w:color w:val="auto"/>
          <w:sz w:val="32"/>
          <w:szCs w:val="32"/>
        </w:rPr>
        <w:t>2023</w:t>
      </w:r>
      <w:r>
        <w:rPr>
          <w:rFonts w:eastAsia="仿宋_GB2312"/>
          <w:color w:val="auto"/>
          <w:sz w:val="32"/>
          <w:szCs w:val="32"/>
        </w:rPr>
        <w:t>年，</w:t>
      </w:r>
      <w:r>
        <w:rPr>
          <w:rFonts w:hint="eastAsia" w:eastAsia="仿宋_GB2312"/>
          <w:color w:val="auto"/>
          <w:sz w:val="32"/>
          <w:szCs w:val="32"/>
        </w:rPr>
        <w:t>新邵县</w:t>
      </w:r>
      <w:r>
        <w:rPr>
          <w:rFonts w:eastAsia="仿宋_GB2312"/>
          <w:color w:val="auto"/>
          <w:sz w:val="32"/>
          <w:szCs w:val="32"/>
        </w:rPr>
        <w:t>对下</w:t>
      </w:r>
      <w:r>
        <w:rPr>
          <w:rFonts w:eastAsia="仿宋_GB2312"/>
          <w:color w:val="auto"/>
          <w:sz w:val="32"/>
          <w:szCs w:val="32"/>
        </w:rPr>
        <w:t>税收返还和转移支付预算</w:t>
      </w:r>
      <w:r>
        <w:rPr>
          <w:rFonts w:hint="eastAsia" w:eastAsia="仿宋_GB2312"/>
          <w:color w:val="auto"/>
          <w:sz w:val="32"/>
          <w:szCs w:val="32"/>
        </w:rPr>
        <w:t>405190万元</w:t>
      </w:r>
      <w:r>
        <w:rPr>
          <w:rFonts w:eastAsia="仿宋_GB2312"/>
          <w:color w:val="auto"/>
          <w:sz w:val="32"/>
          <w:szCs w:val="32"/>
        </w:rPr>
        <w:t>，比上年</w:t>
      </w:r>
      <w:r>
        <w:rPr>
          <w:rFonts w:hint="eastAsia" w:eastAsia="仿宋_GB2312"/>
          <w:color w:val="auto"/>
          <w:sz w:val="32"/>
          <w:szCs w:val="32"/>
        </w:rPr>
        <w:t>减少27573万元</w:t>
      </w:r>
      <w:r>
        <w:rPr>
          <w:rFonts w:eastAsia="仿宋_GB2312"/>
          <w:color w:val="auto"/>
          <w:sz w:val="32"/>
          <w:szCs w:val="32"/>
        </w:rPr>
        <w:t>，</w:t>
      </w:r>
      <w:r>
        <w:rPr>
          <w:rFonts w:hint="eastAsia" w:eastAsia="仿宋_GB2312"/>
          <w:color w:val="auto"/>
          <w:sz w:val="32"/>
          <w:szCs w:val="32"/>
        </w:rPr>
        <w:t>降</w:t>
      </w:r>
      <w:r>
        <w:rPr>
          <w:rFonts w:hint="eastAsia" w:eastAsia="仿宋_GB2312"/>
          <w:color w:val="auto"/>
          <w:sz w:val="32"/>
          <w:szCs w:val="32"/>
          <w:lang w:val="en-US" w:eastAsia="zh-CN"/>
        </w:rPr>
        <w:t>低</w:t>
      </w:r>
      <w:r>
        <w:rPr>
          <w:rFonts w:hint="eastAsia" w:eastAsia="仿宋_GB2312"/>
          <w:color w:val="auto"/>
          <w:sz w:val="32"/>
          <w:szCs w:val="32"/>
        </w:rPr>
        <w:t>6.37%</w:t>
      </w:r>
      <w:r>
        <w:rPr>
          <w:rFonts w:eastAsia="仿宋_GB2312"/>
          <w:color w:val="auto"/>
          <w:sz w:val="32"/>
          <w:szCs w:val="32"/>
        </w:rPr>
        <w:t>。</w:t>
      </w:r>
      <w:r>
        <w:rPr>
          <w:rFonts w:eastAsia="仿宋_GB2312"/>
          <w:color w:val="auto"/>
          <w:sz w:val="32"/>
          <w:szCs w:val="32"/>
        </w:rPr>
        <w:t>其中：</w:t>
      </w:r>
    </w:p>
    <w:p>
      <w:pPr>
        <w:spacing w:line="360" w:lineRule="auto"/>
        <w:ind w:firstLine="643" w:firstLineChars="200"/>
        <w:rPr>
          <w:rFonts w:eastAsia="楷体_GB2312"/>
          <w:b/>
          <w:color w:val="auto"/>
          <w:sz w:val="32"/>
          <w:szCs w:val="32"/>
        </w:rPr>
      </w:pPr>
      <w:r>
        <w:rPr>
          <w:rFonts w:eastAsia="楷体_GB2312"/>
          <w:b/>
          <w:color w:val="auto"/>
          <w:sz w:val="32"/>
          <w:szCs w:val="32"/>
        </w:rPr>
        <w:t>（一）税收返还</w:t>
      </w:r>
    </w:p>
    <w:p>
      <w:pPr>
        <w:spacing w:line="360" w:lineRule="auto"/>
        <w:ind w:firstLine="640" w:firstLineChars="200"/>
        <w:rPr>
          <w:rFonts w:eastAsia="仿宋_GB2312"/>
          <w:color w:val="auto"/>
          <w:sz w:val="32"/>
          <w:szCs w:val="32"/>
        </w:rPr>
      </w:pPr>
      <w:r>
        <w:rPr>
          <w:rFonts w:eastAsia="仿宋_GB2312"/>
          <w:color w:val="auto"/>
          <w:sz w:val="32"/>
          <w:szCs w:val="32"/>
        </w:rPr>
        <w:t>税收返还</w:t>
      </w:r>
      <w:r>
        <w:rPr>
          <w:rFonts w:hint="eastAsia" w:eastAsia="仿宋_GB2312"/>
          <w:color w:val="auto"/>
          <w:sz w:val="32"/>
          <w:szCs w:val="32"/>
        </w:rPr>
        <w:t>5600万元</w:t>
      </w:r>
      <w:r>
        <w:rPr>
          <w:rFonts w:eastAsia="仿宋_GB2312"/>
          <w:color w:val="auto"/>
          <w:sz w:val="32"/>
          <w:szCs w:val="32"/>
        </w:rPr>
        <w:t>，与上年</w:t>
      </w:r>
      <w:r>
        <w:rPr>
          <w:rFonts w:hint="eastAsia" w:eastAsia="仿宋_GB2312"/>
          <w:color w:val="auto"/>
          <w:sz w:val="32"/>
          <w:szCs w:val="32"/>
        </w:rPr>
        <w:t>持平</w:t>
      </w:r>
      <w:r>
        <w:rPr>
          <w:rFonts w:eastAsia="仿宋_GB2312"/>
          <w:color w:val="auto"/>
          <w:sz w:val="32"/>
          <w:szCs w:val="32"/>
        </w:rPr>
        <w:t>。其中：</w:t>
      </w:r>
    </w:p>
    <w:p>
      <w:pPr>
        <w:spacing w:line="360" w:lineRule="auto"/>
        <w:ind w:firstLine="640" w:firstLineChars="200"/>
        <w:rPr>
          <w:rFonts w:eastAsia="仿宋_GB2312"/>
          <w:color w:val="auto"/>
          <w:sz w:val="32"/>
          <w:szCs w:val="32"/>
        </w:rPr>
      </w:pPr>
      <w:r>
        <w:rPr>
          <w:rFonts w:eastAsia="仿宋_GB2312"/>
          <w:color w:val="auto"/>
          <w:sz w:val="32"/>
          <w:szCs w:val="32"/>
        </w:rPr>
        <w:t>增值税</w:t>
      </w:r>
      <w:r>
        <w:rPr>
          <w:rFonts w:hint="eastAsia" w:eastAsia="仿宋_GB2312"/>
          <w:color w:val="auto"/>
          <w:sz w:val="32"/>
          <w:szCs w:val="32"/>
        </w:rPr>
        <w:t>和消费</w:t>
      </w:r>
      <w:r>
        <w:rPr>
          <w:rFonts w:eastAsia="仿宋_GB2312"/>
          <w:color w:val="auto"/>
          <w:sz w:val="32"/>
          <w:szCs w:val="32"/>
        </w:rPr>
        <w:t>税收返还</w:t>
      </w:r>
      <w:r>
        <w:rPr>
          <w:rFonts w:hint="eastAsia" w:eastAsia="仿宋_GB2312"/>
          <w:color w:val="auto"/>
          <w:sz w:val="32"/>
          <w:szCs w:val="32"/>
        </w:rPr>
        <w:t>3222万元</w:t>
      </w:r>
      <w:r>
        <w:rPr>
          <w:rFonts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消费税税收返还</w:t>
      </w:r>
      <w:r>
        <w:rPr>
          <w:rFonts w:hint="eastAsia" w:eastAsia="仿宋_GB2312"/>
          <w:color w:val="auto"/>
          <w:sz w:val="32"/>
          <w:szCs w:val="32"/>
        </w:rPr>
        <w:t>5万元</w:t>
      </w:r>
      <w:r>
        <w:rPr>
          <w:rFonts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所得税基数返还</w:t>
      </w:r>
      <w:r>
        <w:rPr>
          <w:rFonts w:hint="eastAsia" w:eastAsia="仿宋_GB2312"/>
          <w:color w:val="auto"/>
          <w:sz w:val="32"/>
          <w:szCs w:val="32"/>
        </w:rPr>
        <w:t>420万元</w:t>
      </w:r>
      <w:r>
        <w:rPr>
          <w:rFonts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成品油税费改革税收返还</w:t>
      </w:r>
      <w:r>
        <w:rPr>
          <w:rFonts w:hint="eastAsia" w:eastAsia="仿宋_GB2312"/>
          <w:color w:val="auto"/>
          <w:sz w:val="32"/>
          <w:szCs w:val="32"/>
        </w:rPr>
        <w:t>807万元</w:t>
      </w:r>
      <w:r>
        <w:rPr>
          <w:rFonts w:eastAsia="仿宋_GB2312"/>
          <w:color w:val="auto"/>
          <w:sz w:val="32"/>
          <w:szCs w:val="32"/>
        </w:rPr>
        <w:t>;</w:t>
      </w:r>
    </w:p>
    <w:p>
      <w:pPr>
        <w:spacing w:line="360" w:lineRule="auto"/>
        <w:ind w:firstLine="640" w:firstLineChars="200"/>
        <w:rPr>
          <w:rFonts w:eastAsia="仿宋_GB2312"/>
          <w:color w:val="auto"/>
          <w:sz w:val="32"/>
          <w:szCs w:val="32"/>
        </w:rPr>
      </w:pPr>
      <w:r>
        <w:rPr>
          <w:rFonts w:eastAsia="仿宋_GB2312"/>
          <w:color w:val="auto"/>
          <w:sz w:val="32"/>
          <w:szCs w:val="32"/>
        </w:rPr>
        <w:t>其他税收返还</w:t>
      </w:r>
      <w:r>
        <w:rPr>
          <w:rFonts w:hint="eastAsia" w:eastAsia="仿宋_GB2312"/>
          <w:color w:val="auto"/>
          <w:sz w:val="32"/>
          <w:szCs w:val="32"/>
        </w:rPr>
        <w:t>1146万元</w:t>
      </w:r>
      <w:r>
        <w:rPr>
          <w:rFonts w:eastAsia="仿宋_GB2312"/>
          <w:color w:val="auto"/>
          <w:sz w:val="32"/>
          <w:szCs w:val="32"/>
        </w:rPr>
        <w:t>;</w:t>
      </w:r>
    </w:p>
    <w:p>
      <w:pPr>
        <w:spacing w:line="360" w:lineRule="auto"/>
        <w:ind w:firstLine="643" w:firstLineChars="200"/>
        <w:rPr>
          <w:rFonts w:eastAsia="楷体_GB2312"/>
          <w:b/>
          <w:color w:val="auto"/>
          <w:sz w:val="32"/>
          <w:szCs w:val="32"/>
        </w:rPr>
      </w:pPr>
      <w:r>
        <w:rPr>
          <w:rFonts w:eastAsia="楷体_GB2312"/>
          <w:b/>
          <w:color w:val="auto"/>
          <w:sz w:val="32"/>
          <w:szCs w:val="32"/>
        </w:rPr>
        <w:t>（二）一般性转移支付</w:t>
      </w:r>
    </w:p>
    <w:p>
      <w:pPr>
        <w:spacing w:line="360" w:lineRule="auto"/>
        <w:ind w:firstLine="640" w:firstLineChars="200"/>
        <w:rPr>
          <w:rFonts w:eastAsia="仿宋_GB2312"/>
          <w:color w:val="auto"/>
          <w:sz w:val="32"/>
          <w:szCs w:val="32"/>
        </w:rPr>
      </w:pPr>
      <w:r>
        <w:rPr>
          <w:rFonts w:eastAsia="仿宋_GB2312"/>
          <w:color w:val="auto"/>
          <w:sz w:val="32"/>
          <w:szCs w:val="32"/>
        </w:rPr>
        <w:t>一般性转移支付</w:t>
      </w:r>
      <w:r>
        <w:rPr>
          <w:rFonts w:hint="eastAsia" w:eastAsia="仿宋_GB2312"/>
          <w:color w:val="auto"/>
          <w:sz w:val="32"/>
          <w:szCs w:val="32"/>
        </w:rPr>
        <w:t>350304万元</w:t>
      </w:r>
      <w:r>
        <w:rPr>
          <w:rFonts w:eastAsia="仿宋_GB2312"/>
          <w:color w:val="auto"/>
          <w:sz w:val="32"/>
          <w:szCs w:val="32"/>
        </w:rPr>
        <w:t>，比上年</w:t>
      </w:r>
      <w:r>
        <w:rPr>
          <w:rFonts w:hint="eastAsia" w:eastAsia="仿宋_GB2312"/>
          <w:color w:val="auto"/>
          <w:sz w:val="32"/>
          <w:szCs w:val="32"/>
        </w:rPr>
        <w:t>减少24630万元</w:t>
      </w:r>
      <w:r>
        <w:rPr>
          <w:rFonts w:eastAsia="仿宋_GB2312"/>
          <w:color w:val="auto"/>
          <w:sz w:val="32"/>
          <w:szCs w:val="32"/>
        </w:rPr>
        <w:t>，</w:t>
      </w:r>
      <w:r>
        <w:rPr>
          <w:rFonts w:hint="eastAsia" w:eastAsia="仿宋_GB2312"/>
          <w:color w:val="auto"/>
          <w:sz w:val="32"/>
          <w:szCs w:val="32"/>
        </w:rPr>
        <w:t>下降6.5%</w:t>
      </w:r>
      <w:r>
        <w:rPr>
          <w:rFonts w:hint="eastAsia" w:eastAsia="仿宋_GB2312"/>
          <w:color w:val="auto"/>
          <w:sz w:val="32"/>
          <w:szCs w:val="32"/>
          <w:lang w:eastAsia="zh-CN"/>
        </w:rPr>
        <w:t>。</w:t>
      </w:r>
      <w:r>
        <w:rPr>
          <w:rFonts w:eastAsia="仿宋_GB2312"/>
          <w:color w:val="auto"/>
          <w:sz w:val="32"/>
          <w:szCs w:val="32"/>
        </w:rPr>
        <w:t>主要是</w:t>
      </w:r>
      <w:r>
        <w:rPr>
          <w:rFonts w:hint="eastAsia" w:eastAsia="仿宋_GB2312"/>
          <w:color w:val="auto"/>
          <w:sz w:val="32"/>
          <w:szCs w:val="32"/>
        </w:rPr>
        <w:t>2023年预算剔除了2022年省对市县区一次性补助</w:t>
      </w:r>
      <w:r>
        <w:rPr>
          <w:rFonts w:eastAsia="仿宋_GB2312"/>
          <w:color w:val="auto"/>
          <w:sz w:val="32"/>
          <w:szCs w:val="32"/>
        </w:rPr>
        <w:t>。其中：</w:t>
      </w:r>
    </w:p>
    <w:p>
      <w:pPr>
        <w:spacing w:line="360" w:lineRule="auto"/>
        <w:ind w:firstLine="640" w:firstLineChars="200"/>
        <w:rPr>
          <w:rFonts w:eastAsia="仿宋_GB2312"/>
          <w:color w:val="auto"/>
          <w:sz w:val="32"/>
          <w:szCs w:val="32"/>
        </w:rPr>
      </w:pPr>
      <w:r>
        <w:rPr>
          <w:rFonts w:hint="eastAsia" w:eastAsia="仿宋_GB2312"/>
          <w:color w:val="auto"/>
          <w:sz w:val="32"/>
          <w:szCs w:val="32"/>
        </w:rPr>
        <w:t>1、体制补助收入1618万元，与上年持平。</w:t>
      </w:r>
    </w:p>
    <w:p>
      <w:pPr>
        <w:spacing w:line="360" w:lineRule="auto"/>
        <w:ind w:firstLine="640" w:firstLineChars="20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均衡性转移支付</w:t>
      </w:r>
      <w:r>
        <w:rPr>
          <w:rFonts w:hint="eastAsia" w:eastAsia="仿宋_GB2312"/>
          <w:color w:val="auto"/>
          <w:sz w:val="32"/>
          <w:szCs w:val="32"/>
        </w:rPr>
        <w:t>107149万元，</w:t>
      </w:r>
      <w:r>
        <w:rPr>
          <w:rFonts w:eastAsia="仿宋_GB2312"/>
          <w:color w:val="auto"/>
          <w:sz w:val="32"/>
          <w:szCs w:val="32"/>
        </w:rPr>
        <w:t>比上年增加</w:t>
      </w:r>
      <w:r>
        <w:rPr>
          <w:rFonts w:hint="eastAsia" w:eastAsia="仿宋_GB2312"/>
          <w:color w:val="auto"/>
          <w:sz w:val="32"/>
          <w:szCs w:val="32"/>
        </w:rPr>
        <w:t>5469万元</w:t>
      </w:r>
      <w:r>
        <w:rPr>
          <w:rFonts w:eastAsia="仿宋_GB2312"/>
          <w:color w:val="auto"/>
          <w:sz w:val="32"/>
          <w:szCs w:val="32"/>
        </w:rPr>
        <w:t>，增长</w:t>
      </w:r>
      <w:r>
        <w:rPr>
          <w:rFonts w:hint="eastAsia" w:eastAsia="仿宋_GB2312"/>
          <w:color w:val="auto"/>
          <w:sz w:val="32"/>
          <w:szCs w:val="32"/>
        </w:rPr>
        <w:t>5.38%。预算时剔除一次性财源建设奖励1531万元，按7000万元增长。</w:t>
      </w:r>
    </w:p>
    <w:p>
      <w:pPr>
        <w:spacing w:line="360" w:lineRule="auto"/>
        <w:ind w:firstLine="640" w:firstLineChars="200"/>
        <w:rPr>
          <w:rFonts w:eastAsia="仿宋_GB2312"/>
          <w:color w:val="auto"/>
          <w:sz w:val="32"/>
          <w:szCs w:val="32"/>
        </w:rPr>
      </w:pPr>
      <w:r>
        <w:rPr>
          <w:rFonts w:hint="eastAsia" w:eastAsia="仿宋_GB2312"/>
          <w:color w:val="auto"/>
          <w:sz w:val="32"/>
          <w:szCs w:val="32"/>
        </w:rPr>
        <w:t>3、县级基本财力保障机制奖补资金收入42566万元，</w:t>
      </w:r>
      <w:r>
        <w:rPr>
          <w:rFonts w:eastAsia="仿宋_GB2312"/>
          <w:color w:val="auto"/>
          <w:sz w:val="32"/>
          <w:szCs w:val="32"/>
        </w:rPr>
        <w:t>比上年增加</w:t>
      </w:r>
      <w:r>
        <w:rPr>
          <w:rFonts w:hint="eastAsia" w:eastAsia="仿宋_GB2312"/>
          <w:color w:val="auto"/>
          <w:sz w:val="32"/>
          <w:szCs w:val="32"/>
        </w:rPr>
        <w:t>3000万元</w:t>
      </w:r>
      <w:r>
        <w:rPr>
          <w:rFonts w:eastAsia="仿宋_GB2312"/>
          <w:color w:val="auto"/>
          <w:sz w:val="32"/>
          <w:szCs w:val="32"/>
        </w:rPr>
        <w:t>，增长</w:t>
      </w:r>
      <w:r>
        <w:rPr>
          <w:rFonts w:hint="eastAsia" w:eastAsia="仿宋_GB2312"/>
          <w:color w:val="auto"/>
          <w:sz w:val="32"/>
          <w:szCs w:val="32"/>
        </w:rPr>
        <w:t>7.58%。预算按3000万元每年增长。</w:t>
      </w:r>
    </w:p>
    <w:p>
      <w:pPr>
        <w:spacing w:line="360" w:lineRule="auto"/>
        <w:ind w:firstLine="640" w:firstLineChars="200"/>
        <w:rPr>
          <w:rFonts w:eastAsia="仿宋_GB2312"/>
          <w:color w:val="auto"/>
          <w:sz w:val="32"/>
          <w:szCs w:val="32"/>
        </w:rPr>
      </w:pPr>
      <w:r>
        <w:rPr>
          <w:rFonts w:hint="eastAsia" w:eastAsia="仿宋_GB2312"/>
          <w:color w:val="auto"/>
          <w:sz w:val="32"/>
          <w:szCs w:val="32"/>
        </w:rPr>
        <w:t>4、</w:t>
      </w:r>
      <w:r>
        <w:rPr>
          <w:rFonts w:eastAsia="仿宋_GB2312"/>
          <w:color w:val="auto"/>
          <w:sz w:val="32"/>
          <w:szCs w:val="32"/>
        </w:rPr>
        <w:t>结算补助</w:t>
      </w:r>
      <w:r>
        <w:rPr>
          <w:rFonts w:hint="eastAsia" w:eastAsia="仿宋_GB2312"/>
          <w:color w:val="auto"/>
          <w:sz w:val="32"/>
          <w:szCs w:val="32"/>
        </w:rPr>
        <w:t>2206万元</w:t>
      </w:r>
      <w:r>
        <w:rPr>
          <w:rFonts w:eastAsia="仿宋_GB2312"/>
          <w:color w:val="auto"/>
          <w:sz w:val="32"/>
          <w:szCs w:val="32"/>
        </w:rPr>
        <w:t>, 比上年</w:t>
      </w:r>
      <w:r>
        <w:rPr>
          <w:rFonts w:hint="eastAsia" w:eastAsia="仿宋_GB2312"/>
          <w:color w:val="auto"/>
          <w:sz w:val="32"/>
          <w:szCs w:val="32"/>
        </w:rPr>
        <w:t>减少200万元</w:t>
      </w:r>
      <w:r>
        <w:rPr>
          <w:rFonts w:eastAsia="仿宋_GB2312"/>
          <w:color w:val="auto"/>
          <w:sz w:val="32"/>
          <w:szCs w:val="32"/>
        </w:rPr>
        <w:t>，</w:t>
      </w:r>
      <w:r>
        <w:rPr>
          <w:rFonts w:hint="eastAsia" w:eastAsia="仿宋_GB2312"/>
          <w:color w:val="auto"/>
          <w:sz w:val="32"/>
          <w:szCs w:val="32"/>
        </w:rPr>
        <w:t>降低8.24%。剔除一次性补助。</w:t>
      </w:r>
    </w:p>
    <w:p>
      <w:pPr>
        <w:spacing w:line="360" w:lineRule="auto"/>
        <w:ind w:firstLine="640" w:firstLineChars="200"/>
        <w:rPr>
          <w:rFonts w:eastAsia="仿宋_GB2312"/>
          <w:color w:val="auto"/>
          <w:sz w:val="32"/>
          <w:szCs w:val="32"/>
        </w:rPr>
      </w:pPr>
      <w:r>
        <w:rPr>
          <w:rFonts w:hint="eastAsia" w:eastAsia="仿宋_GB2312"/>
          <w:color w:val="auto"/>
          <w:sz w:val="32"/>
          <w:szCs w:val="32"/>
        </w:rPr>
        <w:t>5、资源枯竭型城市转移支付补助收入558万元，与上年持平。</w:t>
      </w:r>
    </w:p>
    <w:p>
      <w:pPr>
        <w:spacing w:line="360" w:lineRule="auto"/>
        <w:ind w:firstLine="640" w:firstLineChars="200"/>
        <w:rPr>
          <w:rFonts w:hint="eastAsia" w:eastAsia="仿宋_GB2312"/>
          <w:color w:val="auto"/>
          <w:sz w:val="32"/>
          <w:szCs w:val="32"/>
          <w:lang w:eastAsia="zh-CN"/>
        </w:rPr>
      </w:pPr>
      <w:r>
        <w:rPr>
          <w:rFonts w:hint="eastAsia" w:eastAsia="仿宋_GB2312"/>
          <w:color w:val="auto"/>
          <w:sz w:val="32"/>
          <w:szCs w:val="32"/>
        </w:rPr>
        <w:t>6、企事业单位划转补助收入215万元，与上年持平</w:t>
      </w:r>
      <w:r>
        <w:rPr>
          <w:rFonts w:hint="eastAsia" w:eastAsia="仿宋_GB2312"/>
          <w:color w:val="auto"/>
          <w:sz w:val="32"/>
          <w:szCs w:val="32"/>
          <w:lang w:eastAsia="zh-CN"/>
        </w:rPr>
        <w:t>。</w:t>
      </w:r>
    </w:p>
    <w:p>
      <w:pPr>
        <w:widowControl/>
        <w:spacing w:line="360" w:lineRule="auto"/>
        <w:rPr>
          <w:rFonts w:hint="eastAsia" w:eastAsia="仿宋_GB2312"/>
          <w:color w:val="auto"/>
          <w:sz w:val="32"/>
          <w:szCs w:val="32"/>
          <w:lang w:eastAsia="zh-CN"/>
        </w:rPr>
      </w:pPr>
      <w:r>
        <w:rPr>
          <w:rFonts w:hint="eastAsia" w:eastAsia="仿宋_GB2312"/>
          <w:color w:val="auto"/>
          <w:sz w:val="32"/>
          <w:szCs w:val="32"/>
        </w:rPr>
        <w:t xml:space="preserve">    7、产粮油大县奖励转移支付收入2554万元，</w:t>
      </w:r>
      <w:r>
        <w:rPr>
          <w:rFonts w:eastAsia="仿宋_GB2312"/>
          <w:color w:val="auto"/>
          <w:sz w:val="32"/>
          <w:szCs w:val="32"/>
        </w:rPr>
        <w:t>比上年</w:t>
      </w:r>
      <w:r>
        <w:rPr>
          <w:rFonts w:hint="eastAsia" w:eastAsia="仿宋_GB2312"/>
          <w:color w:val="auto"/>
          <w:sz w:val="32"/>
          <w:szCs w:val="32"/>
        </w:rPr>
        <w:t>减少138万元</w:t>
      </w:r>
      <w:r>
        <w:rPr>
          <w:rFonts w:eastAsia="仿宋_GB2312"/>
          <w:color w:val="auto"/>
          <w:sz w:val="32"/>
          <w:szCs w:val="32"/>
        </w:rPr>
        <w:t>，</w:t>
      </w:r>
      <w:r>
        <w:rPr>
          <w:rFonts w:hint="eastAsia" w:eastAsia="仿宋_GB2312"/>
          <w:color w:val="auto"/>
          <w:sz w:val="32"/>
          <w:szCs w:val="32"/>
        </w:rPr>
        <w:t>降低5.13%。</w:t>
      </w:r>
    </w:p>
    <w:p>
      <w:pPr>
        <w:widowControl/>
        <w:spacing w:line="360" w:lineRule="auto"/>
        <w:rPr>
          <w:rFonts w:hint="eastAsia" w:eastAsia="仿宋_GB2312"/>
          <w:color w:val="auto"/>
          <w:sz w:val="32"/>
          <w:szCs w:val="32"/>
        </w:rPr>
      </w:pPr>
      <w:r>
        <w:rPr>
          <w:rFonts w:hint="eastAsia" w:eastAsia="仿宋_GB2312"/>
          <w:color w:val="auto"/>
          <w:sz w:val="32"/>
          <w:szCs w:val="32"/>
        </w:rPr>
        <w:t xml:space="preserve">    8、重点生态功能区转移支付收入6677万元，</w:t>
      </w:r>
      <w:r>
        <w:rPr>
          <w:rFonts w:eastAsia="仿宋_GB2312"/>
          <w:color w:val="auto"/>
          <w:sz w:val="32"/>
          <w:szCs w:val="32"/>
        </w:rPr>
        <w:t>比上年</w:t>
      </w:r>
      <w:r>
        <w:rPr>
          <w:rFonts w:hint="eastAsia" w:eastAsia="仿宋_GB2312"/>
          <w:color w:val="auto"/>
          <w:sz w:val="32"/>
          <w:szCs w:val="32"/>
        </w:rPr>
        <w:t>减少384万元</w:t>
      </w:r>
      <w:r>
        <w:rPr>
          <w:rFonts w:eastAsia="仿宋_GB2312"/>
          <w:color w:val="auto"/>
          <w:sz w:val="32"/>
          <w:szCs w:val="32"/>
        </w:rPr>
        <w:t>，</w:t>
      </w:r>
      <w:r>
        <w:rPr>
          <w:rFonts w:hint="eastAsia" w:eastAsia="仿宋_GB2312"/>
          <w:color w:val="auto"/>
          <w:sz w:val="32"/>
          <w:szCs w:val="32"/>
        </w:rPr>
        <w:t xml:space="preserve">降低5.44%。预算时剔除了2022年一次性生态功能县奖励384万元。  </w:t>
      </w:r>
    </w:p>
    <w:p>
      <w:pPr>
        <w:widowControl/>
        <w:spacing w:line="360" w:lineRule="auto"/>
        <w:rPr>
          <w:rFonts w:eastAsia="仿宋_GB2312"/>
          <w:color w:val="auto"/>
          <w:sz w:val="32"/>
          <w:szCs w:val="32"/>
        </w:rPr>
      </w:pPr>
      <w:r>
        <w:rPr>
          <w:rFonts w:hint="eastAsia" w:eastAsia="仿宋_GB2312"/>
          <w:color w:val="auto"/>
          <w:sz w:val="32"/>
          <w:szCs w:val="32"/>
        </w:rPr>
        <w:t xml:space="preserve">    9、固定数额补助转移支付收入14433万元，与上年持平。</w:t>
      </w:r>
    </w:p>
    <w:p>
      <w:pPr>
        <w:widowControl/>
        <w:spacing w:line="360" w:lineRule="auto"/>
        <w:rPr>
          <w:rFonts w:eastAsia="仿宋_GB2312"/>
          <w:color w:val="auto"/>
          <w:sz w:val="32"/>
          <w:szCs w:val="32"/>
        </w:rPr>
      </w:pPr>
      <w:r>
        <w:rPr>
          <w:rFonts w:hint="eastAsia" w:eastAsia="仿宋_GB2312"/>
          <w:color w:val="auto"/>
          <w:sz w:val="32"/>
          <w:szCs w:val="32"/>
        </w:rPr>
        <w:t xml:space="preserve">    10、革命老区转移支付收入180万元，与上年持平。</w:t>
      </w:r>
    </w:p>
    <w:p>
      <w:pPr>
        <w:widowControl/>
        <w:spacing w:line="360" w:lineRule="auto"/>
        <w:rPr>
          <w:rFonts w:eastAsia="仿宋_GB2312"/>
          <w:color w:val="auto"/>
          <w:sz w:val="32"/>
          <w:szCs w:val="32"/>
        </w:rPr>
      </w:pPr>
      <w:r>
        <w:rPr>
          <w:rFonts w:hint="eastAsia" w:eastAsia="仿宋_GB2312"/>
          <w:color w:val="auto"/>
          <w:sz w:val="32"/>
          <w:szCs w:val="32"/>
        </w:rPr>
        <w:t xml:space="preserve">    11、欠发达地区转移支付收入9658万元，</w:t>
      </w:r>
      <w:r>
        <w:rPr>
          <w:rFonts w:eastAsia="仿宋_GB2312"/>
          <w:color w:val="auto"/>
          <w:sz w:val="32"/>
          <w:szCs w:val="32"/>
        </w:rPr>
        <w:t>比上年</w:t>
      </w:r>
      <w:r>
        <w:rPr>
          <w:rFonts w:hint="eastAsia" w:eastAsia="仿宋_GB2312"/>
          <w:color w:val="auto"/>
          <w:sz w:val="32"/>
          <w:szCs w:val="32"/>
        </w:rPr>
        <w:t>减少1694万元</w:t>
      </w:r>
      <w:r>
        <w:rPr>
          <w:rFonts w:eastAsia="仿宋_GB2312"/>
          <w:color w:val="auto"/>
          <w:sz w:val="32"/>
          <w:szCs w:val="32"/>
        </w:rPr>
        <w:t>，</w:t>
      </w:r>
      <w:r>
        <w:rPr>
          <w:rFonts w:hint="eastAsia" w:eastAsia="仿宋_GB2312"/>
          <w:color w:val="auto"/>
          <w:sz w:val="32"/>
          <w:szCs w:val="32"/>
        </w:rPr>
        <w:t>降低14.92%。主要是2023年预算根据严谨性原则剔除了一次性奖励。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12、公共安全共同财政事权转移支付收入1687万元，与上年持平。</w:t>
      </w:r>
    </w:p>
    <w:p>
      <w:pPr>
        <w:widowControl/>
        <w:spacing w:line="360" w:lineRule="auto"/>
        <w:rPr>
          <w:rFonts w:eastAsia="仿宋_GB2312"/>
          <w:color w:val="auto"/>
          <w:sz w:val="32"/>
          <w:szCs w:val="32"/>
        </w:rPr>
      </w:pPr>
      <w:r>
        <w:rPr>
          <w:rFonts w:hint="eastAsia" w:eastAsia="仿宋_GB2312"/>
          <w:color w:val="auto"/>
          <w:sz w:val="32"/>
          <w:szCs w:val="32"/>
        </w:rPr>
        <w:t xml:space="preserve">    13、教育共同财政事权转移支付收入26853万元，</w:t>
      </w:r>
      <w:r>
        <w:rPr>
          <w:rFonts w:eastAsia="仿宋_GB2312"/>
          <w:color w:val="auto"/>
          <w:sz w:val="32"/>
          <w:szCs w:val="32"/>
        </w:rPr>
        <w:t>比上年</w:t>
      </w:r>
      <w:r>
        <w:rPr>
          <w:rFonts w:hint="eastAsia" w:eastAsia="仿宋_GB2312"/>
          <w:color w:val="auto"/>
          <w:sz w:val="32"/>
          <w:szCs w:val="32"/>
        </w:rPr>
        <w:t>减少2145万元</w:t>
      </w:r>
      <w:r>
        <w:rPr>
          <w:rFonts w:eastAsia="仿宋_GB2312"/>
          <w:color w:val="auto"/>
          <w:sz w:val="32"/>
          <w:szCs w:val="32"/>
        </w:rPr>
        <w:t>，</w:t>
      </w:r>
      <w:r>
        <w:rPr>
          <w:rFonts w:hint="eastAsia" w:eastAsia="仿宋_GB2312"/>
          <w:color w:val="auto"/>
          <w:sz w:val="32"/>
          <w:szCs w:val="32"/>
        </w:rPr>
        <w:t>降低7.39%。主要是2023年预算根据严谨性原则剔除了一次性奖励。</w:t>
      </w:r>
    </w:p>
    <w:p>
      <w:pPr>
        <w:widowControl/>
        <w:spacing w:line="360" w:lineRule="auto"/>
        <w:rPr>
          <w:rFonts w:eastAsia="仿宋_GB2312"/>
          <w:color w:val="auto"/>
          <w:sz w:val="32"/>
          <w:szCs w:val="32"/>
        </w:rPr>
      </w:pPr>
    </w:p>
    <w:p>
      <w:pPr>
        <w:widowControl/>
        <w:spacing w:line="360" w:lineRule="auto"/>
        <w:rPr>
          <w:rFonts w:eastAsia="仿宋_GB2312"/>
          <w:color w:val="auto"/>
          <w:sz w:val="32"/>
          <w:szCs w:val="32"/>
        </w:rPr>
      </w:pPr>
      <w:r>
        <w:rPr>
          <w:rFonts w:hint="eastAsia" w:eastAsia="仿宋_GB2312"/>
          <w:color w:val="auto"/>
          <w:sz w:val="32"/>
          <w:szCs w:val="32"/>
        </w:rPr>
        <w:t xml:space="preserve">    14、科学技术共同财政事权转移支付收入65万元，</w:t>
      </w:r>
      <w:r>
        <w:rPr>
          <w:rFonts w:eastAsia="仿宋_GB2312"/>
          <w:color w:val="auto"/>
          <w:sz w:val="32"/>
          <w:szCs w:val="32"/>
        </w:rPr>
        <w:t>比上年</w:t>
      </w:r>
      <w:r>
        <w:rPr>
          <w:rFonts w:hint="eastAsia" w:eastAsia="仿宋_GB2312"/>
          <w:color w:val="auto"/>
          <w:sz w:val="32"/>
          <w:szCs w:val="32"/>
        </w:rPr>
        <w:t>减少65万元</w:t>
      </w:r>
      <w:r>
        <w:rPr>
          <w:rFonts w:eastAsia="仿宋_GB2312"/>
          <w:color w:val="auto"/>
          <w:sz w:val="32"/>
          <w:szCs w:val="32"/>
        </w:rPr>
        <w:t>，</w:t>
      </w:r>
      <w:r>
        <w:rPr>
          <w:rFonts w:hint="eastAsia" w:eastAsia="仿宋_GB2312"/>
          <w:color w:val="auto"/>
          <w:sz w:val="32"/>
          <w:szCs w:val="32"/>
        </w:rPr>
        <w:t>降低50%。主要是2023年预算根据严谨性原则剔除了一次性奖励。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15、文化旅游体育与传媒共同财政事权转移支付收入733万元，</w:t>
      </w:r>
      <w:r>
        <w:rPr>
          <w:rFonts w:eastAsia="仿宋_GB2312"/>
          <w:color w:val="auto"/>
          <w:sz w:val="32"/>
          <w:szCs w:val="32"/>
        </w:rPr>
        <w:t>比上年</w:t>
      </w:r>
      <w:r>
        <w:rPr>
          <w:rFonts w:hint="eastAsia" w:eastAsia="仿宋_GB2312"/>
          <w:color w:val="auto"/>
          <w:sz w:val="32"/>
          <w:szCs w:val="32"/>
        </w:rPr>
        <w:t>减少500万元</w:t>
      </w:r>
      <w:r>
        <w:rPr>
          <w:rFonts w:eastAsia="仿宋_GB2312"/>
          <w:color w:val="auto"/>
          <w:sz w:val="32"/>
          <w:szCs w:val="32"/>
        </w:rPr>
        <w:t>，</w:t>
      </w:r>
      <w:r>
        <w:rPr>
          <w:rFonts w:hint="eastAsia" w:eastAsia="仿宋_GB2312"/>
          <w:color w:val="auto"/>
          <w:sz w:val="32"/>
          <w:szCs w:val="32"/>
        </w:rPr>
        <w:t>降低40.5%。主要是2023年预算根据严谨性原则剔除了一次性奖励。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16、社会保障和就业共同财政事权转移支付收入38607万元，</w:t>
      </w:r>
      <w:r>
        <w:rPr>
          <w:rFonts w:eastAsia="仿宋_GB2312"/>
          <w:color w:val="auto"/>
          <w:sz w:val="32"/>
          <w:szCs w:val="32"/>
        </w:rPr>
        <w:t>比上年增加</w:t>
      </w:r>
      <w:r>
        <w:rPr>
          <w:rFonts w:hint="eastAsia" w:eastAsia="仿宋_GB2312"/>
          <w:color w:val="auto"/>
          <w:sz w:val="32"/>
          <w:szCs w:val="32"/>
        </w:rPr>
        <w:t>38万元。与上年基本持平。</w:t>
      </w:r>
    </w:p>
    <w:p>
      <w:pPr>
        <w:widowControl/>
        <w:spacing w:line="360" w:lineRule="auto"/>
        <w:rPr>
          <w:rFonts w:eastAsia="仿宋_GB2312"/>
          <w:color w:val="auto"/>
          <w:sz w:val="32"/>
          <w:szCs w:val="32"/>
        </w:rPr>
      </w:pPr>
      <w:r>
        <w:rPr>
          <w:rFonts w:hint="eastAsia" w:eastAsia="仿宋_GB2312"/>
          <w:color w:val="auto"/>
          <w:sz w:val="32"/>
          <w:szCs w:val="32"/>
        </w:rPr>
        <w:t xml:space="preserve">    17、医疗卫生共同财政事权转移支付收入48120万元，</w:t>
      </w:r>
      <w:r>
        <w:rPr>
          <w:rFonts w:eastAsia="仿宋_GB2312"/>
          <w:color w:val="auto"/>
          <w:sz w:val="32"/>
          <w:szCs w:val="32"/>
        </w:rPr>
        <w:t>比上年增加</w:t>
      </w:r>
      <w:r>
        <w:rPr>
          <w:rFonts w:hint="eastAsia" w:eastAsia="仿宋_GB2312"/>
          <w:color w:val="auto"/>
          <w:sz w:val="32"/>
          <w:szCs w:val="32"/>
        </w:rPr>
        <w:t>2万元。与上年基本持平。</w:t>
      </w:r>
    </w:p>
    <w:p>
      <w:pPr>
        <w:widowControl/>
        <w:spacing w:line="360" w:lineRule="auto"/>
        <w:rPr>
          <w:rFonts w:eastAsia="仿宋_GB2312"/>
          <w:color w:val="auto"/>
          <w:sz w:val="32"/>
          <w:szCs w:val="32"/>
        </w:rPr>
      </w:pPr>
      <w:r>
        <w:rPr>
          <w:rFonts w:hint="eastAsia" w:eastAsia="仿宋_GB2312"/>
          <w:color w:val="auto"/>
          <w:sz w:val="32"/>
          <w:szCs w:val="32"/>
        </w:rPr>
        <w:t xml:space="preserve">    18、节能环保共同财政事权转移支付收入429万元，</w:t>
      </w:r>
      <w:r>
        <w:rPr>
          <w:rFonts w:eastAsia="仿宋_GB2312"/>
          <w:color w:val="auto"/>
          <w:sz w:val="32"/>
          <w:szCs w:val="32"/>
        </w:rPr>
        <w:t>比上年</w:t>
      </w:r>
      <w:r>
        <w:rPr>
          <w:rFonts w:hint="eastAsia" w:eastAsia="仿宋_GB2312"/>
          <w:color w:val="auto"/>
          <w:sz w:val="32"/>
          <w:szCs w:val="32"/>
        </w:rPr>
        <w:t>减少119万元</w:t>
      </w:r>
      <w:r>
        <w:rPr>
          <w:rFonts w:eastAsia="仿宋_GB2312"/>
          <w:color w:val="auto"/>
          <w:sz w:val="32"/>
          <w:szCs w:val="32"/>
        </w:rPr>
        <w:t>，</w:t>
      </w:r>
      <w:r>
        <w:rPr>
          <w:rFonts w:hint="eastAsia" w:eastAsia="仿宋_GB2312"/>
          <w:color w:val="auto"/>
          <w:sz w:val="32"/>
          <w:szCs w:val="32"/>
        </w:rPr>
        <w:t>降低21.72%。主要是2023年预算根据严谨性原则剔除了一次性奖励。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19、农林水共同财政事权转移支付收入33393万元，</w:t>
      </w:r>
      <w:r>
        <w:rPr>
          <w:rFonts w:eastAsia="仿宋_GB2312"/>
          <w:color w:val="auto"/>
          <w:sz w:val="32"/>
          <w:szCs w:val="32"/>
        </w:rPr>
        <w:t>比上年增加</w:t>
      </w:r>
      <w:r>
        <w:rPr>
          <w:rFonts w:hint="eastAsia" w:eastAsia="仿宋_GB2312"/>
          <w:color w:val="auto"/>
          <w:sz w:val="32"/>
          <w:szCs w:val="32"/>
        </w:rPr>
        <w:t>1672万元</w:t>
      </w:r>
      <w:r>
        <w:rPr>
          <w:rFonts w:eastAsia="仿宋_GB2312"/>
          <w:color w:val="auto"/>
          <w:sz w:val="32"/>
          <w:szCs w:val="32"/>
        </w:rPr>
        <w:t>，增长</w:t>
      </w:r>
      <w:r>
        <w:rPr>
          <w:rFonts w:hint="eastAsia" w:eastAsia="仿宋_GB2312"/>
          <w:color w:val="auto"/>
          <w:sz w:val="32"/>
          <w:szCs w:val="32"/>
        </w:rPr>
        <w:t>5.27%。</w:t>
      </w:r>
    </w:p>
    <w:p>
      <w:pPr>
        <w:widowControl/>
        <w:spacing w:line="360" w:lineRule="auto"/>
        <w:rPr>
          <w:rFonts w:eastAsia="仿宋_GB2312"/>
          <w:color w:val="auto"/>
          <w:sz w:val="32"/>
          <w:szCs w:val="32"/>
        </w:rPr>
      </w:pPr>
      <w:r>
        <w:rPr>
          <w:rFonts w:hint="eastAsia" w:eastAsia="仿宋_GB2312"/>
          <w:color w:val="auto"/>
          <w:sz w:val="32"/>
          <w:szCs w:val="32"/>
        </w:rPr>
        <w:t xml:space="preserve">    20、交通运输共同财政事权转移支付收入9682万元，</w:t>
      </w:r>
      <w:r>
        <w:rPr>
          <w:rFonts w:eastAsia="仿宋_GB2312"/>
          <w:color w:val="auto"/>
          <w:sz w:val="32"/>
          <w:szCs w:val="32"/>
        </w:rPr>
        <w:t>比上年增加</w:t>
      </w:r>
      <w:r>
        <w:rPr>
          <w:rFonts w:hint="eastAsia" w:eastAsia="仿宋_GB2312"/>
          <w:color w:val="auto"/>
          <w:sz w:val="32"/>
          <w:szCs w:val="32"/>
        </w:rPr>
        <w:t>2598万元</w:t>
      </w:r>
      <w:r>
        <w:rPr>
          <w:rFonts w:eastAsia="仿宋_GB2312"/>
          <w:color w:val="auto"/>
          <w:sz w:val="32"/>
          <w:szCs w:val="32"/>
        </w:rPr>
        <w:t>，增长</w:t>
      </w:r>
      <w:r>
        <w:rPr>
          <w:rFonts w:hint="eastAsia" w:eastAsia="仿宋_GB2312"/>
          <w:color w:val="auto"/>
          <w:sz w:val="32"/>
          <w:szCs w:val="32"/>
        </w:rPr>
        <w:t>36.67%。主要是2023年预算根据严谨性原则剔除了一次性奖励。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21、住房保障共同财政事权转移支付收入1327万元，与上年持平。</w:t>
      </w:r>
    </w:p>
    <w:p>
      <w:pPr>
        <w:widowControl/>
        <w:spacing w:line="360" w:lineRule="auto"/>
        <w:rPr>
          <w:rFonts w:eastAsia="仿宋_GB2312"/>
          <w:color w:val="auto"/>
          <w:sz w:val="32"/>
          <w:szCs w:val="32"/>
        </w:rPr>
      </w:pPr>
      <w:r>
        <w:rPr>
          <w:rFonts w:hint="eastAsia" w:eastAsia="仿宋_GB2312"/>
          <w:color w:val="auto"/>
          <w:sz w:val="32"/>
          <w:szCs w:val="32"/>
        </w:rPr>
        <w:t xml:space="preserve">    22、灾害防治及应急管理共同财政事权转移支付收入451万元。与上年持平。</w:t>
      </w:r>
    </w:p>
    <w:p>
      <w:pPr>
        <w:widowControl/>
        <w:spacing w:line="360" w:lineRule="auto"/>
        <w:rPr>
          <w:rFonts w:eastAsia="仿宋_GB2312"/>
          <w:color w:val="auto"/>
          <w:sz w:val="32"/>
          <w:szCs w:val="32"/>
        </w:rPr>
      </w:pPr>
      <w:r>
        <w:rPr>
          <w:rFonts w:hint="eastAsia" w:eastAsia="仿宋_GB2312"/>
          <w:color w:val="auto"/>
          <w:sz w:val="32"/>
          <w:szCs w:val="32"/>
        </w:rPr>
        <w:t xml:space="preserve">    23、其他一般性转移支付收入823万元，比上年减少1455万元，降低63.87%</w:t>
      </w:r>
      <w:r>
        <w:rPr>
          <w:rFonts w:hint="eastAsia" w:eastAsia="仿宋_GB2312"/>
          <w:color w:val="auto"/>
          <w:sz w:val="32"/>
          <w:szCs w:val="32"/>
          <w:lang w:eastAsia="zh-CN"/>
        </w:rPr>
        <w:t>。</w:t>
      </w:r>
      <w:r>
        <w:rPr>
          <w:rFonts w:hint="eastAsia" w:eastAsia="仿宋_GB2312"/>
          <w:color w:val="auto"/>
          <w:sz w:val="32"/>
          <w:szCs w:val="32"/>
        </w:rPr>
        <w:t>主要是2023年预算根据严谨性原则剔除了一次性奖励。</w:t>
      </w:r>
    </w:p>
    <w:p>
      <w:pPr>
        <w:spacing w:line="360" w:lineRule="auto"/>
        <w:ind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rPr>
        <w:t>（三）专项转移支付</w:t>
      </w:r>
    </w:p>
    <w:p>
      <w:pPr>
        <w:widowControl/>
        <w:spacing w:line="360" w:lineRule="auto"/>
        <w:ind w:firstLine="640" w:firstLineChars="200"/>
        <w:rPr>
          <w:rFonts w:eastAsia="仿宋_GB2312"/>
          <w:color w:val="auto"/>
          <w:sz w:val="32"/>
          <w:szCs w:val="32"/>
        </w:rPr>
      </w:pPr>
      <w:r>
        <w:rPr>
          <w:rFonts w:eastAsia="仿宋_GB2312"/>
          <w:color w:val="auto"/>
          <w:sz w:val="32"/>
          <w:szCs w:val="32"/>
        </w:rPr>
        <w:t>专项</w:t>
      </w:r>
      <w:r>
        <w:rPr>
          <w:rFonts w:eastAsia="仿宋_GB2312"/>
          <w:color w:val="auto"/>
          <w:sz w:val="32"/>
          <w:szCs w:val="32"/>
        </w:rPr>
        <w:t>转移支付</w:t>
      </w:r>
      <w:r>
        <w:rPr>
          <w:rFonts w:hint="eastAsia" w:eastAsia="仿宋_GB2312"/>
          <w:color w:val="auto"/>
          <w:sz w:val="32"/>
          <w:szCs w:val="32"/>
        </w:rPr>
        <w:t>49286万元</w:t>
      </w:r>
      <w:r>
        <w:rPr>
          <w:rFonts w:eastAsia="仿宋_GB2312"/>
          <w:color w:val="auto"/>
          <w:sz w:val="32"/>
          <w:szCs w:val="32"/>
        </w:rPr>
        <w:t>，比上年</w:t>
      </w:r>
      <w:r>
        <w:rPr>
          <w:rFonts w:hint="eastAsia" w:eastAsia="仿宋_GB2312"/>
          <w:color w:val="auto"/>
          <w:sz w:val="32"/>
          <w:szCs w:val="32"/>
        </w:rPr>
        <w:t>减少2943万元</w:t>
      </w:r>
      <w:r>
        <w:rPr>
          <w:rFonts w:eastAsia="仿宋_GB2312"/>
          <w:color w:val="auto"/>
          <w:sz w:val="32"/>
          <w:szCs w:val="32"/>
        </w:rPr>
        <w:t>，</w:t>
      </w:r>
      <w:r>
        <w:rPr>
          <w:rFonts w:hint="eastAsia" w:eastAsia="仿宋_GB2312"/>
          <w:color w:val="auto"/>
          <w:sz w:val="32"/>
          <w:szCs w:val="32"/>
        </w:rPr>
        <w:t>降低5.63%</w:t>
      </w:r>
      <w:r>
        <w:rPr>
          <w:rFonts w:eastAsia="仿宋_GB2312"/>
          <w:color w:val="auto"/>
          <w:sz w:val="32"/>
          <w:szCs w:val="32"/>
        </w:rPr>
        <w:t>，</w:t>
      </w:r>
      <w:r>
        <w:rPr>
          <w:rFonts w:hint="eastAsia" w:eastAsia="仿宋_GB2312"/>
          <w:color w:val="auto"/>
          <w:sz w:val="32"/>
          <w:szCs w:val="32"/>
        </w:rPr>
        <w:t>主要是2023年预算根据严谨性原则剔除了一次性奖励。</w:t>
      </w:r>
      <w:r>
        <w:rPr>
          <w:rFonts w:eastAsia="仿宋_GB2312"/>
          <w:color w:val="auto"/>
          <w:sz w:val="32"/>
          <w:szCs w:val="32"/>
        </w:rPr>
        <w:t>其中：</w:t>
      </w:r>
    </w:p>
    <w:p>
      <w:pPr>
        <w:widowControl/>
        <w:spacing w:line="360" w:lineRule="auto"/>
        <w:rPr>
          <w:rFonts w:eastAsia="仿宋_GB2312"/>
          <w:color w:val="auto"/>
          <w:sz w:val="32"/>
          <w:szCs w:val="32"/>
        </w:rPr>
      </w:pPr>
      <w:r>
        <w:rPr>
          <w:rFonts w:hint="eastAsia" w:eastAsia="仿宋_GB2312"/>
          <w:color w:val="auto"/>
          <w:sz w:val="32"/>
          <w:szCs w:val="32"/>
        </w:rPr>
        <w:t xml:space="preserve">    1、一般公共服务支出专项转移支付收入549万元，比上年减少293万元，降低34.8%。主要是2023年预算根据严谨性原则剔除了一次性奖励。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2、国防支出专项转移支付收入0万元，比上年减少15万元。主要是2023年预算根据严谨性原则剔除了一次性奖励。</w:t>
      </w:r>
    </w:p>
    <w:p>
      <w:pPr>
        <w:spacing w:line="360" w:lineRule="auto"/>
        <w:ind w:firstLine="640" w:firstLineChars="200"/>
        <w:rPr>
          <w:rFonts w:hint="eastAsia" w:eastAsia="仿宋_GB2312"/>
          <w:color w:val="auto"/>
          <w:sz w:val="32"/>
          <w:szCs w:val="32"/>
        </w:rPr>
      </w:pPr>
      <w:r>
        <w:rPr>
          <w:rFonts w:hint="eastAsia" w:eastAsia="仿宋_GB2312"/>
          <w:color w:val="auto"/>
          <w:sz w:val="32"/>
          <w:szCs w:val="32"/>
        </w:rPr>
        <w:t>3、公共安全支出专项转移支付收入48万元，比上年减少15万元。</w:t>
      </w:r>
    </w:p>
    <w:p>
      <w:pPr>
        <w:widowControl/>
        <w:spacing w:line="360" w:lineRule="auto"/>
        <w:rPr>
          <w:rFonts w:eastAsia="仿宋_GB2312"/>
          <w:color w:val="auto"/>
          <w:sz w:val="32"/>
          <w:szCs w:val="32"/>
        </w:rPr>
      </w:pPr>
      <w:r>
        <w:rPr>
          <w:rFonts w:hint="eastAsia" w:eastAsia="仿宋_GB2312"/>
          <w:color w:val="auto"/>
          <w:sz w:val="32"/>
          <w:szCs w:val="32"/>
        </w:rPr>
        <w:t xml:space="preserve">    4、教育支出专项转移支付收入1116万元，比上年减少173万元，降低13.42%。主要是2023年预算根据严谨性原则剔除了一次性奖励。</w:t>
      </w:r>
    </w:p>
    <w:p>
      <w:pPr>
        <w:spacing w:line="360" w:lineRule="auto"/>
        <w:ind w:firstLine="640" w:firstLineChars="200"/>
        <w:rPr>
          <w:rFonts w:hint="eastAsia" w:eastAsia="仿宋_GB2312"/>
          <w:color w:val="auto"/>
          <w:sz w:val="32"/>
          <w:szCs w:val="32"/>
        </w:rPr>
      </w:pPr>
      <w:r>
        <w:rPr>
          <w:rFonts w:hint="eastAsia" w:eastAsia="仿宋_GB2312"/>
          <w:color w:val="auto"/>
          <w:sz w:val="32"/>
          <w:szCs w:val="32"/>
        </w:rPr>
        <w:t>5、科学技术支出专项转移支付收入1419元，比上年减少33万元，降低2.27%。</w:t>
      </w:r>
    </w:p>
    <w:p>
      <w:pPr>
        <w:widowControl/>
        <w:spacing w:line="360" w:lineRule="auto"/>
        <w:rPr>
          <w:rFonts w:eastAsia="仿宋_GB2312"/>
          <w:color w:val="auto"/>
          <w:sz w:val="32"/>
          <w:szCs w:val="32"/>
        </w:rPr>
      </w:pPr>
      <w:r>
        <w:rPr>
          <w:rFonts w:hint="eastAsia" w:eastAsia="仿宋_GB2312"/>
          <w:color w:val="auto"/>
          <w:sz w:val="32"/>
          <w:szCs w:val="32"/>
        </w:rPr>
        <w:t xml:space="preserve">    6、文化体育与传媒支出专项转移支付收入330万元，比上年减少26万元，降低7.3%。主要是2023年预算根据严谨性原则剔除了一次性奖励。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7、社会保障和就业支出专项转移支付收入2986万元，比上年减少101万元，降低3.27%。主要是2023年预算根据严谨性原则剔除了一次性奖励。</w:t>
      </w:r>
    </w:p>
    <w:p>
      <w:pPr>
        <w:widowControl/>
        <w:spacing w:line="360" w:lineRule="auto"/>
        <w:rPr>
          <w:rFonts w:hint="eastAsia" w:eastAsia="仿宋_GB2312"/>
          <w:color w:val="auto"/>
          <w:sz w:val="32"/>
          <w:szCs w:val="32"/>
        </w:rPr>
      </w:pPr>
      <w:r>
        <w:rPr>
          <w:rFonts w:hint="eastAsia" w:eastAsia="仿宋_GB2312"/>
          <w:color w:val="auto"/>
          <w:sz w:val="32"/>
          <w:szCs w:val="32"/>
        </w:rPr>
        <w:t xml:space="preserve">    8、卫生健康支出专项转移支付收入615万元，比上年减少220万元，降低26.35%。主要是2023年预算根据严谨性原则剔除了一次性奖励。</w:t>
      </w:r>
    </w:p>
    <w:p>
      <w:pPr>
        <w:widowControl/>
        <w:spacing w:line="360" w:lineRule="auto"/>
        <w:rPr>
          <w:rFonts w:hint="eastAsia" w:eastAsia="仿宋_GB2312"/>
          <w:color w:val="auto"/>
          <w:sz w:val="32"/>
          <w:szCs w:val="32"/>
        </w:rPr>
      </w:pPr>
      <w:r>
        <w:rPr>
          <w:rFonts w:hint="eastAsia" w:eastAsia="仿宋_GB2312"/>
          <w:color w:val="auto"/>
          <w:sz w:val="32"/>
          <w:szCs w:val="32"/>
        </w:rPr>
        <w:t xml:space="preserve">    9、节能环保支出专项转移支付收入11959万元，比上年减少1291万元，降低9.74%。主要是2023年预算根据严谨性原则剔除了一次性奖励。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10、城乡社区支出专项转移支付收入228万元比上年减少26万元，降低12.87%。主要是2023年预算根据严谨性原则剔除了一次性奖励。</w:t>
      </w:r>
    </w:p>
    <w:p>
      <w:pPr>
        <w:widowControl/>
        <w:spacing w:line="360" w:lineRule="auto"/>
        <w:rPr>
          <w:rFonts w:eastAsia="仿宋_GB2312"/>
          <w:color w:val="auto"/>
          <w:sz w:val="32"/>
          <w:szCs w:val="32"/>
        </w:rPr>
      </w:pPr>
      <w:r>
        <w:rPr>
          <w:rFonts w:hint="eastAsia" w:eastAsia="仿宋_GB2312"/>
          <w:color w:val="auto"/>
          <w:sz w:val="32"/>
          <w:szCs w:val="32"/>
        </w:rPr>
        <w:t xml:space="preserve">   11、农林水支出专项转移支付收入14745万元，比上年减少890万元，降低6.03%</w:t>
      </w:r>
      <w:r>
        <w:rPr>
          <w:rFonts w:hint="eastAsia" w:eastAsia="仿宋_GB2312"/>
          <w:color w:val="auto"/>
          <w:sz w:val="32"/>
          <w:szCs w:val="32"/>
          <w:lang w:eastAsia="zh-CN"/>
        </w:rPr>
        <w:t>。</w:t>
      </w:r>
      <w:r>
        <w:rPr>
          <w:rFonts w:hint="eastAsia" w:eastAsia="仿宋_GB2312"/>
          <w:color w:val="auto"/>
          <w:sz w:val="32"/>
          <w:szCs w:val="32"/>
        </w:rPr>
        <w:t>主要是2023年预算根据严谨性原则剔除了一次性奖励。</w:t>
      </w:r>
    </w:p>
    <w:p>
      <w:pPr>
        <w:spacing w:line="360" w:lineRule="auto"/>
        <w:ind w:firstLine="640" w:firstLineChars="200"/>
        <w:rPr>
          <w:rFonts w:hint="eastAsia" w:eastAsia="仿宋_GB2312"/>
          <w:color w:val="auto"/>
          <w:sz w:val="32"/>
          <w:szCs w:val="32"/>
        </w:rPr>
      </w:pPr>
      <w:r>
        <w:rPr>
          <w:rFonts w:hint="eastAsia" w:eastAsia="仿宋_GB2312"/>
          <w:color w:val="auto"/>
          <w:sz w:val="32"/>
          <w:szCs w:val="32"/>
        </w:rPr>
        <w:t>12、交通运输支出专项转移支付收入8960万元，比上年增加6728万元，增长3.01倍；</w:t>
      </w:r>
    </w:p>
    <w:p>
      <w:pPr>
        <w:spacing w:line="360" w:lineRule="auto"/>
        <w:ind w:firstLine="640" w:firstLineChars="200"/>
        <w:rPr>
          <w:rFonts w:eastAsia="仿宋_GB2312"/>
          <w:color w:val="auto"/>
          <w:sz w:val="32"/>
          <w:szCs w:val="32"/>
        </w:rPr>
      </w:pPr>
      <w:r>
        <w:rPr>
          <w:rFonts w:hint="eastAsia" w:eastAsia="仿宋_GB2312"/>
          <w:color w:val="auto"/>
          <w:sz w:val="32"/>
          <w:szCs w:val="32"/>
        </w:rPr>
        <w:t>13、资源勘探信息支出专项转移支付收入为880万元，比上年增加6万元。与上年基本持平。</w:t>
      </w:r>
    </w:p>
    <w:p>
      <w:pPr>
        <w:widowControl/>
        <w:spacing w:line="360" w:lineRule="auto"/>
        <w:rPr>
          <w:rFonts w:hint="eastAsia" w:eastAsia="仿宋_GB2312"/>
          <w:color w:val="auto"/>
          <w:sz w:val="32"/>
          <w:szCs w:val="32"/>
        </w:rPr>
      </w:pPr>
      <w:r>
        <w:rPr>
          <w:rFonts w:hint="eastAsia" w:eastAsia="仿宋_GB2312"/>
          <w:color w:val="auto"/>
          <w:sz w:val="32"/>
          <w:szCs w:val="32"/>
        </w:rPr>
        <w:t xml:space="preserve">    14、商业服务业支出专项转移支付收入为638万元，比上年减少14万元，降低2.15%</w:t>
      </w:r>
      <w:r>
        <w:rPr>
          <w:rFonts w:hint="eastAsia" w:eastAsia="仿宋_GB2312"/>
          <w:color w:val="auto"/>
          <w:sz w:val="32"/>
          <w:szCs w:val="32"/>
          <w:lang w:eastAsia="zh-CN"/>
        </w:rPr>
        <w:t>。</w:t>
      </w:r>
      <w:r>
        <w:rPr>
          <w:rFonts w:hint="eastAsia" w:eastAsia="仿宋_GB2312"/>
          <w:color w:val="auto"/>
          <w:sz w:val="32"/>
          <w:szCs w:val="32"/>
        </w:rPr>
        <w:t>主要是2023年预算根据严谨性原则剔除了一次性奖励。</w:t>
      </w:r>
    </w:p>
    <w:p>
      <w:pPr>
        <w:spacing w:line="360" w:lineRule="auto"/>
        <w:ind w:firstLine="640" w:firstLineChars="200"/>
        <w:rPr>
          <w:rFonts w:eastAsia="仿宋_GB2312"/>
          <w:color w:val="auto"/>
          <w:sz w:val="32"/>
          <w:szCs w:val="32"/>
        </w:rPr>
      </w:pPr>
      <w:r>
        <w:rPr>
          <w:rFonts w:hint="eastAsia" w:eastAsia="仿宋_GB2312"/>
          <w:color w:val="auto"/>
          <w:sz w:val="32"/>
          <w:szCs w:val="32"/>
        </w:rPr>
        <w:t>15、金融支出专项转移支付收入为25万元，与上年持平。</w:t>
      </w:r>
    </w:p>
    <w:p>
      <w:pPr>
        <w:spacing w:line="360" w:lineRule="auto"/>
        <w:ind w:firstLine="640" w:firstLineChars="200"/>
        <w:rPr>
          <w:rFonts w:hint="eastAsia" w:eastAsia="仿宋_GB2312"/>
          <w:color w:val="auto"/>
          <w:sz w:val="32"/>
          <w:szCs w:val="32"/>
        </w:rPr>
      </w:pPr>
      <w:r>
        <w:rPr>
          <w:rFonts w:hint="eastAsia" w:eastAsia="仿宋_GB2312"/>
          <w:color w:val="auto"/>
          <w:sz w:val="32"/>
          <w:szCs w:val="32"/>
        </w:rPr>
        <w:t>16、自然资源海洋气象支出专项转移支付收入2664万元，比上年增加780万元，增长41.4%。</w:t>
      </w:r>
    </w:p>
    <w:p>
      <w:pPr>
        <w:widowControl/>
        <w:spacing w:line="360" w:lineRule="auto"/>
        <w:rPr>
          <w:rFonts w:hint="eastAsia" w:eastAsia="仿宋_GB2312"/>
          <w:color w:val="auto"/>
          <w:sz w:val="32"/>
          <w:szCs w:val="32"/>
        </w:rPr>
      </w:pPr>
      <w:r>
        <w:rPr>
          <w:rFonts w:hint="eastAsia" w:eastAsia="仿宋_GB2312"/>
          <w:color w:val="auto"/>
          <w:sz w:val="32"/>
          <w:szCs w:val="32"/>
        </w:rPr>
        <w:t xml:space="preserve">    17、住房保障支出专项转移支付收入1155万元，比上年减少672万元，降低36.78%。主要是2023年预算根据严谨性原则剔除了一次性奖励。</w:t>
      </w:r>
    </w:p>
    <w:p>
      <w:pPr>
        <w:spacing w:line="360" w:lineRule="auto"/>
        <w:ind w:firstLine="640" w:firstLineChars="200"/>
        <w:rPr>
          <w:rFonts w:eastAsia="仿宋_GB2312"/>
          <w:color w:val="auto"/>
          <w:sz w:val="32"/>
          <w:szCs w:val="32"/>
        </w:rPr>
      </w:pPr>
      <w:r>
        <w:rPr>
          <w:rFonts w:hint="eastAsia" w:eastAsia="仿宋_GB2312"/>
          <w:color w:val="auto"/>
          <w:sz w:val="32"/>
          <w:szCs w:val="32"/>
        </w:rPr>
        <w:t>18、粮油物资储备支出专项转移支付收入25万元，与上年基本持平。</w:t>
      </w:r>
    </w:p>
    <w:p>
      <w:pPr>
        <w:spacing w:line="360" w:lineRule="auto"/>
        <w:ind w:firstLine="640" w:firstLineChars="200"/>
        <w:rPr>
          <w:rFonts w:eastAsia="仿宋_GB2312"/>
          <w:color w:val="auto"/>
          <w:sz w:val="32"/>
          <w:szCs w:val="32"/>
        </w:rPr>
      </w:pPr>
      <w:r>
        <w:rPr>
          <w:rFonts w:hint="eastAsia" w:eastAsia="仿宋_GB2312"/>
          <w:color w:val="auto"/>
          <w:sz w:val="32"/>
          <w:szCs w:val="32"/>
        </w:rPr>
        <w:t>19、灾害防治及应急治理专项转移支付收入1834万元，比上年增加524万元，增长40%。</w:t>
      </w:r>
    </w:p>
    <w:p>
      <w:pPr>
        <w:spacing w:line="360" w:lineRule="auto"/>
        <w:rPr>
          <w:rFonts w:eastAsia="黑体"/>
          <w:color w:val="auto"/>
          <w:sz w:val="32"/>
          <w:szCs w:val="32"/>
        </w:rPr>
      </w:pPr>
      <w:r>
        <w:rPr>
          <w:rFonts w:hint="eastAsia" w:eastAsia="黑体"/>
          <w:color w:val="auto"/>
          <w:sz w:val="32"/>
          <w:szCs w:val="32"/>
        </w:rPr>
        <w:t xml:space="preserve">    </w:t>
      </w:r>
      <w:r>
        <w:rPr>
          <w:rFonts w:eastAsia="黑体"/>
          <w:color w:val="auto"/>
          <w:sz w:val="32"/>
          <w:szCs w:val="32"/>
        </w:rPr>
        <w:t>二、举借政府债务情况</w:t>
      </w:r>
    </w:p>
    <w:p>
      <w:pPr>
        <w:spacing w:line="360" w:lineRule="auto"/>
        <w:rPr>
          <w:rFonts w:eastAsia="仿宋_GB2312"/>
          <w:color w:val="auto"/>
          <w:sz w:val="32"/>
          <w:szCs w:val="32"/>
        </w:rPr>
      </w:pPr>
      <w:r>
        <w:rPr>
          <w:rFonts w:hint="eastAsia" w:eastAsia="仿宋_GB2312"/>
          <w:color w:val="auto"/>
          <w:sz w:val="32"/>
          <w:szCs w:val="32"/>
        </w:rPr>
        <w:t xml:space="preserve">    （一）2022年，政府债务总限额</w:t>
      </w:r>
      <w:r>
        <w:rPr>
          <w:rFonts w:eastAsia="仿宋_GB2312"/>
          <w:color w:val="auto"/>
          <w:sz w:val="32"/>
          <w:szCs w:val="32"/>
        </w:rPr>
        <w:t>5</w:t>
      </w:r>
      <w:r>
        <w:rPr>
          <w:rFonts w:hint="eastAsia" w:eastAsia="仿宋_GB2312"/>
          <w:color w:val="auto"/>
          <w:sz w:val="32"/>
          <w:szCs w:val="32"/>
        </w:rPr>
        <w:t>08021万元，其中一般债务限额</w:t>
      </w:r>
      <w:r>
        <w:rPr>
          <w:rFonts w:eastAsia="仿宋_GB2312"/>
          <w:color w:val="auto"/>
          <w:sz w:val="32"/>
          <w:szCs w:val="32"/>
        </w:rPr>
        <w:t>324600</w:t>
      </w:r>
      <w:r>
        <w:rPr>
          <w:rFonts w:hint="eastAsia" w:eastAsia="仿宋_GB2312"/>
          <w:color w:val="auto"/>
          <w:sz w:val="32"/>
          <w:szCs w:val="32"/>
        </w:rPr>
        <w:t>万元，专项债务限额</w:t>
      </w:r>
      <w:r>
        <w:rPr>
          <w:rFonts w:eastAsia="仿宋_GB2312"/>
          <w:color w:val="auto"/>
          <w:sz w:val="32"/>
          <w:szCs w:val="32"/>
        </w:rPr>
        <w:t>183421</w:t>
      </w:r>
      <w:r>
        <w:rPr>
          <w:rFonts w:hint="eastAsia" w:eastAsia="仿宋_GB2312"/>
          <w:color w:val="auto"/>
          <w:sz w:val="32"/>
          <w:szCs w:val="32"/>
        </w:rPr>
        <w:t>万元。截止2022年底，地方政府债务余额</w:t>
      </w:r>
      <w:r>
        <w:rPr>
          <w:rFonts w:eastAsia="仿宋_GB2312"/>
          <w:color w:val="auto"/>
          <w:sz w:val="32"/>
          <w:szCs w:val="32"/>
        </w:rPr>
        <w:t>506768</w:t>
      </w:r>
      <w:r>
        <w:rPr>
          <w:rFonts w:hint="eastAsia" w:eastAsia="仿宋_GB2312"/>
          <w:color w:val="auto"/>
          <w:sz w:val="32"/>
          <w:szCs w:val="32"/>
        </w:rPr>
        <w:t>万元，其中一般债务余额</w:t>
      </w:r>
      <w:r>
        <w:rPr>
          <w:rFonts w:eastAsia="仿宋_GB2312"/>
          <w:color w:val="auto"/>
          <w:sz w:val="32"/>
          <w:szCs w:val="32"/>
        </w:rPr>
        <w:t>32334</w:t>
      </w:r>
      <w:r>
        <w:rPr>
          <w:rFonts w:hint="eastAsia" w:eastAsia="仿宋_GB2312"/>
          <w:color w:val="auto"/>
          <w:sz w:val="32"/>
          <w:szCs w:val="32"/>
        </w:rPr>
        <w:t>7（债券</w:t>
      </w:r>
      <w:r>
        <w:rPr>
          <w:rFonts w:eastAsia="仿宋_GB2312"/>
          <w:color w:val="auto"/>
          <w:sz w:val="32"/>
          <w:szCs w:val="32"/>
        </w:rPr>
        <w:t>322550</w:t>
      </w:r>
      <w:r>
        <w:rPr>
          <w:rFonts w:hint="eastAsia" w:eastAsia="仿宋_GB2312"/>
          <w:color w:val="auto"/>
          <w:sz w:val="32"/>
          <w:szCs w:val="32"/>
        </w:rPr>
        <w:t>万元、外贷</w:t>
      </w:r>
      <w:r>
        <w:rPr>
          <w:rFonts w:eastAsia="仿宋_GB2312"/>
          <w:color w:val="auto"/>
          <w:sz w:val="32"/>
          <w:szCs w:val="32"/>
        </w:rPr>
        <w:t>79</w:t>
      </w:r>
      <w:r>
        <w:rPr>
          <w:rFonts w:hint="eastAsia" w:eastAsia="仿宋_GB2312"/>
          <w:color w:val="auto"/>
          <w:sz w:val="32"/>
          <w:szCs w:val="32"/>
        </w:rPr>
        <w:t>7万元），专项债务余额</w:t>
      </w:r>
      <w:r>
        <w:rPr>
          <w:rFonts w:eastAsia="仿宋_GB2312"/>
          <w:color w:val="auto"/>
          <w:sz w:val="32"/>
          <w:szCs w:val="32"/>
        </w:rPr>
        <w:t>183421</w:t>
      </w:r>
      <w:r>
        <w:rPr>
          <w:rFonts w:hint="eastAsia" w:eastAsia="仿宋_GB2312"/>
          <w:color w:val="auto"/>
          <w:sz w:val="32"/>
          <w:szCs w:val="32"/>
        </w:rPr>
        <w:t>万元。</w:t>
      </w:r>
    </w:p>
    <w:p>
      <w:pPr>
        <w:spacing w:line="360" w:lineRule="auto"/>
        <w:rPr>
          <w:rFonts w:eastAsia="仿宋_GB2312"/>
          <w:color w:val="auto"/>
          <w:sz w:val="32"/>
          <w:szCs w:val="32"/>
        </w:rPr>
      </w:pPr>
      <w:r>
        <w:rPr>
          <w:rFonts w:hint="eastAsia" w:eastAsia="仿宋_GB2312"/>
          <w:color w:val="auto"/>
          <w:sz w:val="32"/>
          <w:szCs w:val="32"/>
        </w:rPr>
        <w:t xml:space="preserve">    （二）2022年，省转贷新增债务限额73700万元(不含上年结余1000万元</w:t>
      </w:r>
      <w:r>
        <w:rPr>
          <w:rFonts w:eastAsia="仿宋_GB2312"/>
          <w:color w:val="auto"/>
          <w:sz w:val="32"/>
          <w:szCs w:val="32"/>
        </w:rPr>
        <w:t>)</w:t>
      </w:r>
      <w:r>
        <w:rPr>
          <w:rFonts w:hint="eastAsia" w:eastAsia="仿宋_GB2312"/>
          <w:color w:val="auto"/>
          <w:sz w:val="32"/>
          <w:szCs w:val="32"/>
        </w:rPr>
        <w:t>，其中一般债务限额15600万元(不含上年结余1000万元</w:t>
      </w:r>
      <w:r>
        <w:rPr>
          <w:rFonts w:eastAsia="仿宋_GB2312"/>
          <w:color w:val="auto"/>
          <w:sz w:val="32"/>
          <w:szCs w:val="32"/>
        </w:rPr>
        <w:t>)</w:t>
      </w:r>
      <w:r>
        <w:rPr>
          <w:rFonts w:hint="eastAsia" w:eastAsia="仿宋_GB2312"/>
          <w:color w:val="auto"/>
          <w:sz w:val="32"/>
          <w:szCs w:val="32"/>
        </w:rPr>
        <w:t>，专项债务限额58100万元，据此，发行新增债券74700万元，其中一般债券16600万元，专项债券58100万元，平均期限12.87年，平均利率3.13% 。</w:t>
      </w:r>
    </w:p>
    <w:p>
      <w:pPr>
        <w:spacing w:line="360" w:lineRule="auto"/>
        <w:rPr>
          <w:rFonts w:eastAsia="仿宋_GB2312"/>
          <w:color w:val="auto"/>
          <w:sz w:val="32"/>
          <w:szCs w:val="32"/>
        </w:rPr>
      </w:pPr>
      <w:r>
        <w:rPr>
          <w:rFonts w:hint="eastAsia" w:eastAsia="仿宋_GB2312"/>
          <w:color w:val="auto"/>
          <w:sz w:val="32"/>
          <w:szCs w:val="32"/>
        </w:rPr>
        <w:t xml:space="preserve">     2022年发行再融债券</w:t>
      </w:r>
      <w:r>
        <w:rPr>
          <w:rFonts w:eastAsia="仿宋_GB2312"/>
          <w:color w:val="auto"/>
          <w:sz w:val="32"/>
          <w:szCs w:val="32"/>
        </w:rPr>
        <w:t>75496</w:t>
      </w:r>
      <w:r>
        <w:rPr>
          <w:rFonts w:hint="eastAsia" w:eastAsia="仿宋_GB2312"/>
          <w:color w:val="auto"/>
          <w:sz w:val="32"/>
          <w:szCs w:val="32"/>
        </w:rPr>
        <w:t>万元，其中一般债券</w:t>
      </w:r>
      <w:r>
        <w:rPr>
          <w:rFonts w:eastAsia="仿宋_GB2312"/>
          <w:color w:val="auto"/>
          <w:sz w:val="32"/>
          <w:szCs w:val="32"/>
        </w:rPr>
        <w:t>75496</w:t>
      </w:r>
      <w:r>
        <w:rPr>
          <w:rFonts w:hint="eastAsia" w:eastAsia="仿宋_GB2312"/>
          <w:color w:val="auto"/>
          <w:sz w:val="32"/>
          <w:szCs w:val="32"/>
        </w:rPr>
        <w:t>万元，专项债券0万元，平均期限10年，平均利率2.88% 。</w:t>
      </w:r>
    </w:p>
    <w:p>
      <w:pPr>
        <w:spacing w:line="360" w:lineRule="auto"/>
        <w:rPr>
          <w:rFonts w:eastAsia="仿宋_GB2312"/>
          <w:color w:val="auto"/>
          <w:sz w:val="32"/>
          <w:szCs w:val="32"/>
        </w:rPr>
      </w:pPr>
      <w:r>
        <w:rPr>
          <w:rFonts w:hint="eastAsia" w:eastAsia="仿宋_GB2312"/>
          <w:color w:val="auto"/>
          <w:sz w:val="32"/>
          <w:szCs w:val="32"/>
        </w:rPr>
        <w:t xml:space="preserve">     (三）2022年偿还地方政府债务本金</w:t>
      </w:r>
      <w:r>
        <w:rPr>
          <w:rFonts w:eastAsia="仿宋_GB2312"/>
          <w:color w:val="auto"/>
          <w:sz w:val="32"/>
          <w:szCs w:val="32"/>
        </w:rPr>
        <w:t>755</w:t>
      </w:r>
      <w:r>
        <w:rPr>
          <w:rFonts w:hint="eastAsia" w:eastAsia="仿宋_GB2312"/>
          <w:color w:val="auto"/>
          <w:sz w:val="32"/>
          <w:szCs w:val="32"/>
        </w:rPr>
        <w:t>88万元（发行再融债券还本75496万元，财政安排资金偿还再融还本后的债券尾差本金6万元、外贷本金86万元），其中一般债券本金</w:t>
      </w:r>
      <w:r>
        <w:rPr>
          <w:rFonts w:eastAsia="仿宋_GB2312"/>
          <w:color w:val="auto"/>
          <w:sz w:val="32"/>
          <w:szCs w:val="32"/>
        </w:rPr>
        <w:t>755</w:t>
      </w:r>
      <w:r>
        <w:rPr>
          <w:rFonts w:hint="eastAsia" w:eastAsia="仿宋_GB2312"/>
          <w:color w:val="auto"/>
          <w:sz w:val="32"/>
          <w:szCs w:val="32"/>
        </w:rPr>
        <w:t>02万元，专项债券本金0万元，外贷本金86万元；支付地方政府债务利息16530万元，其中一般债券利息</w:t>
      </w:r>
      <w:r>
        <w:rPr>
          <w:rFonts w:eastAsia="仿宋_GB2312"/>
          <w:color w:val="auto"/>
          <w:sz w:val="32"/>
          <w:szCs w:val="32"/>
        </w:rPr>
        <w:t>1099</w:t>
      </w:r>
      <w:r>
        <w:rPr>
          <w:rFonts w:hint="eastAsia" w:eastAsia="仿宋_GB2312"/>
          <w:color w:val="auto"/>
          <w:sz w:val="32"/>
          <w:szCs w:val="32"/>
        </w:rPr>
        <w:t>4万元，专项债券利息</w:t>
      </w:r>
      <w:r>
        <w:rPr>
          <w:rFonts w:eastAsia="仿宋_GB2312"/>
          <w:color w:val="auto"/>
          <w:sz w:val="32"/>
          <w:szCs w:val="32"/>
        </w:rPr>
        <w:t>5515</w:t>
      </w:r>
      <w:r>
        <w:rPr>
          <w:rFonts w:hint="eastAsia" w:eastAsia="仿宋_GB2312"/>
          <w:color w:val="auto"/>
          <w:sz w:val="32"/>
          <w:szCs w:val="32"/>
        </w:rPr>
        <w:t>万元，外贷利息21万元。</w:t>
      </w:r>
    </w:p>
    <w:p>
      <w:pPr>
        <w:spacing w:line="360" w:lineRule="auto"/>
        <w:rPr>
          <w:rFonts w:eastAsia="仿宋_GB2312"/>
          <w:color w:val="auto"/>
          <w:sz w:val="32"/>
          <w:szCs w:val="32"/>
        </w:rPr>
      </w:pPr>
      <w:r>
        <w:rPr>
          <w:rFonts w:hint="eastAsia" w:eastAsia="仿宋_GB2312"/>
          <w:color w:val="auto"/>
          <w:sz w:val="32"/>
          <w:szCs w:val="32"/>
        </w:rPr>
        <w:t xml:space="preserve">    （四） 2023年拟发行一般债券6210万元，专项债券49600万元，再融资一般债券33178万元。</w:t>
      </w:r>
    </w:p>
    <w:p>
      <w:pPr>
        <w:spacing w:line="360" w:lineRule="auto"/>
        <w:rPr>
          <w:rFonts w:eastAsia="黑体"/>
          <w:color w:val="auto"/>
          <w:sz w:val="32"/>
          <w:szCs w:val="32"/>
        </w:rPr>
      </w:pPr>
      <w:r>
        <w:rPr>
          <w:rFonts w:hint="eastAsia" w:eastAsia="黑体"/>
          <w:color w:val="auto"/>
          <w:sz w:val="32"/>
          <w:szCs w:val="32"/>
        </w:rPr>
        <w:t xml:space="preserve">    </w:t>
      </w:r>
      <w:r>
        <w:rPr>
          <w:rFonts w:eastAsia="黑体"/>
          <w:color w:val="auto"/>
          <w:sz w:val="32"/>
          <w:szCs w:val="32"/>
        </w:rPr>
        <w:t>三、预算绩效管理工作开展情况</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根据《中共中央 国务院关于全面实施预算绩效管理的意见》</w:t>
      </w:r>
      <w:r>
        <w:rPr>
          <w:rFonts w:hint="eastAsia" w:ascii="仿宋" w:hAnsi="仿宋" w:eastAsia="仿宋" w:cs="仿宋"/>
          <w:color w:val="auto"/>
          <w:sz w:val="30"/>
          <w:szCs w:val="30"/>
        </w:rPr>
        <w:t>（中发〔2018〕34号）《中共湖南省委办公厅 湖南省人民政府办公厅关于全面实施预算绩效管理的实施意见》（湘办发〔2019〕10号）等文件精神，近</w:t>
      </w:r>
      <w:r>
        <w:rPr>
          <w:rFonts w:hint="eastAsia" w:ascii="仿宋" w:hAnsi="仿宋" w:eastAsia="仿宋"/>
          <w:color w:val="auto"/>
          <w:sz w:val="32"/>
          <w:szCs w:val="32"/>
        </w:rPr>
        <w:t>几年来，我县初步构建覆盖所有财政性资金，贯穿预算编制、执行、监督全过程的预算绩效管理体系，逐步建立起了“事前有评估、编制有目标、执行有监控、完成有评价、结果有应用”的预算绩效管理机制，“花钱必问效，无效必问责”理念已成为新邵预算绩效管理新常态。现就我县2022年工作开展情况汇报如下：</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前段工作开展情况</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建立预算绩效管理考核机制</w:t>
      </w:r>
    </w:p>
    <w:p>
      <w:pPr>
        <w:ind w:firstLine="640" w:firstLineChars="200"/>
        <w:rPr>
          <w:rFonts w:hint="eastAsia" w:ascii="仿宋" w:hAnsi="仿宋" w:eastAsia="仿宋" w:cs="宋体"/>
          <w:color w:val="auto"/>
          <w:sz w:val="32"/>
          <w:szCs w:val="32"/>
        </w:rPr>
      </w:pPr>
      <w:r>
        <w:rPr>
          <w:rFonts w:hint="eastAsia" w:ascii="仿宋" w:hAnsi="仿宋" w:eastAsia="仿宋"/>
          <w:color w:val="auto"/>
          <w:sz w:val="32"/>
          <w:szCs w:val="32"/>
        </w:rPr>
        <w:t>2022年4月，财政局出台了《新邵县预算绩效管理工作考核办法》，将预算绩效管理结果纳入对各部门各单位绩效评估指标体系和干部考核评价体系，作为政府绩效评估的计分指标和领导干部选拔任用、公务员考核的重要参考，形成“谁干事谁花钱、谁花钱谁担责”的权责机制。</w:t>
      </w:r>
    </w:p>
    <w:p>
      <w:pPr>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完善预算绩效管理制度体系</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2021年5月，正式印发《新邵县预算支出绩效运行监控管理办法》，更加有力地促进预算绩效管理工作制度化、规范化、科学化。下一步将继续完善项目事前绩效评估、绩效评价结果应用等相关制度，构建完整的预算绩效管理制度体系，使绩效管理各环节有章可循。</w:t>
      </w:r>
    </w:p>
    <w:p>
      <w:pPr>
        <w:spacing w:line="56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全过程预算绩效管理工作有序推进</w:t>
      </w:r>
    </w:p>
    <w:p>
      <w:pPr>
        <w:numPr>
          <w:numId w:val="0"/>
        </w:num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在2022年的预算绩效开展过程中，县财政局下发了《新邵县财政局关于编制2022年绩效目标的通知（新财绩</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w:t>
      </w:r>
      <w:r>
        <w:rPr>
          <w:rFonts w:hint="eastAsia" w:ascii="仿宋" w:hAnsi="仿宋" w:eastAsia="仿宋" w:cs="仿宋"/>
          <w:color w:val="auto"/>
          <w:sz w:val="32"/>
          <w:szCs w:val="32"/>
        </w:rPr>
        <w:t>198号</w:t>
      </w:r>
      <w:r>
        <w:rPr>
          <w:rFonts w:hint="eastAsia" w:ascii="仿宋" w:hAnsi="仿宋" w:eastAsia="仿宋" w:cs="宋体"/>
          <w:color w:val="auto"/>
          <w:sz w:val="32"/>
          <w:szCs w:val="32"/>
        </w:rPr>
        <w:t>）》就预算绩效目标申报和公开予以指导和落实。部门预算编制过程中，全县151个部门预算单位都申报了项目支出和部门整体支出绩效目标。我们对部门申报的绩效目标一一仔细审核，根据工作实际提出修改、完善的建议，让2022年预算绩效目标的编制逐步做到指向明确、细化量化、合理可行、相应匹配。于今年真正实现绩效目标与预算编制一同布置、一同编制、一同审核、一同批复、一同公开。</w:t>
      </w:r>
    </w:p>
    <w:p>
      <w:pPr>
        <w:numPr>
          <w:numId w:val="0"/>
        </w:num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县财政局下发了《关于开展2021年部门整体支出和项目支出绩效自评工作的通知》，组织指导全县各预算单位完成2021年部门整体支出和项目支出绩效自评，并且，按照“谁评价谁公开”的原则，要求各单位将绩效自评报告和2021年部门决算在政府网站专栏一同公开。</w:t>
      </w:r>
    </w:p>
    <w:p>
      <w:pPr>
        <w:numPr>
          <w:numId w:val="0"/>
        </w:num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自评结束后，为全面掌握2021年部门整体资金使用情况及取得的效果，进一步规范和加强财政资金管理，切实提高财政资金使用效益，我们选择县公安局、县教育局、县农业农村局、县卫生健康局、县应急管理局、邵阳市生态环境局新邵分局6个单位进行部门整体支出财政评价。</w:t>
      </w:r>
    </w:p>
    <w:p>
      <w:pPr>
        <w:numPr>
          <w:numId w:val="0"/>
        </w:num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积极推进第三方评价。县财政局委托第三方对农村公路建设养护资金、Y032及X038长冲铺至柏水重要县乡道改造工程、施工图审查费、发改局概算评审及项目申报费、农村妇女“两癌”检查、安保专项、市第29届中小学生田径会专项、非洲猪瘟专项、双季稻扩面种植补贴、科技三项费等十笔专项经费开展预算绩效重点评价。</w:t>
      </w:r>
    </w:p>
    <w:p>
      <w:pPr>
        <w:spacing w:line="560" w:lineRule="exact"/>
        <w:ind w:firstLine="640"/>
        <w:rPr>
          <w:rFonts w:hint="eastAsia" w:ascii="仿宋" w:hAnsi="仿宋" w:eastAsia="仿宋" w:cs="宋体"/>
          <w:color w:val="auto"/>
          <w:sz w:val="32"/>
          <w:szCs w:val="32"/>
        </w:rPr>
      </w:pPr>
      <w:r>
        <w:rPr>
          <w:rFonts w:hint="eastAsia" w:ascii="仿宋" w:hAnsi="仿宋" w:eastAsia="仿宋" w:cs="宋体"/>
          <w:color w:val="auto"/>
          <w:sz w:val="32"/>
          <w:szCs w:val="32"/>
        </w:rPr>
        <w:t>县审计局对我县第三方绩效评价的情况进行审计，并对绩效评价不到位情况提出整改意见。</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5</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强化结果应用。一是公开评价结果。按照“谁评价谁公开”的原则，202</w:t>
      </w:r>
      <w:r>
        <w:rPr>
          <w:rFonts w:ascii="仿宋" w:hAnsi="仿宋" w:eastAsia="仿宋" w:cs="宋体"/>
          <w:color w:val="auto"/>
          <w:sz w:val="32"/>
          <w:szCs w:val="32"/>
        </w:rPr>
        <w:t>2</w:t>
      </w:r>
      <w:r>
        <w:rPr>
          <w:rFonts w:hint="eastAsia" w:ascii="仿宋" w:hAnsi="仿宋" w:eastAsia="仿宋" w:cs="宋体"/>
          <w:color w:val="auto"/>
          <w:sz w:val="32"/>
          <w:szCs w:val="32"/>
        </w:rPr>
        <w:t>年，各预算单位将202</w:t>
      </w:r>
      <w:r>
        <w:rPr>
          <w:rFonts w:ascii="仿宋" w:hAnsi="仿宋" w:eastAsia="仿宋" w:cs="宋体"/>
          <w:color w:val="auto"/>
          <w:sz w:val="32"/>
          <w:szCs w:val="32"/>
        </w:rPr>
        <w:t>1</w:t>
      </w:r>
      <w:r>
        <w:rPr>
          <w:rFonts w:hint="eastAsia" w:ascii="仿宋" w:hAnsi="仿宋" w:eastAsia="仿宋" w:cs="宋体"/>
          <w:color w:val="auto"/>
          <w:sz w:val="32"/>
          <w:szCs w:val="32"/>
        </w:rPr>
        <w:t>年部门整体支出绩效自评报告同决算一起在政府网站专栏进行公开，县财政局将重点绩效评价结果在财政局门户网站和政府网站专栏进行公开，做到“非涉密全公开”。二是注重评价结果的应用。财政局委托第三方对2021年部分项目资金进行独立客观的绩效评价，</w:t>
      </w:r>
      <w:r>
        <w:rPr>
          <w:rFonts w:hint="eastAsia" w:ascii="仿宋" w:hAnsi="仿宋" w:eastAsia="仿宋"/>
          <w:color w:val="auto"/>
          <w:sz w:val="32"/>
          <w:szCs w:val="32"/>
        </w:rPr>
        <w:t>对于</w:t>
      </w:r>
      <w:r>
        <w:rPr>
          <w:rFonts w:hint="eastAsia" w:ascii="仿宋" w:hAnsi="仿宋" w:eastAsia="仿宋" w:cs="宋体"/>
          <w:color w:val="auto"/>
          <w:sz w:val="32"/>
          <w:szCs w:val="32"/>
        </w:rPr>
        <w:t>绩效评价中发现的问题，及时反馈到相关单位，要求各单位在规定的时间内进行整改；对于个别项目未做规划的闲置资金，建议预算收回另作安排，提高财政资金的使用效益。</w:t>
      </w:r>
    </w:p>
    <w:p>
      <w:pPr>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县审计局对绩效评价结果应用情况进行了审计，对评价结果应用情况如有异议，向财政预算提出并建议整改。</w:t>
      </w:r>
    </w:p>
    <w:p>
      <w:pPr>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 xml:space="preserve">多方式培训，提升绩效管理队伍素质 </w:t>
      </w:r>
      <w:r>
        <w:rPr>
          <w:rFonts w:hint="eastAsia" w:ascii="仿宋" w:hAnsi="仿宋" w:eastAsia="仿宋" w:cs="仿宋"/>
          <w:color w:val="auto"/>
          <w:sz w:val="32"/>
          <w:szCs w:val="32"/>
        </w:rPr>
        <w:t xml:space="preserve">  </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2022年8月16日至20日，县财政局组织乡镇全体财政干部、代管办人员、审计站人员及财政局40岁以下事业人员开展为期5天的集中培训，培训内容主要包括财政体制、财政制度、地方财政预决算、部门预算、预算管理一体化、预算绩效管理、国有资产管理等，提高财务人员的业务能力，提升基层单位的预算绩效管理水平。</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9月26日晚上，利用“星期一夜校”的时间，绩效管理股股长为财政局全体干部职工讲解全过程预算绩效管理操作实务，提升绩效管理队伍素质。</w:t>
      </w:r>
    </w:p>
    <w:p>
      <w:pPr>
        <w:numPr>
          <w:numId w:val="0"/>
        </w:numPr>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精心谋划，全县闲置国有资产清查处置行动有序开展</w:t>
      </w:r>
    </w:p>
    <w:p>
      <w:pPr>
        <w:spacing w:line="560" w:lineRule="exact"/>
        <w:ind w:firstLine="642"/>
        <w:rPr>
          <w:rFonts w:hint="eastAsia" w:ascii="仿宋" w:hAnsi="仿宋" w:eastAsia="仿宋" w:cs="仿宋"/>
          <w:color w:val="auto"/>
          <w:sz w:val="32"/>
          <w:szCs w:val="32"/>
        </w:rPr>
      </w:pPr>
      <w:r>
        <w:rPr>
          <w:rFonts w:hint="eastAsia" w:ascii="仿宋" w:hAnsi="仿宋" w:eastAsia="仿宋" w:cs="仿宋"/>
          <w:color w:val="auto"/>
          <w:sz w:val="32"/>
          <w:szCs w:val="32"/>
        </w:rPr>
        <w:t>根据《清查处置全省闲置国有资产资源专项行动方案》（湘政办函〔2022〕24号）、《邵阳市人民政府办公厅关于印发〈邵阳市清查处置闲置国有资产资源专项行动方案〉的通知》（邵市政办函〔2022〕23号)文件精神，我县精心谋划，强化组织，全力推进，保障了清查处置全县闲置国有资产资源专项行动全面细致、有力有序开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整理和归集，形成了第一批国有资产处置清单，共计12处，预计处置收益可达1100万余元。到目前为止，已取得收益共计25，976.15万元，其中：处置园区土地8794万元;门面租金收益342.05万元；公共车位特许经营权出让收益16，500万元；行政事业单位闲置资产处置收益340.1万元。预计到年底国有资产处置还可取得收益2000万元左右。</w:t>
      </w:r>
    </w:p>
    <w:p>
      <w:pPr>
        <w:numPr>
          <w:numId w:val="0"/>
        </w:numPr>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存在的主要问题和困难</w:t>
      </w:r>
    </w:p>
    <w:p>
      <w:pPr>
        <w:numPr>
          <w:numId w:val="0"/>
        </w:num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bCs/>
          <w:color w:val="auto"/>
          <w:sz w:val="32"/>
          <w:szCs w:val="32"/>
          <w:lang w:val="en-US" w:eastAsia="zh-CN"/>
        </w:rPr>
        <w:t>1.</w:t>
      </w:r>
      <w:r>
        <w:rPr>
          <w:rFonts w:hint="eastAsia" w:ascii="仿宋" w:hAnsi="仿宋" w:eastAsia="仿宋" w:cs="宋体"/>
          <w:b/>
          <w:bCs/>
          <w:color w:val="auto"/>
          <w:sz w:val="32"/>
          <w:szCs w:val="32"/>
        </w:rPr>
        <w:t>绩效管理理念有待进一步增强。</w:t>
      </w:r>
      <w:r>
        <w:rPr>
          <w:rFonts w:hint="eastAsia" w:ascii="仿宋" w:hAnsi="仿宋" w:eastAsia="仿宋" w:cs="宋体"/>
          <w:color w:val="auto"/>
          <w:sz w:val="32"/>
          <w:szCs w:val="32"/>
        </w:rPr>
        <w:t>各单位长期以来形成的“重分配轻管理、重收入轻支出、重使用轻绩效”的观念没有根本改变，“重绩效、讲绩效、用绩效”的理念尚未完全深入人心。没有意识到绩效管理应该是整个单位的事，不是财务部门一个部门或几个部门的事。</w:t>
      </w:r>
    </w:p>
    <w:p>
      <w:pPr>
        <w:numPr>
          <w:numId w:val="0"/>
        </w:num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bCs/>
          <w:color w:val="auto"/>
          <w:sz w:val="32"/>
          <w:szCs w:val="32"/>
          <w:lang w:val="en-US" w:eastAsia="zh-CN"/>
        </w:rPr>
        <w:t>2.</w:t>
      </w:r>
      <w:r>
        <w:rPr>
          <w:rFonts w:hint="eastAsia" w:ascii="仿宋" w:hAnsi="仿宋" w:eastAsia="仿宋" w:cs="宋体"/>
          <w:b/>
          <w:bCs/>
          <w:color w:val="auto"/>
          <w:sz w:val="32"/>
          <w:szCs w:val="32"/>
        </w:rPr>
        <w:t>绩效目标管理有待进一步深化。</w:t>
      </w:r>
      <w:r>
        <w:rPr>
          <w:rFonts w:hint="eastAsia" w:ascii="仿宋" w:hAnsi="仿宋" w:eastAsia="仿宋" w:cs="宋体"/>
          <w:color w:val="auto"/>
          <w:sz w:val="32"/>
          <w:szCs w:val="32"/>
        </w:rPr>
        <w:t>有些部门的绩效目标设置没有与单位的具体实际情况相结合，导致不够科学，缺乏特色和个性，无法真正反映项目绩效的标准和要求；绩效目标应用还不到位，绩效评价指标与项目绩效目标缺乏相关性。</w:t>
      </w:r>
    </w:p>
    <w:p>
      <w:pPr>
        <w:numPr>
          <w:numId w:val="0"/>
        </w:num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bCs/>
          <w:color w:val="auto"/>
          <w:sz w:val="32"/>
          <w:szCs w:val="32"/>
          <w:lang w:val="en-US" w:eastAsia="zh-CN"/>
        </w:rPr>
        <w:t>3.</w:t>
      </w:r>
      <w:r>
        <w:rPr>
          <w:rFonts w:hint="eastAsia" w:ascii="仿宋" w:hAnsi="仿宋" w:eastAsia="仿宋" w:cs="宋体"/>
          <w:b/>
          <w:bCs/>
          <w:color w:val="auto"/>
          <w:sz w:val="32"/>
          <w:szCs w:val="32"/>
        </w:rPr>
        <w:t>绩效评价质量有待进一步提高。</w:t>
      </w:r>
      <w:r>
        <w:rPr>
          <w:rFonts w:hint="eastAsia" w:ascii="仿宋" w:hAnsi="仿宋" w:eastAsia="仿宋" w:cs="宋体"/>
          <w:color w:val="auto"/>
          <w:sz w:val="32"/>
          <w:szCs w:val="32"/>
        </w:rPr>
        <w:t>原因一是各预算单位的绩效管理人员对于开展预算绩效管理工作所应具备的知识结构、专业素质、工作能力等方面与预算绩效管理工作要求还存在一定差距；二是各单位对绩效评价的重要性认识不足，绩效自评的时候没有认真对待。</w:t>
      </w:r>
    </w:p>
    <w:p>
      <w:pPr>
        <w:numPr>
          <w:numId w:val="0"/>
        </w:numPr>
        <w:spacing w:line="560" w:lineRule="exact"/>
        <w:ind w:firstLine="643" w:firstLineChars="200"/>
        <w:rPr>
          <w:rFonts w:hint="eastAsia" w:ascii="仿宋" w:hAnsi="仿宋" w:eastAsia="仿宋" w:cs="宋体"/>
          <w:color w:val="auto"/>
          <w:sz w:val="32"/>
          <w:szCs w:val="32"/>
        </w:rPr>
      </w:pP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lang w:val="en-US" w:eastAsia="zh-CN"/>
        </w:rPr>
        <w:t>1</w:t>
      </w: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rPr>
        <w:t>绩效评价结果应用程度有待进一步加强。</w:t>
      </w:r>
      <w:r>
        <w:rPr>
          <w:rFonts w:hint="eastAsia" w:ascii="仿宋" w:hAnsi="仿宋" w:eastAsia="仿宋" w:cs="宋体"/>
          <w:color w:val="auto"/>
          <w:sz w:val="32"/>
          <w:szCs w:val="32"/>
        </w:rPr>
        <w:t>目前绩效评价结果与部门预算安排还没有很好的有机结合，资金安排刚需大，评价结果好与坏，在预算安排上还没有明显区别，导致单位对预算绩效管理工作不够重视，对绩效评价结果也是抱着无所谓的态度。</w:t>
      </w:r>
    </w:p>
    <w:p>
      <w:pPr>
        <w:numPr>
          <w:numId w:val="0"/>
        </w:numPr>
        <w:spacing w:line="560" w:lineRule="exact"/>
        <w:ind w:firstLine="643" w:firstLineChars="200"/>
        <w:rPr>
          <w:rFonts w:hint="eastAsia" w:ascii="仿宋" w:hAnsi="仿宋" w:eastAsia="仿宋" w:cs="宋体"/>
          <w:b/>
          <w:bCs/>
          <w:color w:val="auto"/>
          <w:sz w:val="32"/>
          <w:szCs w:val="32"/>
        </w:rPr>
      </w:pP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lang w:val="en-US" w:eastAsia="zh-CN"/>
        </w:rPr>
        <w:t>2</w:t>
      </w:r>
      <w:r>
        <w:rPr>
          <w:rFonts w:hint="eastAsia" w:ascii="仿宋" w:hAnsi="仿宋" w:eastAsia="仿宋" w:cs="宋体"/>
          <w:b/>
          <w:bCs/>
          <w:color w:val="auto"/>
          <w:sz w:val="32"/>
          <w:szCs w:val="32"/>
          <w:lang w:eastAsia="zh-CN"/>
        </w:rPr>
        <w:t>）</w:t>
      </w:r>
      <w:r>
        <w:rPr>
          <w:rFonts w:hint="eastAsia" w:ascii="仿宋" w:hAnsi="仿宋" w:eastAsia="仿宋" w:cs="宋体"/>
          <w:b/>
          <w:bCs/>
          <w:color w:val="auto"/>
          <w:sz w:val="32"/>
          <w:szCs w:val="32"/>
        </w:rPr>
        <w:t>政府投资项目管理有待进一步规范。</w:t>
      </w:r>
      <w:r>
        <w:rPr>
          <w:rFonts w:hint="eastAsia" w:ascii="仿宋" w:hAnsi="仿宋" w:eastAsia="仿宋" w:cs="宋体"/>
          <w:color w:val="auto"/>
          <w:sz w:val="32"/>
          <w:szCs w:val="32"/>
        </w:rPr>
        <w:t>一是项目决策缺乏科学依据。有些部门在项目的立项上未进行集体决策、可行性研究，领导一人说了算；有的虽进行了可行性研究，但报告脱离实际、追求短期效益，缺少科学性；还有的把可行性研究当作履行公事，在实际执行过程中，并未严格按可行性研究报告进行决策。二是项目变更的随意性较大。由于前期立项不科学，导致项目在实施过程中经常出现或因预算过低无法实施，或不适应新形势新要求而停止施工等问题，需要对项目进行变更。按照预算管理要求，项目的变更应报同级财政部门批准，但在实际过程中，很多政府部门未经审批，就擅自改变项目的用途，变更项目内容数量等。</w:t>
      </w:r>
    </w:p>
    <w:p>
      <w:pPr>
        <w:spacing w:line="560" w:lineRule="exact"/>
        <w:rPr>
          <w:rFonts w:hint="eastAsia" w:ascii="仿宋" w:hAnsi="仿宋" w:eastAsia="仿宋" w:cs="宋体"/>
          <w:b/>
          <w:bCs/>
          <w:color w:val="auto"/>
          <w:sz w:val="32"/>
          <w:szCs w:val="32"/>
        </w:rPr>
      </w:pPr>
      <w:r>
        <w:rPr>
          <w:rFonts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 xml:space="preserve">  </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b/>
          <w:bCs/>
          <w:color w:val="auto"/>
          <w:sz w:val="32"/>
          <w:szCs w:val="32"/>
        </w:rPr>
        <w:t>下段工作措施</w:t>
      </w:r>
    </w:p>
    <w:p>
      <w:pPr>
        <w:numPr>
          <w:numId w:val="0"/>
        </w:numPr>
        <w:spacing w:line="560" w:lineRule="exact"/>
        <w:ind w:firstLine="643" w:firstLineChars="200"/>
        <w:rPr>
          <w:rFonts w:hint="eastAsia" w:ascii="仿宋" w:hAnsi="仿宋" w:eastAsia="仿宋" w:cs="宋体"/>
          <w:b/>
          <w:color w:val="auto"/>
          <w:sz w:val="32"/>
          <w:szCs w:val="32"/>
        </w:rPr>
      </w:pPr>
      <w:r>
        <w:rPr>
          <w:rFonts w:hint="eastAsia" w:ascii="仿宋" w:hAnsi="仿宋" w:eastAsia="仿宋" w:cs="宋体"/>
          <w:b/>
          <w:color w:val="auto"/>
          <w:sz w:val="32"/>
          <w:szCs w:val="32"/>
          <w:lang w:val="en-US" w:eastAsia="zh-CN"/>
        </w:rPr>
        <w:t>1.</w:t>
      </w:r>
      <w:r>
        <w:rPr>
          <w:rFonts w:hint="eastAsia" w:ascii="仿宋" w:hAnsi="仿宋" w:eastAsia="仿宋" w:cs="宋体"/>
          <w:b/>
          <w:color w:val="auto"/>
          <w:sz w:val="32"/>
          <w:szCs w:val="32"/>
        </w:rPr>
        <w:t>强化绩效理念，夯实绩效管理基础</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一要加强宣传发动。通过下文、媒体宣传、举办培训活动等方式，让预算绩效管理这一理念在各部门和有财政资金使用的各领域由以往的被动接受变成主动要求，使之常态化。二要加强队伍建设。一方面通过培训来提高财政财务人员的绩效管理水平；另一方面有针对性地组织相关人员到我省其他县市学习先进经验，不断提高绩效管理队伍的素质。</w:t>
      </w:r>
    </w:p>
    <w:p>
      <w:pPr>
        <w:numPr>
          <w:numId w:val="0"/>
        </w:numPr>
        <w:spacing w:line="560" w:lineRule="exact"/>
        <w:ind w:firstLine="643" w:firstLineChars="200"/>
        <w:rPr>
          <w:rFonts w:hint="eastAsia" w:ascii="仿宋" w:hAnsi="仿宋" w:eastAsia="仿宋" w:cs="宋体"/>
          <w:b/>
          <w:color w:val="auto"/>
          <w:sz w:val="32"/>
          <w:szCs w:val="32"/>
        </w:rPr>
      </w:pPr>
      <w:r>
        <w:rPr>
          <w:rFonts w:hint="eastAsia" w:ascii="仿宋" w:hAnsi="仿宋" w:eastAsia="仿宋" w:cs="宋体"/>
          <w:b/>
          <w:color w:val="auto"/>
          <w:sz w:val="32"/>
          <w:szCs w:val="32"/>
          <w:lang w:val="en-US" w:eastAsia="zh-CN"/>
        </w:rPr>
        <w:t>2.</w:t>
      </w:r>
      <w:r>
        <w:rPr>
          <w:rFonts w:hint="eastAsia" w:ascii="仿宋" w:hAnsi="仿宋" w:eastAsia="仿宋" w:cs="宋体"/>
          <w:b/>
          <w:color w:val="auto"/>
          <w:sz w:val="32"/>
          <w:szCs w:val="32"/>
        </w:rPr>
        <w:t>规范预算编制，做实绩效目标管理</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坚持综合预算一体化编制，加大“四本预算”力度，切实增强财政统筹保障能力。落实政府过紧日子要求，大力压减一般性支出，精准细化预算编制内容，切实把宝贵的财政资金用到刀刃上。同时，按照“指向明确、细化量化、合理可行、相应匹配”的要求，进一步规范部门预算绩效目标的填报和审核工作，并且将绩效目标申报结果与年初部门预算在政府网站专栏同步公开。</w:t>
      </w:r>
    </w:p>
    <w:p>
      <w:pPr>
        <w:numPr>
          <w:numId w:val="0"/>
        </w:numPr>
        <w:spacing w:line="560" w:lineRule="exact"/>
        <w:ind w:firstLine="643" w:firstLineChars="200"/>
        <w:rPr>
          <w:rFonts w:hint="eastAsia" w:ascii="仿宋" w:hAnsi="仿宋" w:eastAsia="仿宋" w:cs="宋体"/>
          <w:b/>
          <w:color w:val="auto"/>
          <w:sz w:val="32"/>
          <w:szCs w:val="32"/>
        </w:rPr>
      </w:pPr>
      <w:r>
        <w:rPr>
          <w:rFonts w:hint="eastAsia" w:ascii="仿宋" w:hAnsi="仿宋" w:eastAsia="仿宋" w:cs="宋体"/>
          <w:b/>
          <w:color w:val="auto"/>
          <w:sz w:val="32"/>
          <w:szCs w:val="32"/>
          <w:lang w:eastAsia="zh-CN"/>
        </w:rPr>
        <w:t>（</w:t>
      </w:r>
      <w:r>
        <w:rPr>
          <w:rFonts w:hint="eastAsia" w:ascii="仿宋" w:hAnsi="仿宋" w:eastAsia="仿宋" w:cs="宋体"/>
          <w:b/>
          <w:color w:val="auto"/>
          <w:sz w:val="32"/>
          <w:szCs w:val="32"/>
          <w:lang w:val="en-US" w:eastAsia="zh-CN"/>
        </w:rPr>
        <w:t>1</w:t>
      </w:r>
      <w:r>
        <w:rPr>
          <w:rFonts w:hint="eastAsia" w:ascii="仿宋" w:hAnsi="仿宋" w:eastAsia="仿宋" w:cs="宋体"/>
          <w:b/>
          <w:color w:val="auto"/>
          <w:sz w:val="32"/>
          <w:szCs w:val="32"/>
          <w:lang w:eastAsia="zh-CN"/>
        </w:rPr>
        <w:t>）</w:t>
      </w:r>
      <w:r>
        <w:rPr>
          <w:rFonts w:hint="eastAsia" w:ascii="仿宋" w:hAnsi="仿宋" w:eastAsia="仿宋" w:cs="宋体"/>
          <w:b/>
          <w:color w:val="auto"/>
          <w:sz w:val="32"/>
          <w:szCs w:val="32"/>
        </w:rPr>
        <w:t>完善评价方式，提高绩效评价质量</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一要加大指导力度。财政局各相关业务部门要对各预算单位从预算绩效申报和预算绩效自评全过程进行跟踪指导，定向培训，为提高绩效评价质量打好基础。二要严把绩效评价质量关。在把好自评质量关的前提下，要组织第三方对部门提交的绩效自评报告及相关佐证材料进行集中评审，对绩效评价质量进行考核。三是对于重点领域、关注度较高、金额较大的的专项资金深入开展重点绩效评价，财政和业务部门要加强跟踪指导，提升绩效评价水平。</w:t>
      </w:r>
    </w:p>
    <w:p>
      <w:pPr>
        <w:numPr>
          <w:numId w:val="0"/>
        </w:numPr>
        <w:spacing w:line="560" w:lineRule="exact"/>
        <w:ind w:firstLine="643" w:firstLineChars="200"/>
        <w:rPr>
          <w:rFonts w:hint="eastAsia" w:ascii="仿宋" w:hAnsi="仿宋" w:eastAsia="仿宋" w:cs="宋体"/>
          <w:b/>
          <w:color w:val="auto"/>
          <w:sz w:val="32"/>
          <w:szCs w:val="32"/>
        </w:rPr>
      </w:pPr>
      <w:r>
        <w:rPr>
          <w:rFonts w:hint="eastAsia" w:ascii="仿宋" w:hAnsi="仿宋" w:eastAsia="仿宋" w:cs="宋体"/>
          <w:b/>
          <w:color w:val="auto"/>
          <w:sz w:val="32"/>
          <w:szCs w:val="32"/>
          <w:lang w:eastAsia="zh-CN"/>
        </w:rPr>
        <w:t>（</w:t>
      </w:r>
      <w:r>
        <w:rPr>
          <w:rFonts w:hint="eastAsia" w:ascii="仿宋" w:hAnsi="仿宋" w:eastAsia="仿宋" w:cs="宋体"/>
          <w:b/>
          <w:color w:val="auto"/>
          <w:sz w:val="32"/>
          <w:szCs w:val="32"/>
          <w:lang w:val="en-US" w:eastAsia="zh-CN"/>
        </w:rPr>
        <w:t>2</w:t>
      </w:r>
      <w:r>
        <w:rPr>
          <w:rFonts w:hint="eastAsia" w:ascii="仿宋" w:hAnsi="仿宋" w:eastAsia="仿宋" w:cs="宋体"/>
          <w:b/>
          <w:color w:val="auto"/>
          <w:sz w:val="32"/>
          <w:szCs w:val="32"/>
          <w:lang w:eastAsia="zh-CN"/>
        </w:rPr>
        <w:t>）</w:t>
      </w:r>
      <w:r>
        <w:rPr>
          <w:rFonts w:hint="eastAsia" w:ascii="仿宋" w:hAnsi="仿宋" w:eastAsia="仿宋" w:cs="宋体"/>
          <w:b/>
          <w:color w:val="auto"/>
          <w:sz w:val="32"/>
          <w:szCs w:val="32"/>
        </w:rPr>
        <w:t>强化结果应用，树立绩效管理权威</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绩效评价结果应用是整个预算绩效管理的最终环节也是重要环节，它的作用主要体现在补强制度、改进管理、问责追责。一要完善绩效评价结果反馈整改及绩效报告机制。及时将绩效评价中发现的问题和意见反馈给资金主管部门，提出整改要求；将绩效评价综合情况按程序上报给政府和人大，自觉接受和配合人大监督检查。二是加大绩效评价公开力度。按照“谁组织实施，谁进行公开”的原则，各资金主管部门要在自己的门户网站和政府预决算公开专栏中同步公开，直面现实，敢于揭短，自觉接受社会公众的监督，切实提高资金使用效益。三要加强绩效评价结果与预算安排有机结合机制。在对各预算单位和相关项目进行预算安排时，应将绩效评价结果作为重要参考依据，提高绩效管理的实效性和权威性。四是将预算绩效评价与乡镇转移支付的考核挂钩。年底，政府对各乡镇分配转移支付资金时，应将预算绩效评价结果纳入到政府对乡镇的考核评估中，并将其作为资金分配的一个重要依据。五是将预算绩效评价结果与问责机制相结合，切实提高资金使用效益。应将预算绩效评价结果应用到对各单位和相关责任人的考核中，与政府绩效考核相结合，尤其是要与各单位的绩效文明考核挂钩，建立问责机制，做到奖罚分明，全方面提高政府效能，树立政府的公信力。</w:t>
      </w:r>
    </w:p>
    <w:p>
      <w:pPr>
        <w:numPr>
          <w:numId w:val="0"/>
        </w:numPr>
        <w:spacing w:line="560" w:lineRule="exact"/>
        <w:ind w:firstLine="643" w:firstLineChars="200"/>
        <w:rPr>
          <w:rFonts w:hint="eastAsia" w:ascii="仿宋" w:hAnsi="仿宋" w:eastAsia="仿宋" w:cs="宋体"/>
          <w:b/>
          <w:bCs/>
          <w:color w:val="auto"/>
          <w:sz w:val="32"/>
          <w:szCs w:val="32"/>
        </w:rPr>
      </w:pPr>
      <w:r>
        <w:rPr>
          <w:rFonts w:hint="eastAsia" w:ascii="仿宋" w:hAnsi="仿宋" w:eastAsia="仿宋" w:cs="宋体"/>
          <w:b/>
          <w:bCs/>
          <w:color w:val="auto"/>
          <w:sz w:val="32"/>
          <w:szCs w:val="32"/>
          <w:lang w:val="en-US" w:eastAsia="zh-CN"/>
        </w:rPr>
        <w:t>3.</w:t>
      </w:r>
      <w:r>
        <w:rPr>
          <w:rFonts w:hint="eastAsia" w:ascii="仿宋" w:hAnsi="仿宋" w:eastAsia="仿宋" w:cs="宋体"/>
          <w:b/>
          <w:bCs/>
          <w:color w:val="auto"/>
          <w:sz w:val="32"/>
          <w:szCs w:val="32"/>
        </w:rPr>
        <w:t>加强项目管理，促使</w:t>
      </w:r>
      <w:r>
        <w:rPr>
          <w:rFonts w:hint="eastAsia" w:ascii="仿宋" w:hAnsi="仿宋" w:eastAsia="仿宋" w:cs="仿宋"/>
          <w:b/>
          <w:bCs/>
          <w:color w:val="auto"/>
          <w:sz w:val="32"/>
          <w:szCs w:val="32"/>
        </w:rPr>
        <w:t>项目发挥预期效益</w:t>
      </w:r>
    </w:p>
    <w:p>
      <w:pPr>
        <w:spacing w:line="560" w:lineRule="exact"/>
        <w:ind w:firstLine="640" w:firstLineChars="200"/>
        <w:rPr>
          <w:rFonts w:hint="eastAsia" w:ascii="仿宋" w:hAnsi="仿宋" w:eastAsia="仿宋"/>
          <w:color w:val="auto"/>
          <w:sz w:val="32"/>
          <w:szCs w:val="32"/>
        </w:rPr>
      </w:pPr>
      <w:bookmarkStart w:id="0" w:name="_GoBack"/>
      <w:bookmarkEnd w:id="0"/>
      <w:r>
        <w:rPr>
          <w:rFonts w:hint="eastAsia" w:ascii="仿宋" w:hAnsi="仿宋" w:eastAsia="仿宋" w:cs="仿宋"/>
          <w:color w:val="auto"/>
          <w:sz w:val="32"/>
          <w:szCs w:val="32"/>
        </w:rPr>
        <w:t>一是在项目设立上，要对项目的可行性、效益性进行充分调研、论证，防止盲目立项；二是在项目实施过程中，要对项目的内容、数量、实施计划等变更进行严格管理，禁止随意变更；三是在项目完成后，不仅要对项目的财务收支情况进行审计，还要对项目的使用效益、社会效益等进行绩效评价，促使政府投资项目发挥预期效益。</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开展预算绩效管理是推进精准理财、规矩规范的一种重要手段，最终实现财政资金使用效益最大化。尤其是在当前一手抓新冠肺炎疫情防控，一手抓经济发展的特殊形势下，我们更应该将预算绩效管理作为财政理财的重要手段，攻坚克难，求实创新，不断提高财政管理科学化精细化水平，为建设大美新邵做出更大的贡献。</w:t>
      </w:r>
    </w:p>
    <w:p>
      <w:pPr>
        <w:spacing w:line="560" w:lineRule="exact"/>
        <w:ind w:firstLine="642"/>
        <w:rPr>
          <w:rFonts w:ascii="仿宋" w:hAnsi="仿宋" w:eastAsia="仿宋" w:cs="仿宋"/>
          <w:color w:val="auto"/>
          <w:sz w:val="32"/>
          <w:szCs w:val="32"/>
        </w:rPr>
      </w:pPr>
    </w:p>
    <w:p>
      <w:pPr>
        <w:spacing w:line="560" w:lineRule="exact"/>
        <w:ind w:firstLine="420" w:firstLineChars="20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tka Text">
    <w:panose1 w:val="00000000000000000000"/>
    <w:charset w:val="00"/>
    <w:family w:val="auto"/>
    <w:pitch w:val="default"/>
    <w:sig w:usb0="A00002EF" w:usb1="4000204B"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wMzU5NGRhODU2NjFlOTIzMzA1YWNmYmIzODljNDYifQ=="/>
  </w:docVars>
  <w:rsids>
    <w:rsidRoot w:val="69A969E4"/>
    <w:rsid w:val="0004418E"/>
    <w:rsid w:val="000909E9"/>
    <w:rsid w:val="001059AC"/>
    <w:rsid w:val="00114A26"/>
    <w:rsid w:val="00115D6E"/>
    <w:rsid w:val="00120F5A"/>
    <w:rsid w:val="001263F3"/>
    <w:rsid w:val="00130266"/>
    <w:rsid w:val="0013676B"/>
    <w:rsid w:val="00163AB8"/>
    <w:rsid w:val="001764E0"/>
    <w:rsid w:val="00197ADD"/>
    <w:rsid w:val="001C0CD5"/>
    <w:rsid w:val="001E5104"/>
    <w:rsid w:val="00262194"/>
    <w:rsid w:val="0027249D"/>
    <w:rsid w:val="002724C9"/>
    <w:rsid w:val="002A11B2"/>
    <w:rsid w:val="0034006C"/>
    <w:rsid w:val="0034190E"/>
    <w:rsid w:val="003458A9"/>
    <w:rsid w:val="00380110"/>
    <w:rsid w:val="00397FB9"/>
    <w:rsid w:val="003D2D91"/>
    <w:rsid w:val="00416C3E"/>
    <w:rsid w:val="00420A88"/>
    <w:rsid w:val="00461B5C"/>
    <w:rsid w:val="00496E3A"/>
    <w:rsid w:val="005165DA"/>
    <w:rsid w:val="00556168"/>
    <w:rsid w:val="005644F2"/>
    <w:rsid w:val="005730D0"/>
    <w:rsid w:val="00594045"/>
    <w:rsid w:val="0059609C"/>
    <w:rsid w:val="00596D8F"/>
    <w:rsid w:val="00596EE2"/>
    <w:rsid w:val="005F0EE8"/>
    <w:rsid w:val="005F752E"/>
    <w:rsid w:val="00635FCD"/>
    <w:rsid w:val="006C3C2A"/>
    <w:rsid w:val="006D53E0"/>
    <w:rsid w:val="006F3402"/>
    <w:rsid w:val="006F3473"/>
    <w:rsid w:val="00710BD2"/>
    <w:rsid w:val="00735560"/>
    <w:rsid w:val="00742947"/>
    <w:rsid w:val="00757181"/>
    <w:rsid w:val="00763429"/>
    <w:rsid w:val="007718E9"/>
    <w:rsid w:val="00783FD1"/>
    <w:rsid w:val="0078461B"/>
    <w:rsid w:val="007A6247"/>
    <w:rsid w:val="007C6BA3"/>
    <w:rsid w:val="007F7D2D"/>
    <w:rsid w:val="00841FEE"/>
    <w:rsid w:val="008E0C77"/>
    <w:rsid w:val="008F2066"/>
    <w:rsid w:val="00905431"/>
    <w:rsid w:val="00906FCB"/>
    <w:rsid w:val="009956B8"/>
    <w:rsid w:val="009D4289"/>
    <w:rsid w:val="009F0C1C"/>
    <w:rsid w:val="00A01CD4"/>
    <w:rsid w:val="00A35FB3"/>
    <w:rsid w:val="00A653E9"/>
    <w:rsid w:val="00A65943"/>
    <w:rsid w:val="00AF1E29"/>
    <w:rsid w:val="00B34B4E"/>
    <w:rsid w:val="00B75CE7"/>
    <w:rsid w:val="00B825DB"/>
    <w:rsid w:val="00B82E09"/>
    <w:rsid w:val="00B94EB9"/>
    <w:rsid w:val="00BA3B1A"/>
    <w:rsid w:val="00BE208D"/>
    <w:rsid w:val="00C23D7C"/>
    <w:rsid w:val="00C45564"/>
    <w:rsid w:val="00C806E2"/>
    <w:rsid w:val="00C952B8"/>
    <w:rsid w:val="00CA4E9A"/>
    <w:rsid w:val="00CD2846"/>
    <w:rsid w:val="00CF0DF9"/>
    <w:rsid w:val="00D165BB"/>
    <w:rsid w:val="00D23E06"/>
    <w:rsid w:val="00D43F8D"/>
    <w:rsid w:val="00D5782D"/>
    <w:rsid w:val="00D67CF3"/>
    <w:rsid w:val="00D7153F"/>
    <w:rsid w:val="00D96C68"/>
    <w:rsid w:val="00DC170F"/>
    <w:rsid w:val="00E16492"/>
    <w:rsid w:val="00E36B4C"/>
    <w:rsid w:val="00E62DD5"/>
    <w:rsid w:val="00E85BE4"/>
    <w:rsid w:val="00EE59DC"/>
    <w:rsid w:val="00F00954"/>
    <w:rsid w:val="00F15EED"/>
    <w:rsid w:val="00F243A6"/>
    <w:rsid w:val="00F83196"/>
    <w:rsid w:val="00FC7AEC"/>
    <w:rsid w:val="00FE63D6"/>
    <w:rsid w:val="00FF6FAA"/>
    <w:rsid w:val="041020F1"/>
    <w:rsid w:val="073B521F"/>
    <w:rsid w:val="13E2039E"/>
    <w:rsid w:val="1D191C85"/>
    <w:rsid w:val="303A344F"/>
    <w:rsid w:val="55EF0E3A"/>
    <w:rsid w:val="69A969E4"/>
    <w:rsid w:val="6FF60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6642</Words>
  <Characters>7325</Characters>
  <Lines>53</Lines>
  <Paragraphs>15</Paragraphs>
  <TotalTime>20</TotalTime>
  <ScaleCrop>false</ScaleCrop>
  <LinksUpToDate>false</LinksUpToDate>
  <CharactersWithSpaces>7483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2023-03-22T02:29:00Z</dcterms:created>
  <dc:creator>Administrator</dc:creator>
  <cp:lastModifiedBy>彭建伟</cp:lastModifiedBy>
  <cp:lastPrinted>2022-08-15T07:40:00Z</cp:lastPrinted>
  <dcterms:modified xsi:type="dcterms:W3CDTF">2023-04-25T08:39:19Z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6FA61B56214747FBB024D3FFD7EFC52A</vt:lpwstr>
  </property>
</Properties>
</file>