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bookmarkStart w:id="0" w:name="_GoBack"/>
      <w:r>
        <w:rPr>
          <w:rFonts w:hint="eastAsia" w:ascii="微软雅黑" w:hAnsi="微软雅黑" w:eastAsia="微软雅黑" w:cs="微软雅黑"/>
          <w:b/>
          <w:i w:val="0"/>
          <w:caps w:val="0"/>
          <w:color w:val="1E1E1E"/>
          <w:spacing w:val="0"/>
          <w:kern w:val="0"/>
          <w:sz w:val="37"/>
          <w:szCs w:val="37"/>
          <w:bdr w:val="none" w:color="auto" w:sz="0" w:space="0"/>
          <w:lang w:val="en-US" w:eastAsia="zh-CN" w:bidi="ar"/>
        </w:rPr>
        <w:t>新邵县公安局2019年度部门整体支出绩效自评报告</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center"/>
      </w:pPr>
      <w:r>
        <w:rPr>
          <w:rFonts w:hint="eastAsia" w:ascii="黑体" w:hAnsi="宋体" w:eastAsia="黑体" w:cs="黑体"/>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ascii="仿宋" w:hAnsi="仿宋" w:eastAsia="仿宋" w:cs="仿宋"/>
          <w:i w:val="0"/>
          <w:caps w:val="0"/>
          <w:color w:val="000000"/>
          <w:spacing w:val="0"/>
          <w:kern w:val="0"/>
          <w:sz w:val="32"/>
          <w:szCs w:val="32"/>
          <w:bdr w:val="none" w:color="auto" w:sz="0" w:space="0"/>
          <w:shd w:val="clear" w:fill="FFFF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4" w:right="0"/>
        <w:jc w:val="left"/>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新邵县公安局成立于1952年4月，现有民警职工493人（含交警99人），辅警673人，临时人员40人，退休民警99名。下设31个机构，内设机构4个，直属大队10个，下辖15个派出所，看守所拘留所各1个。全部纳入2019年部门预算编制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1、贯彻执行公安工作的法律、法规、规章和方针、政策，研究制定公安工作方案和措施，领导、监督，检查全县公安工作。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2、调查研究公安工作中出现的新情况、新问题，掌握危害国家安全、影响社会治安稳定的情报信息，分析预测敌情和社情，为县委、县政府和上级公安机关提供信息并提出对策。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3、承担组织开展公安队伍正规化、装备现代化建设及民警教育和公安宣传工作的责任，组织公安督察工作，实施对民警的监督和权益保护。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4、预防、制止和侦查违法犯罪活动，参与处置严重危害社会安定的聚众闹事、骚乱事件和重大治安事件，协助、配合国家安全机关做好国家安全保卫工作和反恐防暴工作。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5、制定完善内部执法制度，实施内部执法监督，依法办理行政复议、行政诉讼案件。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6、依法查处危害社会治安秩序行为，承担全县治安、户口、居民身份证、枪支弹药、危险物品、特种行业和出入境管理责任；管理集会、游行、示威活动。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7、承担火灾预防和扑救责任，对消防安全工作进行指导、监督。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8、管理道路交通安全，维护道路交通秩序，承担查处道路交通事故、管理机动车辆和驾驶员的责任。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9、指导和监督国家机关、社会团体、企事业组织和重点建设工程的治安保卫工作，指导内保组织和治保会等群众性组织的治安防范工作。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10、管理看守所、拘留所、强制隔离戒毒所。配合县司法局依法加强对社区服刑人员的监管。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11、负责辖区的公安警卫工作。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12、组织实施公安信息技术、刑事技术、行动技术、公共信息网络安全监察技术等公安科技建设，监督管理计算机信息系统安全保护工作。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13、指导开展县森林公安局的公安业务工作。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14、负责承接中央和省、市依法公布下放的行政审批事项，取消已由中央、省、市和本县依法公布取消的行政审批事项。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15、承办县委、县政府和上级公安机关交办的其他事项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（三）年度工作计划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1、创新信息警务，在提升驾驭复杂局势能力上求突破。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2、创新实战警务，在提升打防管控效能上求突破。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3、创新民生警务，在服务群众和服务经济发展上求突破。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4、创新法治警务，在提升执法公信力上求突破。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5、创新素质警务，在提升队伍正规化水平上求突破。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（一）年度预算收支情况(</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8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46"/>
        <w:gridCol w:w="1437"/>
        <w:gridCol w:w="1437"/>
        <w:gridCol w:w="1558"/>
        <w:gridCol w:w="1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54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预算项目</w:t>
            </w:r>
          </w:p>
        </w:tc>
        <w:tc>
          <w:tcPr>
            <w:tcW w:w="287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296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较上年增减变化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2019年</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2018年</w:t>
            </w:r>
          </w:p>
        </w:tc>
        <w:tc>
          <w:tcPr>
            <w:tcW w:w="15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金额</w:t>
            </w:r>
          </w:p>
        </w:tc>
        <w:tc>
          <w:tcPr>
            <w:tcW w:w="1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收入预算</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6437.11</w:t>
            </w:r>
          </w:p>
        </w:tc>
        <w:tc>
          <w:tcPr>
            <w:tcW w:w="15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1296.78</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其中：财政经费拨款</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6437.11</w:t>
            </w:r>
          </w:p>
        </w:tc>
        <w:tc>
          <w:tcPr>
            <w:tcW w:w="15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1296.78</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支出预算</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6437.11</w:t>
            </w:r>
          </w:p>
        </w:tc>
        <w:tc>
          <w:tcPr>
            <w:tcW w:w="15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1296.78</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其中：基本支出</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6682.89</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4935.11</w:t>
            </w:r>
          </w:p>
        </w:tc>
        <w:tc>
          <w:tcPr>
            <w:tcW w:w="15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1747.78</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其中：项目支出</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1051</w:t>
            </w:r>
          </w:p>
        </w:tc>
        <w:tc>
          <w:tcPr>
            <w:tcW w:w="143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1502</w:t>
            </w:r>
          </w:p>
        </w:tc>
        <w:tc>
          <w:tcPr>
            <w:tcW w:w="15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-451</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1、年初预算收支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2019年一般公共预算拨款收入7733.89万元，具体安排情况如下： 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基本支出：2019年年初预算数为6682.89万元，是指为保障单位机构正常运转、完成日常工作任务而发生的各项支出，包括用于基本工资、津贴补贴等人员经费以及办公费、印刷费、水电费、办公设备购置等日常公用经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项目支出：2019年年初预算数为1051万元，主要用于大案要案,大情报系统建设项目及维护,反恐工作及维稳处突,禁毒工作,拘押收教场所管理,网络安全、运行及维护国内安全保卫,收治艾滋病及重症贩毒人员，打击零包贩毒，民警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2、财政预算整体支出使用范围、方向和内容</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8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28"/>
        <w:gridCol w:w="1800"/>
        <w:gridCol w:w="162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支出项目</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基本支出</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项目支出</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工资福利支出</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4562.53</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4562.53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商品和服务支出</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1897.86</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674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2571.86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对个人和家庭的补助</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222.5</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187</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409.5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资本性支出</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190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6682.89</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1051</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1、年度收入决算</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66"/>
        <w:gridCol w:w="2622"/>
        <w:gridCol w:w="1967"/>
        <w:gridCol w:w="19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96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收入来源</w:t>
            </w:r>
          </w:p>
        </w:tc>
        <w:tc>
          <w:tcPr>
            <w:tcW w:w="26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19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19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差额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8" w:hRule="atLeast"/>
        </w:trPr>
        <w:tc>
          <w:tcPr>
            <w:tcW w:w="196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收入</w:t>
            </w:r>
          </w:p>
        </w:tc>
        <w:tc>
          <w:tcPr>
            <w:tcW w:w="26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c>
          <w:tcPr>
            <w:tcW w:w="19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15872.01</w:t>
            </w:r>
          </w:p>
        </w:tc>
        <w:tc>
          <w:tcPr>
            <w:tcW w:w="196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8138.12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96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6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9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9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2、年度预算支出决算及结余</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30"/>
        <w:gridCol w:w="2130"/>
        <w:gridCol w:w="2131"/>
        <w:gridCol w:w="2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1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类别</w:t>
            </w:r>
          </w:p>
        </w:tc>
        <w:tc>
          <w:tcPr>
            <w:tcW w:w="21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21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21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增减金额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基本支出</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6682.89</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9387.59</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2704.7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项目支出</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1051</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6718.83</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5667.83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小计</w:t>
            </w:r>
          </w:p>
        </w:tc>
        <w:tc>
          <w:tcPr>
            <w:tcW w:w="21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7733.89</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16106.42</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8372.53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支出决算金额比预算金额增加8372.53万元，增加原因：一是基本工资调整、 “3+2”奖金、辅警工资支出等未纳入基本支出预算。二是业务用房建设等建设资金及中央省级转移支付资金、增加的项目支出未纳入项目支出预算。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（一）基本支出管理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1、基本支出总额使用和管理</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88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08"/>
        <w:gridCol w:w="1980"/>
        <w:gridCol w:w="1980"/>
        <w:gridCol w:w="2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8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预决算支出项目</w:t>
            </w:r>
          </w:p>
        </w:tc>
        <w:tc>
          <w:tcPr>
            <w:tcW w:w="19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19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21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节约/超支金额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工资福利支出</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4562.53</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6995.86</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2433.33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商品和服务支出</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1897.86</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2175.64</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277.78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对个人和家庭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的补助</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222.5</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72.22</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-150.28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资本性支出</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143.87</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143.87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6682.89</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9387.59</w:t>
            </w:r>
          </w:p>
        </w:tc>
        <w:tc>
          <w:tcPr>
            <w:tcW w:w="213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2704.7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（1）工资福利支出</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88"/>
        <w:gridCol w:w="1620"/>
        <w:gridCol w:w="162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费用项目</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超支金额</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超支率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基本工资</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1642.22</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1849.90</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207.68</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津贴补贴</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1506.24</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1266.42</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-239.82</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奖金</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136.85</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246.23</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109.38</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机关事业单位基本养老保险缴费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511.14</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250.01</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-261.13</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职工基本医疗保险缴费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141.97</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-141.97</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住房公积金</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323.11</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12.88</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-310.23</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职业年金缴费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131.66</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131.66</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其他社会保障缴费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24.27</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-24.27</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伙食补助费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绩效工资</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spacing w:val="-14"/>
                <w:kern w:val="0"/>
                <w:sz w:val="32"/>
                <w:szCs w:val="32"/>
                <w:bdr w:val="none" w:color="auto" w:sz="0" w:space="0"/>
                <w:lang w:val="en-US" w:eastAsia="zh-CN" w:bidi="ar"/>
              </w:rPr>
              <w:t>其他工资福利支出</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276.73</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3238.76</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2962.03</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4562.53</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6995.86</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2433.33</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53%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1、民警基本工资调整、“3+2”奖金、辅警工资支出等未纳入基本支出预算。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2、其他工资福利支出包括民警节假日加班及辅警工资加班等开支。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（2）商品和服务支出</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808"/>
        <w:gridCol w:w="1620"/>
        <w:gridCol w:w="1620"/>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8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支出项目</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增减额</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增减率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办公费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271.8</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301.82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30.02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印刷费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28</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17.14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-10.86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咨询费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手续费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水费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37</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45.05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8.05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电费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116.28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26.28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邮电费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54</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6.57</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-47.43</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取暖费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物业管理费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69.25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29.25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差旅费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130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55.11</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-74.89</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因公出国（境）费用</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维修（护）费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11</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118.2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107.2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租赁费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7.10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会议费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28</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培训费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-28.6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公务接待费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48</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-46.94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专用材料费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被装购置费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4.87</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-15.13</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专用燃料费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劳务费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15</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83.10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68.1</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委托业务费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19.56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19.56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工会经费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160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112.49</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-47.51</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福利费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公务用车运行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维护费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180</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12.63</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-167.37</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其他交通费</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公交补贴</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267.96</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271.43</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3.47</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其他商品和服务支出</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468.1</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932.58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464.48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1897.86</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2175.64</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277.78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1、电费包括全县监控点电费。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2、劳务费为局门卫、清洁人员、食堂人员等工资开支及局业务大楼搬迁劳务费。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3、其他商品和服务支出包括机关及派出所食堂开支、拘押场所的种养支出。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4、因公安工作特殊，印刷费、差旅费、培训费、邮电费、公务用车运行费部分列入项目开支。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（3）对个人和家庭的补助</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 </w:t>
      </w:r>
    </w:p>
    <w:tbl>
      <w:tblPr>
        <w:tblW w:w="89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88"/>
        <w:gridCol w:w="1464"/>
        <w:gridCol w:w="1440"/>
        <w:gridCol w:w="2136"/>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0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支出项目</w:t>
            </w:r>
          </w:p>
        </w:tc>
        <w:tc>
          <w:tcPr>
            <w:tcW w:w="14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预算金额</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决算金额</w:t>
            </w:r>
          </w:p>
        </w:tc>
        <w:tc>
          <w:tcPr>
            <w:tcW w:w="213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结余/超支金额</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结余/超支率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离休费</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退休费</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210.08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30.54</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-179.54</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退职（役）费</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0.12</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0.12</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抚恤金</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0.7</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0.7</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生活补助</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12.42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13.41</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0.99</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救济费</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spacing w:val="-14"/>
                <w:kern w:val="0"/>
                <w:sz w:val="32"/>
                <w:szCs w:val="32"/>
                <w:bdr w:val="none" w:color="auto" w:sz="0" w:space="0"/>
                <w:lang w:val="en-US" w:eastAsia="zh-CN" w:bidi="ar"/>
              </w:rPr>
              <w:t>医疗费补助</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1.04</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1.04</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助学金</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奖励金</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生产补贴</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住房公积金</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提租补贴</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物业服务补贴</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其他对个人和家庭的补助支出</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26.41</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26.41</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6" w:hRule="atLeast"/>
        </w:trPr>
        <w:tc>
          <w:tcPr>
            <w:tcW w:w="20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4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222.5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72.22</w:t>
            </w:r>
          </w:p>
        </w:tc>
        <w:tc>
          <w:tcPr>
            <w:tcW w:w="21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-150.28</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退休人员工资及津补贴金额列入大预算，但决算报表中不包含。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1、“三公经费”预算执行</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903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71"/>
        <w:gridCol w:w="1193"/>
        <w:gridCol w:w="1193"/>
        <w:gridCol w:w="1208"/>
        <w:gridCol w:w="1216"/>
        <w:gridCol w:w="1216"/>
        <w:gridCol w:w="1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2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费用项目</w:t>
            </w:r>
          </w:p>
        </w:tc>
        <w:tc>
          <w:tcPr>
            <w:tcW w:w="2434"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本年预算</w:t>
            </w:r>
          </w:p>
        </w:tc>
        <w:tc>
          <w:tcPr>
            <w:tcW w:w="2435"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本年决算</w:t>
            </w:r>
          </w:p>
        </w:tc>
        <w:tc>
          <w:tcPr>
            <w:tcW w:w="243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结余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72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基本支出</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项目支出</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基本支出</w:t>
            </w:r>
          </w:p>
        </w:tc>
        <w:tc>
          <w:tcPr>
            <w:tcW w:w="12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项目支出</w:t>
            </w:r>
          </w:p>
        </w:tc>
        <w:tc>
          <w:tcPr>
            <w:tcW w:w="12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基本支出</w:t>
            </w:r>
          </w:p>
        </w:tc>
        <w:tc>
          <w:tcPr>
            <w:tcW w:w="12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公务接待费</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48</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1.06</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46.94</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公车运行维护费</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180</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100</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12.63</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259.4</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167.37</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公务车购置费</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0</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65</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1.59</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62.48</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-1.59</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因公出国费用</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228</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165</w:t>
            </w:r>
          </w:p>
        </w:tc>
        <w:tc>
          <w:tcPr>
            <w:tcW w:w="121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15.28</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321.88</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212.72</w:t>
            </w:r>
          </w:p>
        </w:tc>
        <w:tc>
          <w:tcPr>
            <w:tcW w:w="12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-156.88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2、“三公经费”与上年度比较</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90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68"/>
        <w:gridCol w:w="1704"/>
        <w:gridCol w:w="1704"/>
        <w:gridCol w:w="1705"/>
        <w:gridCol w:w="1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2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费用项目</w:t>
            </w:r>
          </w:p>
        </w:tc>
        <w:tc>
          <w:tcPr>
            <w:tcW w:w="170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本年金额</w:t>
            </w:r>
          </w:p>
        </w:tc>
        <w:tc>
          <w:tcPr>
            <w:tcW w:w="170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上年金额</w:t>
            </w:r>
          </w:p>
        </w:tc>
        <w:tc>
          <w:tcPr>
            <w:tcW w:w="1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增减额</w:t>
            </w:r>
          </w:p>
        </w:tc>
        <w:tc>
          <w:tcPr>
            <w:tcW w:w="17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增减率%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公务接待费</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1.06</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6.59</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-5.53</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公车运行维护费</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272.03</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368.91</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-96.88</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公务车购置费</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64.07</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26.69</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37.38</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因公出国费用</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337.16</w:t>
            </w:r>
          </w:p>
        </w:tc>
        <w:tc>
          <w:tcPr>
            <w:tcW w:w="17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402.19</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-65.03</w:t>
            </w:r>
          </w:p>
        </w:tc>
        <w:tc>
          <w:tcPr>
            <w:tcW w:w="17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仿宋" w:hAnsi="仿宋" w:eastAsia="仿宋" w:cs="仿宋"/>
                <w:color w:val="000000"/>
                <w:kern w:val="0"/>
                <w:sz w:val="32"/>
                <w:szCs w:val="32"/>
                <w:bdr w:val="none" w:color="auto" w:sz="0" w:space="0"/>
                <w:lang w:val="en-US" w:eastAsia="zh-CN" w:bidi="ar"/>
              </w:rPr>
              <w:t>-16%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1、专项资金预算执行</w:t>
      </w: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单位：万元)</w:t>
      </w:r>
    </w:p>
    <w:tbl>
      <w:tblPr>
        <w:tblW w:w="93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83"/>
        <w:gridCol w:w="1010"/>
        <w:gridCol w:w="871"/>
        <w:gridCol w:w="1336"/>
        <w:gridCol w:w="1336"/>
        <w:gridCol w:w="1336"/>
        <w:gridCol w:w="850"/>
        <w:gridCol w:w="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22" w:hRule="atLeast"/>
        </w:trPr>
        <w:tc>
          <w:tcPr>
            <w:tcW w:w="180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专项子目名称</w:t>
            </w:r>
          </w:p>
        </w:tc>
        <w:tc>
          <w:tcPr>
            <w:tcW w:w="4470"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本年预算可用指标</w:t>
            </w:r>
          </w:p>
        </w:tc>
        <w:tc>
          <w:tcPr>
            <w:tcW w:w="123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本年实际支出</w:t>
            </w:r>
          </w:p>
        </w:tc>
        <w:tc>
          <w:tcPr>
            <w:tcW w:w="88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结余</w:t>
            </w:r>
          </w:p>
        </w:tc>
        <w:tc>
          <w:tcPr>
            <w:tcW w:w="92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进度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6" w:hRule="atLeast"/>
        </w:trPr>
        <w:tc>
          <w:tcPr>
            <w:tcW w:w="180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结余</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预算</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追加</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23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2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商品和服务支出</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674</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1535.46</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2209.46</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2209.46</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对个人和家庭的补助</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187</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164.16</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164.16</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基本建设支出</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3219.77</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3219.77</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3219.77</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0"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其他资本性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支出</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190</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935.44</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1125.44</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1125.44</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其他支出</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18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合计</w:t>
            </w:r>
          </w:p>
        </w:tc>
        <w:tc>
          <w:tcPr>
            <w:tcW w:w="10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1051</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5667.83</w:t>
            </w:r>
          </w:p>
        </w:tc>
        <w:tc>
          <w:tcPr>
            <w:tcW w:w="12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6718.83</w:t>
            </w:r>
          </w:p>
        </w:tc>
        <w:tc>
          <w:tcPr>
            <w:tcW w:w="12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6718.83</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c>
          <w:tcPr>
            <w:tcW w:w="9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仿宋" w:hAnsi="仿宋" w:eastAsia="仿宋" w:cs="仿宋"/>
                <w:color w:val="000000"/>
                <w:kern w:val="0"/>
                <w:sz w:val="32"/>
                <w:szCs w:val="3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1、商品服务支出主要为公安业务经费开支。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2、对个人和家庭的补助主要为在押人员的伙食费、医疗费。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3、基本建设支出为业务用房、酿溪派出所、坪上派出所、“两所合一”等基础建设开支。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4、资本性支出主要为治安监控、侦查技术等专用设备购置。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lang w:val="en-US" w:eastAsia="zh-CN" w:bidi="ar"/>
        </w:rPr>
        <w:t>2019年以来，我局在县委、县政府和上级公安机关的坚强领导下，深入践行“对党忠诚、服务人民、执法公正、纪律严明”的总要求，以做好新中国成立70周年大庆安保维稳工作为主线，坚决维护政治安全、社会安定、人民安宁，各项公安工作和队伍建设不断取得新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（一）全力以赴“保大庆、护稳定、卫民安”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一是确保全县政治安全。</w:t>
      </w:r>
      <w:r>
        <w:rPr>
          <w:rFonts w:hint="eastAsia" w:ascii="仿宋" w:hAnsi="仿宋" w:eastAsia="仿宋" w:cs="仿宋"/>
          <w:i w:val="0"/>
          <w:caps w:val="0"/>
          <w:color w:val="000000"/>
          <w:spacing w:val="0"/>
          <w:kern w:val="0"/>
          <w:sz w:val="32"/>
          <w:szCs w:val="32"/>
          <w:bdr w:val="none" w:color="auto" w:sz="0" w:space="0"/>
          <w:lang w:val="en-US" w:eastAsia="zh-CN" w:bidi="ar"/>
        </w:rPr>
        <w:t>我局坚持把防范政治风险、维护政治安全置于首位。对政治重点人开展教育管控工作，确保全县未发生重大敏感政治案事件。坚持强化意识形态安全工作，有效打击政治谣言。严密防范境内外敌对势力的渗透颠覆破坏活动，严防香港“反修例”活动倒灌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二是确保有效防控风险。</w:t>
      </w:r>
      <w:r>
        <w:rPr>
          <w:rFonts w:hint="eastAsia" w:ascii="仿宋" w:hAnsi="仿宋" w:eastAsia="仿宋" w:cs="仿宋"/>
          <w:i w:val="0"/>
          <w:caps w:val="0"/>
          <w:color w:val="000000"/>
          <w:spacing w:val="0"/>
          <w:kern w:val="0"/>
          <w:sz w:val="32"/>
          <w:szCs w:val="32"/>
          <w:bdr w:val="none" w:color="auto" w:sz="0" w:space="0"/>
          <w:lang w:val="en-US" w:eastAsia="zh-CN" w:bidi="ar"/>
        </w:rPr>
        <w:t>有效化解了退役军人赴云南、广西祭扫滋事的重大风险。坚持和发展新时代“枫桥经验”，及时发现、排查、化解各类不安定因素，共化解各类重大矛盾纠纷120余起。积极防范化解涉众型风险，对谢海林非法吸收公众存款案进行重点打击，有力地维护了我县经济大局的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三是确保防范暴恐危害。</w:t>
      </w:r>
      <w:r>
        <w:rPr>
          <w:rFonts w:hint="eastAsia" w:ascii="仿宋" w:hAnsi="仿宋" w:eastAsia="仿宋" w:cs="仿宋"/>
          <w:i w:val="0"/>
          <w:caps w:val="0"/>
          <w:color w:val="000000"/>
          <w:spacing w:val="0"/>
          <w:kern w:val="0"/>
          <w:sz w:val="32"/>
          <w:szCs w:val="32"/>
          <w:bdr w:val="none" w:color="auto" w:sz="0" w:space="0"/>
          <w:lang w:val="en-US" w:eastAsia="zh-CN" w:bidi="ar"/>
        </w:rPr>
        <w:t>组织开展对党政机关、学校医院、公交的涉恐隐患监督检查，加强对关注人员的动态管控，不断强化工作措施，严防形成暴恐现实危害。积极开展多种形式的反恐防恐宣传活动，发放各类宣传资料六千余份。9月30日，我局在暗访中发现县汽车总站未严格履行安检职责，依照《反恐法》对该单位罚款十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四是确保维护社会稳定</w:t>
      </w:r>
      <w:r>
        <w:rPr>
          <w:rFonts w:hint="eastAsia" w:ascii="仿宋" w:hAnsi="仿宋" w:eastAsia="仿宋" w:cs="仿宋"/>
          <w:i w:val="0"/>
          <w:caps w:val="0"/>
          <w:color w:val="000000"/>
          <w:spacing w:val="0"/>
          <w:kern w:val="0"/>
          <w:sz w:val="32"/>
          <w:szCs w:val="32"/>
          <w:bdr w:val="none" w:color="auto" w:sz="0" w:space="0"/>
          <w:lang w:val="en-US" w:eastAsia="zh-CN" w:bidi="ar"/>
        </w:rPr>
        <w:t>。全面提高治安防控等级，全警参加巡逻防控，“邵阳快警”动中备勤，快速反应，县局机关82名警力国庆节前后下沉派出所，支援基层派出所开展安保维稳工作。加强对各类重点人员的排查梳理，全面落实管控措施。加强对学校等8类重点场所的安全措施落实情况进行全面排查，责令落实安保力量及安保措施，对15家落实不单位的学校、幼儿园处以警告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五是确保安全无事故。</w:t>
      </w:r>
      <w:r>
        <w:rPr>
          <w:rFonts w:hint="eastAsia" w:ascii="仿宋" w:hAnsi="仿宋" w:eastAsia="仿宋" w:cs="仿宋"/>
          <w:i w:val="0"/>
          <w:caps w:val="0"/>
          <w:color w:val="000000"/>
          <w:spacing w:val="0"/>
          <w:kern w:val="0"/>
          <w:sz w:val="32"/>
          <w:szCs w:val="32"/>
          <w:bdr w:val="none" w:color="auto" w:sz="0" w:space="0"/>
          <w:lang w:val="en-US" w:eastAsia="zh-CN" w:bidi="ar"/>
        </w:rPr>
        <w:t>加强对枪爆物品的安全管理。加强道路交通安全管理，保障各重要节日全县交通畅通，发布了“两公开一提示”预警信息，通过及时发布路况，提示市民合理出行。查处酒驾醉驾、涉牌涉证、非法营运、道路违停等各类交通违法行为5000余起，刑事拘留2人。函告县商务局及各乡镇整顿马路市场，消除交通安全隐患，确保了全县无重特大公共安全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（二）突出主责“除黑恶、剿毒患、扫黄赌”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 w:right="0" w:firstLine="482"/>
        <w:jc w:val="left"/>
      </w:pPr>
      <w:r>
        <w:rPr>
          <w:rFonts w:hint="eastAsia" w:ascii="仿宋" w:hAnsi="仿宋" w:eastAsia="仿宋" w:cs="仿宋"/>
          <w:b/>
          <w:i w:val="0"/>
          <w:caps w:val="0"/>
          <w:color w:val="000000"/>
          <w:spacing w:val="0"/>
          <w:kern w:val="0"/>
          <w:sz w:val="32"/>
          <w:szCs w:val="32"/>
          <w:bdr w:val="none" w:color="auto" w:sz="0" w:space="0"/>
          <w:lang w:val="en-US" w:eastAsia="zh-CN" w:bidi="ar"/>
        </w:rPr>
        <w:t>一是深入开展扫黑除恶专项斗争</w:t>
      </w:r>
      <w:r>
        <w:rPr>
          <w:rFonts w:hint="eastAsia" w:ascii="仿宋" w:hAnsi="仿宋" w:eastAsia="仿宋" w:cs="仿宋"/>
          <w:i w:val="0"/>
          <w:caps w:val="0"/>
          <w:color w:val="000000"/>
          <w:spacing w:val="0"/>
          <w:kern w:val="0"/>
          <w:sz w:val="32"/>
          <w:szCs w:val="32"/>
          <w:bdr w:val="none" w:color="auto" w:sz="0" w:space="0"/>
          <w:lang w:val="en-US" w:eastAsia="zh-CN" w:bidi="ar"/>
        </w:rPr>
        <w:t>，</w:t>
      </w:r>
      <w:r>
        <w:rPr>
          <w:rFonts w:hint="eastAsia" w:ascii="仿宋" w:hAnsi="仿宋" w:eastAsia="仿宋" w:cs="仿宋"/>
          <w:b/>
          <w:i w:val="0"/>
          <w:caps w:val="0"/>
          <w:color w:val="000000"/>
          <w:spacing w:val="0"/>
          <w:kern w:val="0"/>
          <w:sz w:val="32"/>
          <w:szCs w:val="32"/>
          <w:bdr w:val="none" w:color="auto" w:sz="0" w:space="0"/>
          <w:lang w:val="en-US" w:eastAsia="zh-CN" w:bidi="ar"/>
        </w:rPr>
        <w:t>有效整治社会乱源</w:t>
      </w:r>
      <w:r>
        <w:rPr>
          <w:rFonts w:hint="eastAsia" w:ascii="仿宋" w:hAnsi="仿宋" w:eastAsia="仿宋" w:cs="仿宋"/>
          <w:i w:val="0"/>
          <w:caps w:val="0"/>
          <w:color w:val="000000"/>
          <w:spacing w:val="0"/>
          <w:kern w:val="0"/>
          <w:sz w:val="32"/>
          <w:szCs w:val="32"/>
          <w:bdr w:val="none" w:color="auto" w:sz="0" w:space="0"/>
          <w:lang w:val="en-US" w:eastAsia="zh-CN" w:bidi="ar"/>
        </w:rPr>
        <w:t>。2018年11月以来，我局共办理涉黑涉恶类刑事案件136起，破案75起，刑事拘留涉黑涉恶类犯罪嫌疑人256人，执行逮捕149人，移送起诉264人，打掉1个黑社会性质犯罪组织，2个涉恶犯罪集团，7个涉恶犯罪团伙。目前，法院以黑、恶势力判决共65人，其中涉黑判决31人，涉恶判决34人。摧毁了雷海祥等人涉恶犯罪集团，端掉了谢标兵、刘锡稳等人涉恶犯罪集团。在“云剑行动”中，我局通过压实全警职责，强化追逃力度，追逃抓回各类逃犯79人，其中1名为公安部督捕的重大逃犯。在“宝庆风雷”百日会战中，我局以除黑恶、剿毒患、扫黄赌为重点，集中打击各类违法犯罪行为，不定期组织开展统一清查行动13次，清查中小旅社、网吧、娱乐场所、足浴场所317家，盘查车辆5028台，查处违法车121台，查处酒驾、毒驾人数105名。我局以涉黑涉恶犯罪较为突出的乡镇为重点开展整治，对沪昆高铁邵阳北站黑车非法运营中产生的违法犯罪问题进行有效打击，取得了良好的社会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三是持续打击“盗抢骗”犯罪，实现“命案必破”工作目标</w:t>
      </w:r>
      <w:r>
        <w:rPr>
          <w:rFonts w:hint="eastAsia" w:ascii="仿宋" w:hAnsi="仿宋" w:eastAsia="仿宋" w:cs="仿宋"/>
          <w:i w:val="0"/>
          <w:caps w:val="0"/>
          <w:color w:val="000000"/>
          <w:spacing w:val="0"/>
          <w:kern w:val="0"/>
          <w:sz w:val="32"/>
          <w:szCs w:val="32"/>
          <w:bdr w:val="none" w:color="auto" w:sz="0" w:space="0"/>
          <w:lang w:val="en-US" w:eastAsia="zh-CN" w:bidi="ar"/>
        </w:rPr>
        <w:t>。我局专门成立了打击“盗抢骗”违法犯罪专案组，全局共破获“盗抢骗”案件105起，其中破坏盗窃案95起，抢劫案2起，诈骗案7起。其中侦破了“王某娟、谢某芹等人‘仙人跳’盗窃案”、“曾某、谢某阳等人团伙盗窃电动车和摩托车案”和“邓某青、朱某梅等人假造外省医院住院发票骗取医保专款案”等一批系列盗窃、诈骗等案件。有力打击盗抢骗犯罪分子的嚣张气焰，维护社会治安平安有序。今年以来，我县发生命案6起，破案6起，实现了命案全破的工作目标。4月11日，我局刑侦大队在潭溪镇光明村破获命案积案一起，抓获并逮捕犯罪嫌疑人周某等3人。5月30日，坪上镇峡山桥村发生一起故意杀人案，我局仅用了30分钟就破案将犯罪嫌疑人罗某抓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四是全力开展禁毒攻坚行动，重拳打击涉毒违法犯罪。</w:t>
      </w:r>
      <w:r>
        <w:rPr>
          <w:rFonts w:hint="eastAsia" w:ascii="仿宋" w:hAnsi="仿宋" w:eastAsia="仿宋" w:cs="仿宋"/>
          <w:i w:val="0"/>
          <w:caps w:val="0"/>
          <w:color w:val="000000"/>
          <w:spacing w:val="0"/>
          <w:kern w:val="0"/>
          <w:sz w:val="32"/>
          <w:szCs w:val="32"/>
          <w:bdr w:val="none" w:color="auto" w:sz="0" w:space="0"/>
          <w:lang w:val="en-US" w:eastAsia="zh-CN" w:bidi="ar"/>
        </w:rPr>
        <w:t>2018年11月以来，破获省督“2019-10”目标案件一起，缴获毒品海洛因等7600余克，抓获犯罪嫌疑人5人。破获部督“2019－294”目标案件一起，缴获毒品冰毒56公斤、海洛因53余克，抓获犯罪嫌疑人19名，收缴毒资人民币现金72余万元，冻结银行存款100余万元。共查处吸毒人员298人，强制戒毒141人，刑事拘留88人，移送起诉91人，有效地遏制了毒品在我县蔓延的势头。我局通过加强对涉毒人员的管控措施，严厉打击外流贩毒，今年以来外流贩毒人员数量较去年明显下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（三）凝心聚力“强基层、强基础、谋发展”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一是公安硬件建设迈上了新台阶。</w:t>
      </w:r>
      <w:r>
        <w:rPr>
          <w:rFonts w:hint="eastAsia" w:ascii="仿宋" w:hAnsi="仿宋" w:eastAsia="仿宋" w:cs="仿宋"/>
          <w:i w:val="0"/>
          <w:caps w:val="0"/>
          <w:color w:val="000000"/>
          <w:spacing w:val="0"/>
          <w:kern w:val="0"/>
          <w:sz w:val="32"/>
          <w:szCs w:val="32"/>
          <w:bdr w:val="none" w:color="auto" w:sz="0" w:space="0"/>
          <w:lang w:val="en-US" w:eastAsia="zh-CN" w:bidi="ar"/>
        </w:rPr>
        <w:t>2016年以来，筹措、投入资金9000余万元，全面完成了公安业务技术用房的建设工作，并于今年8月顺利启用。投资3000余万元，启动县戒毒所、县拘留所二所合一新建工程，现已完成主体工程建设，预计于11月底投入使用。全县公安机关基础设施建设取得了突破性进展，有效地改善了民警办公办案条件，提升了公安机关的打击、防范和服务质效，为新邵公安事业的长远发展奠定了坚实的物质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3"/>
        <w:jc w:val="left"/>
      </w:pPr>
      <w:r>
        <w:rPr>
          <w:rFonts w:hint="eastAsia" w:ascii="仿宋" w:hAnsi="仿宋" w:eastAsia="仿宋" w:cs="仿宋"/>
          <w:b/>
          <w:i w:val="0"/>
          <w:caps w:val="0"/>
          <w:color w:val="000000"/>
          <w:spacing w:val="0"/>
          <w:kern w:val="0"/>
          <w:sz w:val="32"/>
          <w:szCs w:val="32"/>
          <w:bdr w:val="none" w:color="auto" w:sz="0" w:space="0"/>
          <w:lang w:val="en-US" w:eastAsia="zh-CN" w:bidi="ar"/>
        </w:rPr>
        <w:t>二是全面推行“一村一辅警战略”。</w:t>
      </w:r>
      <w:r>
        <w:rPr>
          <w:rFonts w:hint="eastAsia" w:ascii="仿宋" w:hAnsi="仿宋" w:eastAsia="仿宋" w:cs="仿宋"/>
          <w:i w:val="0"/>
          <w:caps w:val="0"/>
          <w:color w:val="000000"/>
          <w:spacing w:val="0"/>
          <w:kern w:val="0"/>
          <w:sz w:val="32"/>
          <w:szCs w:val="32"/>
          <w:bdr w:val="none" w:color="auto" w:sz="0" w:space="0"/>
          <w:lang w:val="en-US" w:eastAsia="zh-CN" w:bidi="ar"/>
        </w:rPr>
        <w:t>今年建成辅警工作站402个，辅警驻村到岗率100℅。辅警管理日趋规范，工作成效日益显现，取得了农村刑事、治安案件发案率明显下降，基层警力大大增强，群众安全感、满意度明显提高，民调结果大幅提升的“一降三增一提升”的显著成效。一村一辅警共走访群众75185户，为群众办好事办实事6714起，调解纠纷2717起，开展法制宣传2269次，治安巡逻5496次，协查刑事案件81起，协查行政案件296起，化解民转刑案件25起，协助交通疏导2436次，开展安检查2314次，排查各类安全隐患1920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pPr>
      <w:r>
        <w:rPr>
          <w:rFonts w:hint="eastAsia" w:ascii="仿宋" w:hAnsi="仿宋" w:eastAsia="仿宋" w:cs="仿宋"/>
          <w:b/>
          <w:i w:val="0"/>
          <w:caps w:val="0"/>
          <w:color w:val="000000"/>
          <w:spacing w:val="0"/>
          <w:sz w:val="32"/>
          <w:szCs w:val="32"/>
          <w:bdr w:val="none" w:color="auto" w:sz="0" w:space="0"/>
        </w:rPr>
        <w:t>三是“邵阳快警”全力守护县城平安。</w:t>
      </w:r>
      <w:r>
        <w:rPr>
          <w:rFonts w:hint="eastAsia" w:ascii="仿宋" w:hAnsi="仿宋" w:eastAsia="仿宋" w:cs="仿宋"/>
          <w:i w:val="0"/>
          <w:caps w:val="0"/>
          <w:color w:val="000000"/>
          <w:spacing w:val="0"/>
          <w:sz w:val="32"/>
          <w:szCs w:val="32"/>
          <w:bdr w:val="none" w:color="auto" w:sz="0" w:space="0"/>
        </w:rPr>
        <w:t>“邵阳快警”移动警务平台按照有警处警、无警巡逻的要求，深入织密防控网格，科学合理布警，切实履行县城区社会面日常巡逻防控职责。今年以来，“邵阳快警”新邵平台基本做到了“1、3、5”分钟处警要求，共接处警5000余起，当场抓获各类违法犯罪嫌疑人45人，调处各类矛盾纠纷526起，救助各类走失、迷路老人78人。在今年的全市“三警大比武”中，“邵阳快警”新邵一号平台获得三等奖，二号平台获得二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（四）锻造队伍“重教育、严纪律、抓落实”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一是大力实施政治建警系列工程</w:t>
      </w:r>
      <w:r>
        <w:rPr>
          <w:rFonts w:hint="eastAsia" w:ascii="仿宋" w:hAnsi="仿宋" w:eastAsia="仿宋" w:cs="仿宋"/>
          <w:i w:val="0"/>
          <w:caps w:val="0"/>
          <w:color w:val="000000"/>
          <w:spacing w:val="0"/>
          <w:kern w:val="0"/>
          <w:sz w:val="32"/>
          <w:szCs w:val="32"/>
          <w:bdr w:val="none" w:color="auto" w:sz="0" w:space="0"/>
          <w:lang w:val="en-US" w:eastAsia="zh-CN" w:bidi="ar"/>
        </w:rPr>
        <w:t>。把加强政治建设摆在首位，以政治建设统领思想建设、组织建设、作风建设、纪律建设，增强“四个意识”，坚定“四个自信”，做到“两个维护”。积极开展“不忘初心，牢记使命”主题教育学习和“践行新使命，忠诚保大庆”主题实践活动，将主题教育学习与打击违法犯罪、服务群众等具体工作结合起来，全面落实从优待警各项措施，深入实施改革强警战略，稳妥推进职务序列改革，不断提高民警辅警队伍的核心战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二是坚持从严治警不放松。</w:t>
      </w:r>
      <w:r>
        <w:rPr>
          <w:rFonts w:hint="eastAsia" w:ascii="仿宋" w:hAnsi="仿宋" w:eastAsia="仿宋" w:cs="仿宋"/>
          <w:i w:val="0"/>
          <w:caps w:val="0"/>
          <w:color w:val="000000"/>
          <w:spacing w:val="0"/>
          <w:kern w:val="0"/>
          <w:sz w:val="32"/>
          <w:szCs w:val="32"/>
          <w:bdr w:val="none" w:color="auto" w:sz="0" w:space="0"/>
          <w:lang w:val="en-US" w:eastAsia="zh-CN" w:bidi="ar"/>
        </w:rPr>
        <w:t>全局全面落实从严治警各项纪律规定，在新中国成立70周年大庆安保维稳期间实行“四个一律”纪律要求，以严格纪律管理约束队伍。局领导带头落实各项纪律，到各分管单位进行督导检查。县局警务督察大队牵头对各单位安保维稳工作落实情况及遵守纪律情况开展不定期明查暗访。省厅、市局多次督导检查中对我局安保维稳工作表示充分肯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eastAsia" w:ascii="仿宋" w:hAnsi="仿宋" w:eastAsia="仿宋" w:cs="仿宋"/>
          <w:b/>
          <w:i w:val="0"/>
          <w:caps w:val="0"/>
          <w:color w:val="000000"/>
          <w:spacing w:val="0"/>
          <w:kern w:val="0"/>
          <w:sz w:val="32"/>
          <w:szCs w:val="32"/>
          <w:bdr w:val="none" w:color="auto" w:sz="0" w:space="0"/>
          <w:lang w:val="en-US" w:eastAsia="zh-CN" w:bidi="ar"/>
        </w:rPr>
        <w:t>三是积极开展先进典型宣传。</w:t>
      </w:r>
      <w:r>
        <w:rPr>
          <w:rFonts w:hint="eastAsia" w:ascii="仿宋" w:hAnsi="仿宋" w:eastAsia="仿宋" w:cs="仿宋"/>
          <w:i w:val="0"/>
          <w:caps w:val="0"/>
          <w:color w:val="000000"/>
          <w:spacing w:val="0"/>
          <w:kern w:val="0"/>
          <w:sz w:val="32"/>
          <w:szCs w:val="32"/>
          <w:bdr w:val="none" w:color="auto" w:sz="0" w:space="0"/>
          <w:lang w:val="en-US" w:eastAsia="zh-CN" w:bidi="ar"/>
        </w:rPr>
        <w:t>县局双微平台开设了扫黑除恶等专栏，致力于讲好新时代警察故事。县局对工作中呈现出来的先进单位和先进个人，予以呈报市局战时记功表彰，全局1名民警被省厅记二等功、5名民警被市局记三等功、7名民警被市局嘉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五、有关建议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针对上述存在的问题及我局整体支出管理工作的需要，拟实施的改进措施如下：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1、细化预算编制工作，认真做好预算的编制。进一步加强局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队室预算“二上二下”方式，提高预算的合理性和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2、加强财务管理，严格财务审核。在费用报账支付时，按照预算规定的费用项目和用途进行资金使用审核、列报支付、财务核算，杜绝超支现象的发生。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3、持续抓好“三公”经费控制管理。严格控制“三公”经费的规模和比例，把关“三公”经费支出的审核、审批，杜绝挪用和挤占其他预算资金行为；进一步细化“三公”经费的管理，合理压缩“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4、加强项目开展进度的跟踪，开展项目绩效评价，确保项目绩效目标的完成。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A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2021-06-06T06:38:25Z</dcterms:created>
  <dc:creator>Administrator</dc:creator>
  <cp:lastModifiedBy>Administrator</cp:lastModifiedBy>
  <dcterms:modified xsi:type="dcterms:W3CDTF">2021-06-06T06:39:00Z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