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E6E61">
      <w:pPr>
        <w:pStyle w:val="3"/>
        <w:keepNext w:val="0"/>
        <w:keepLines w:val="0"/>
        <w:pageBreakBefore w:val="0"/>
        <w:widowControl/>
        <w:kinsoku w:val="0"/>
        <w:wordWrap/>
        <w:overflowPunct/>
        <w:topLinePunct w:val="0"/>
        <w:autoSpaceDE w:val="0"/>
        <w:autoSpaceDN w:val="0"/>
        <w:bidi w:val="0"/>
        <w:adjustRightInd w:val="0"/>
        <w:snapToGrid/>
        <w:spacing w:before="0" w:beforeLines="30" w:after="0" w:afterLines="30" w:line="240" w:lineRule="auto"/>
        <w:textAlignment w:val="baseline"/>
        <w:rPr>
          <w:rFonts w:hint="eastAsia" w:ascii="仿宋_GB2312" w:hAnsi="仿宋_GB2312" w:eastAsia="仿宋_GB2312" w:cs="仿宋_GB2312"/>
          <w:spacing w:val="0"/>
          <w:sz w:val="32"/>
          <w:szCs w:val="32"/>
        </w:rPr>
      </w:pPr>
      <w:bookmarkStart w:id="0" w:name="_GoBack"/>
      <w:bookmarkEnd w:id="0"/>
      <w:r>
        <w:rPr>
          <w:rFonts w:hint="eastAsia" w:ascii="仿宋_GB2312" w:hAnsi="仿宋_GB2312" w:eastAsia="仿宋_GB2312" w:cs="仿宋_GB2312"/>
          <w:spacing w:val="0"/>
          <w:sz w:val="32"/>
          <w:szCs w:val="32"/>
        </w:rPr>
        <w:t>附件1</w:t>
      </w:r>
    </w:p>
    <w:p w14:paraId="6BEF59F7">
      <w:pPr>
        <w:spacing w:before="78" w:line="221" w:lineRule="auto"/>
        <w:jc w:val="center"/>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val="0"/>
          <w:bCs w:val="0"/>
          <w:spacing w:val="0"/>
          <w:sz w:val="44"/>
          <w:szCs w:val="44"/>
        </w:rPr>
        <w:t>202</w:t>
      </w:r>
      <w:r>
        <w:rPr>
          <w:rFonts w:hint="eastAsia" w:ascii="方正小标宋_GBK" w:hAnsi="方正小标宋_GBK" w:eastAsia="方正小标宋_GBK" w:cs="方正小标宋_GBK"/>
          <w:b w:val="0"/>
          <w:bCs w:val="0"/>
          <w:spacing w:val="0"/>
          <w:sz w:val="44"/>
          <w:szCs w:val="44"/>
          <w:lang w:val="en-US" w:eastAsia="zh-CN"/>
        </w:rPr>
        <w:t>4</w:t>
      </w:r>
      <w:r>
        <w:rPr>
          <w:rFonts w:hint="eastAsia" w:ascii="方正小标宋_GBK" w:hAnsi="方正小标宋_GBK" w:eastAsia="方正小标宋_GBK" w:cs="方正小标宋_GBK"/>
          <w:b w:val="0"/>
          <w:bCs w:val="0"/>
          <w:spacing w:val="0"/>
          <w:sz w:val="44"/>
          <w:szCs w:val="44"/>
        </w:rPr>
        <w:t>年度部门整体支出绩效评价基础数据表</w:t>
      </w:r>
    </w:p>
    <w:p w14:paraId="586305B3">
      <w:pPr>
        <w:spacing w:line="223" w:lineRule="exact"/>
        <w:rPr>
          <w:rFonts w:hint="eastAsia" w:ascii="仿宋_GB2312" w:hAnsi="仿宋_GB2312" w:eastAsia="仿宋_GB2312" w:cs="仿宋_GB2312"/>
          <w:spacing w:val="0"/>
        </w:rPr>
      </w:pPr>
    </w:p>
    <w:tbl>
      <w:tblPr>
        <w:tblStyle w:val="11"/>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25"/>
        <w:gridCol w:w="941"/>
        <w:gridCol w:w="922"/>
        <w:gridCol w:w="931"/>
        <w:gridCol w:w="1012"/>
        <w:gridCol w:w="991"/>
        <w:gridCol w:w="917"/>
      </w:tblGrid>
      <w:tr w14:paraId="28C4F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3225" w:type="dxa"/>
            <w:vMerge w:val="restart"/>
            <w:tcBorders>
              <w:bottom w:val="nil"/>
            </w:tcBorders>
            <w:vAlign w:val="top"/>
          </w:tcPr>
          <w:p w14:paraId="1CBB22BC">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textAlignment w:val="baseline"/>
              <w:rPr>
                <w:rFonts w:hint="eastAsia" w:ascii="仿宋_GB2312" w:hAnsi="仿宋_GB2312" w:eastAsia="仿宋_GB2312" w:cs="仿宋_GB2312"/>
                <w:spacing w:val="0"/>
                <w:sz w:val="21"/>
                <w:szCs w:val="21"/>
              </w:rPr>
            </w:pPr>
          </w:p>
          <w:p w14:paraId="44CDAB00">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424"/>
              <w:textAlignment w:val="baseline"/>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rPr>
              <w:t>财政供养人员情况</w:t>
            </w: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rPr>
              <w:t>人</w:t>
            </w:r>
            <w:r>
              <w:rPr>
                <w:rFonts w:hint="eastAsia" w:ascii="仿宋_GB2312" w:hAnsi="仿宋_GB2312" w:eastAsia="仿宋_GB2312" w:cs="仿宋_GB2312"/>
                <w:spacing w:val="0"/>
                <w:sz w:val="21"/>
                <w:szCs w:val="21"/>
                <w:lang w:eastAsia="zh-CN"/>
              </w:rPr>
              <w:t>）</w:t>
            </w:r>
          </w:p>
        </w:tc>
        <w:tc>
          <w:tcPr>
            <w:tcW w:w="1863" w:type="dxa"/>
            <w:gridSpan w:val="2"/>
            <w:vAlign w:val="center"/>
          </w:tcPr>
          <w:p w14:paraId="3EEC3E9E">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0" w:right="0" w:firstLine="0"/>
              <w:jc w:val="center"/>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编制数</w:t>
            </w:r>
          </w:p>
        </w:tc>
        <w:tc>
          <w:tcPr>
            <w:tcW w:w="1943" w:type="dxa"/>
            <w:gridSpan w:val="2"/>
            <w:vAlign w:val="center"/>
          </w:tcPr>
          <w:p w14:paraId="4BBFA254">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0" w:right="0" w:firstLine="0"/>
              <w:jc w:val="center"/>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w:t>
            </w:r>
            <w:r>
              <w:rPr>
                <w:rFonts w:hint="eastAsia" w:ascii="仿宋_GB2312" w:hAnsi="仿宋_GB2312" w:eastAsia="仿宋_GB2312" w:cs="仿宋_GB2312"/>
                <w:spacing w:val="0"/>
                <w:sz w:val="21"/>
                <w:szCs w:val="21"/>
                <w:lang w:val="en-US" w:eastAsia="zh-CN"/>
              </w:rPr>
              <w:t>4</w:t>
            </w:r>
            <w:r>
              <w:rPr>
                <w:rFonts w:hint="eastAsia" w:ascii="仿宋_GB2312" w:hAnsi="仿宋_GB2312" w:eastAsia="仿宋_GB2312" w:cs="仿宋_GB2312"/>
                <w:spacing w:val="0"/>
                <w:sz w:val="21"/>
                <w:szCs w:val="21"/>
              </w:rPr>
              <w:t>年实际</w:t>
            </w:r>
          </w:p>
          <w:p w14:paraId="63557C0A">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0" w:right="0" w:firstLine="0"/>
              <w:jc w:val="center"/>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在职人数</w:t>
            </w:r>
          </w:p>
        </w:tc>
        <w:tc>
          <w:tcPr>
            <w:tcW w:w="1908" w:type="dxa"/>
            <w:gridSpan w:val="2"/>
            <w:vAlign w:val="center"/>
          </w:tcPr>
          <w:p w14:paraId="24AD555C">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0" w:right="0" w:firstLine="0"/>
              <w:jc w:val="center"/>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控制率</w:t>
            </w:r>
          </w:p>
        </w:tc>
      </w:tr>
      <w:tr w14:paraId="0B545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3225" w:type="dxa"/>
            <w:vMerge w:val="continue"/>
            <w:tcBorders>
              <w:top w:val="nil"/>
            </w:tcBorders>
            <w:vAlign w:val="top"/>
          </w:tcPr>
          <w:p w14:paraId="04D88B8E">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textAlignment w:val="baseline"/>
              <w:rPr>
                <w:rFonts w:hint="eastAsia" w:ascii="仿宋_GB2312" w:hAnsi="仿宋_GB2312" w:eastAsia="仿宋_GB2312" w:cs="仿宋_GB2312"/>
                <w:spacing w:val="0"/>
                <w:sz w:val="21"/>
                <w:szCs w:val="21"/>
              </w:rPr>
            </w:pPr>
          </w:p>
        </w:tc>
        <w:tc>
          <w:tcPr>
            <w:tcW w:w="1863" w:type="dxa"/>
            <w:gridSpan w:val="2"/>
            <w:vAlign w:val="top"/>
          </w:tcPr>
          <w:p w14:paraId="3CC522C9">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30</w:t>
            </w:r>
          </w:p>
        </w:tc>
        <w:tc>
          <w:tcPr>
            <w:tcW w:w="1943" w:type="dxa"/>
            <w:gridSpan w:val="2"/>
            <w:vAlign w:val="top"/>
          </w:tcPr>
          <w:p w14:paraId="5D92801A">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22</w:t>
            </w:r>
          </w:p>
        </w:tc>
        <w:tc>
          <w:tcPr>
            <w:tcW w:w="1908" w:type="dxa"/>
            <w:gridSpan w:val="2"/>
            <w:vAlign w:val="top"/>
          </w:tcPr>
          <w:p w14:paraId="1BAA8FD7">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100%</w:t>
            </w:r>
          </w:p>
        </w:tc>
      </w:tr>
      <w:tr w14:paraId="3ED81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3225" w:type="dxa"/>
            <w:vAlign w:val="top"/>
          </w:tcPr>
          <w:p w14:paraId="0F24CB41">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534"/>
              <w:textAlignment w:val="baseline"/>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rPr>
              <w:t>经费控制情况</w:t>
            </w: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rPr>
              <w:t>万元</w:t>
            </w:r>
            <w:r>
              <w:rPr>
                <w:rFonts w:hint="eastAsia" w:ascii="仿宋_GB2312" w:hAnsi="仿宋_GB2312" w:eastAsia="仿宋_GB2312" w:cs="仿宋_GB2312"/>
                <w:spacing w:val="0"/>
                <w:sz w:val="21"/>
                <w:szCs w:val="21"/>
                <w:lang w:eastAsia="zh-CN"/>
              </w:rPr>
              <w:t>）</w:t>
            </w:r>
          </w:p>
        </w:tc>
        <w:tc>
          <w:tcPr>
            <w:tcW w:w="1863" w:type="dxa"/>
            <w:gridSpan w:val="2"/>
            <w:vAlign w:val="top"/>
          </w:tcPr>
          <w:p w14:paraId="1F9DA85B">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243"/>
              <w:jc w:val="center"/>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lang w:eastAsia="zh-CN"/>
              </w:rPr>
              <w:t>202</w:t>
            </w:r>
            <w:r>
              <w:rPr>
                <w:rFonts w:hint="eastAsia" w:ascii="仿宋_GB2312" w:hAnsi="仿宋_GB2312" w:eastAsia="仿宋_GB2312" w:cs="仿宋_GB2312"/>
                <w:spacing w:val="0"/>
                <w:sz w:val="21"/>
                <w:szCs w:val="21"/>
                <w:lang w:val="en-US" w:eastAsia="zh-CN"/>
              </w:rPr>
              <w:t>3</w:t>
            </w:r>
            <w:r>
              <w:rPr>
                <w:rFonts w:hint="eastAsia" w:ascii="仿宋_GB2312" w:hAnsi="仿宋_GB2312" w:eastAsia="仿宋_GB2312" w:cs="仿宋_GB2312"/>
                <w:spacing w:val="0"/>
                <w:sz w:val="21"/>
                <w:szCs w:val="21"/>
              </w:rPr>
              <w:t>年决算数</w:t>
            </w:r>
          </w:p>
        </w:tc>
        <w:tc>
          <w:tcPr>
            <w:tcW w:w="1943" w:type="dxa"/>
            <w:gridSpan w:val="2"/>
            <w:vAlign w:val="top"/>
          </w:tcPr>
          <w:p w14:paraId="5BE52F9B">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285"/>
              <w:jc w:val="center"/>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w:t>
            </w:r>
            <w:r>
              <w:rPr>
                <w:rFonts w:hint="eastAsia" w:ascii="仿宋_GB2312" w:hAnsi="仿宋_GB2312" w:eastAsia="仿宋_GB2312" w:cs="仿宋_GB2312"/>
                <w:spacing w:val="0"/>
                <w:sz w:val="21"/>
                <w:szCs w:val="21"/>
                <w:lang w:val="en-US" w:eastAsia="zh-CN"/>
              </w:rPr>
              <w:t>4</w:t>
            </w:r>
            <w:r>
              <w:rPr>
                <w:rFonts w:hint="eastAsia" w:ascii="仿宋_GB2312" w:hAnsi="仿宋_GB2312" w:eastAsia="仿宋_GB2312" w:cs="仿宋_GB2312"/>
                <w:spacing w:val="0"/>
                <w:sz w:val="21"/>
                <w:szCs w:val="21"/>
              </w:rPr>
              <w:t>年预算数</w:t>
            </w:r>
          </w:p>
        </w:tc>
        <w:tc>
          <w:tcPr>
            <w:tcW w:w="1908" w:type="dxa"/>
            <w:gridSpan w:val="2"/>
            <w:vAlign w:val="top"/>
          </w:tcPr>
          <w:p w14:paraId="43441C08">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267"/>
              <w:jc w:val="center"/>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w:t>
            </w:r>
            <w:r>
              <w:rPr>
                <w:rFonts w:hint="eastAsia" w:ascii="仿宋_GB2312" w:hAnsi="仿宋_GB2312" w:eastAsia="仿宋_GB2312" w:cs="仿宋_GB2312"/>
                <w:spacing w:val="0"/>
                <w:sz w:val="21"/>
                <w:szCs w:val="21"/>
                <w:lang w:val="en-US" w:eastAsia="zh-CN"/>
              </w:rPr>
              <w:t>24</w:t>
            </w:r>
            <w:r>
              <w:rPr>
                <w:rFonts w:hint="eastAsia" w:ascii="仿宋_GB2312" w:hAnsi="仿宋_GB2312" w:eastAsia="仿宋_GB2312" w:cs="仿宋_GB2312"/>
                <w:spacing w:val="0"/>
                <w:sz w:val="21"/>
                <w:szCs w:val="21"/>
              </w:rPr>
              <w:t>年决算数</w:t>
            </w:r>
          </w:p>
        </w:tc>
      </w:tr>
      <w:tr w14:paraId="76240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225" w:type="dxa"/>
            <w:vAlign w:val="top"/>
          </w:tcPr>
          <w:p w14:paraId="24095B4E">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94"/>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三公经费</w:t>
            </w:r>
          </w:p>
        </w:tc>
        <w:tc>
          <w:tcPr>
            <w:tcW w:w="1863" w:type="dxa"/>
            <w:gridSpan w:val="2"/>
            <w:vAlign w:val="top"/>
          </w:tcPr>
          <w:p w14:paraId="0C4D7D36">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0.0876</w:t>
            </w:r>
          </w:p>
        </w:tc>
        <w:tc>
          <w:tcPr>
            <w:tcW w:w="1943" w:type="dxa"/>
            <w:gridSpan w:val="2"/>
            <w:vAlign w:val="top"/>
          </w:tcPr>
          <w:p w14:paraId="59D76D8F">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0</w:t>
            </w:r>
          </w:p>
        </w:tc>
        <w:tc>
          <w:tcPr>
            <w:tcW w:w="1908" w:type="dxa"/>
            <w:gridSpan w:val="2"/>
            <w:vAlign w:val="top"/>
          </w:tcPr>
          <w:p w14:paraId="33C85953">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0</w:t>
            </w:r>
          </w:p>
        </w:tc>
      </w:tr>
      <w:tr w14:paraId="38D3F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225" w:type="dxa"/>
            <w:vAlign w:val="top"/>
          </w:tcPr>
          <w:p w14:paraId="211567E0">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right="31"/>
              <w:jc w:val="right"/>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1、公务用车购置和维护经费</w:t>
            </w:r>
          </w:p>
        </w:tc>
        <w:tc>
          <w:tcPr>
            <w:tcW w:w="1863" w:type="dxa"/>
            <w:gridSpan w:val="2"/>
            <w:vAlign w:val="top"/>
          </w:tcPr>
          <w:p w14:paraId="42A4AACA">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43" w:type="dxa"/>
            <w:gridSpan w:val="2"/>
            <w:vAlign w:val="top"/>
          </w:tcPr>
          <w:p w14:paraId="1A228E0A">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08" w:type="dxa"/>
            <w:gridSpan w:val="2"/>
            <w:vAlign w:val="top"/>
          </w:tcPr>
          <w:p w14:paraId="70FDA718">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0</w:t>
            </w:r>
          </w:p>
        </w:tc>
      </w:tr>
      <w:tr w14:paraId="6A7CC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hRule="atLeast"/>
        </w:trPr>
        <w:tc>
          <w:tcPr>
            <w:tcW w:w="3225" w:type="dxa"/>
            <w:vAlign w:val="top"/>
          </w:tcPr>
          <w:p w14:paraId="7557539F">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665"/>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其中：公车购置</w:t>
            </w:r>
          </w:p>
        </w:tc>
        <w:tc>
          <w:tcPr>
            <w:tcW w:w="1863" w:type="dxa"/>
            <w:gridSpan w:val="2"/>
            <w:vAlign w:val="top"/>
          </w:tcPr>
          <w:p w14:paraId="2BEAD334">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43" w:type="dxa"/>
            <w:gridSpan w:val="2"/>
            <w:vAlign w:val="top"/>
          </w:tcPr>
          <w:p w14:paraId="722DDC33">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08" w:type="dxa"/>
            <w:gridSpan w:val="2"/>
            <w:vAlign w:val="top"/>
          </w:tcPr>
          <w:p w14:paraId="536B2FF7">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0</w:t>
            </w:r>
          </w:p>
        </w:tc>
      </w:tr>
      <w:tr w14:paraId="501B3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225" w:type="dxa"/>
            <w:vAlign w:val="top"/>
          </w:tcPr>
          <w:p w14:paraId="1CFD4618">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1335"/>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公车运行维护</w:t>
            </w:r>
          </w:p>
        </w:tc>
        <w:tc>
          <w:tcPr>
            <w:tcW w:w="1863" w:type="dxa"/>
            <w:gridSpan w:val="2"/>
            <w:vAlign w:val="top"/>
          </w:tcPr>
          <w:p w14:paraId="4658A984">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43" w:type="dxa"/>
            <w:gridSpan w:val="2"/>
            <w:vAlign w:val="top"/>
          </w:tcPr>
          <w:p w14:paraId="25161AA2">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08" w:type="dxa"/>
            <w:gridSpan w:val="2"/>
            <w:vAlign w:val="top"/>
          </w:tcPr>
          <w:p w14:paraId="7FC7466A">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0</w:t>
            </w:r>
          </w:p>
        </w:tc>
      </w:tr>
      <w:tr w14:paraId="19D6B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225" w:type="dxa"/>
            <w:vAlign w:val="top"/>
          </w:tcPr>
          <w:p w14:paraId="04AB2A5F">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304"/>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2、出国经费</w:t>
            </w:r>
          </w:p>
        </w:tc>
        <w:tc>
          <w:tcPr>
            <w:tcW w:w="1863" w:type="dxa"/>
            <w:gridSpan w:val="2"/>
            <w:vAlign w:val="top"/>
          </w:tcPr>
          <w:p w14:paraId="52E2F9F6">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43" w:type="dxa"/>
            <w:gridSpan w:val="2"/>
            <w:vAlign w:val="top"/>
          </w:tcPr>
          <w:p w14:paraId="1A49C7E7">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08" w:type="dxa"/>
            <w:gridSpan w:val="2"/>
            <w:vAlign w:val="top"/>
          </w:tcPr>
          <w:p w14:paraId="3D914C84">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0</w:t>
            </w:r>
          </w:p>
        </w:tc>
      </w:tr>
      <w:tr w14:paraId="0D6AD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225" w:type="dxa"/>
            <w:vAlign w:val="top"/>
          </w:tcPr>
          <w:p w14:paraId="153C8DAD">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304"/>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3、公务接待</w:t>
            </w:r>
          </w:p>
        </w:tc>
        <w:tc>
          <w:tcPr>
            <w:tcW w:w="1863" w:type="dxa"/>
            <w:gridSpan w:val="2"/>
            <w:vAlign w:val="top"/>
          </w:tcPr>
          <w:p w14:paraId="663E4C06">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0.0876</w:t>
            </w:r>
          </w:p>
        </w:tc>
        <w:tc>
          <w:tcPr>
            <w:tcW w:w="1943" w:type="dxa"/>
            <w:gridSpan w:val="2"/>
            <w:vAlign w:val="top"/>
          </w:tcPr>
          <w:p w14:paraId="023E09AE">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0</w:t>
            </w:r>
          </w:p>
        </w:tc>
        <w:tc>
          <w:tcPr>
            <w:tcW w:w="1908" w:type="dxa"/>
            <w:gridSpan w:val="2"/>
            <w:vAlign w:val="top"/>
          </w:tcPr>
          <w:p w14:paraId="6371FA91">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0</w:t>
            </w:r>
          </w:p>
        </w:tc>
      </w:tr>
      <w:tr w14:paraId="33BE6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225" w:type="dxa"/>
            <w:vAlign w:val="top"/>
          </w:tcPr>
          <w:p w14:paraId="05C54935">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94"/>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项目支出：</w:t>
            </w:r>
          </w:p>
        </w:tc>
        <w:tc>
          <w:tcPr>
            <w:tcW w:w="1863" w:type="dxa"/>
            <w:gridSpan w:val="2"/>
            <w:vAlign w:val="top"/>
          </w:tcPr>
          <w:p w14:paraId="0ABE3C7A">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43" w:type="dxa"/>
            <w:gridSpan w:val="2"/>
            <w:vAlign w:val="top"/>
          </w:tcPr>
          <w:p w14:paraId="5B79EFC1">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08" w:type="dxa"/>
            <w:gridSpan w:val="2"/>
            <w:vAlign w:val="top"/>
          </w:tcPr>
          <w:p w14:paraId="7D6CAA69">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r>
      <w:tr w14:paraId="1DC5D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hRule="atLeast"/>
        </w:trPr>
        <w:tc>
          <w:tcPr>
            <w:tcW w:w="3225" w:type="dxa"/>
            <w:vAlign w:val="top"/>
          </w:tcPr>
          <w:p w14:paraId="7BCA29C7">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324"/>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1、业务工作经费</w:t>
            </w:r>
          </w:p>
        </w:tc>
        <w:tc>
          <w:tcPr>
            <w:tcW w:w="1863" w:type="dxa"/>
            <w:gridSpan w:val="2"/>
            <w:vAlign w:val="top"/>
          </w:tcPr>
          <w:p w14:paraId="484D5383">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p>
        </w:tc>
        <w:tc>
          <w:tcPr>
            <w:tcW w:w="1943" w:type="dxa"/>
            <w:gridSpan w:val="2"/>
            <w:vAlign w:val="top"/>
          </w:tcPr>
          <w:p w14:paraId="2B3120E3">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08" w:type="dxa"/>
            <w:gridSpan w:val="2"/>
            <w:vAlign w:val="top"/>
          </w:tcPr>
          <w:p w14:paraId="3CDB2305">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r>
      <w:tr w14:paraId="65222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225" w:type="dxa"/>
            <w:vAlign w:val="top"/>
          </w:tcPr>
          <w:p w14:paraId="1579AB14">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314"/>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2、运行维护经费</w:t>
            </w:r>
          </w:p>
        </w:tc>
        <w:tc>
          <w:tcPr>
            <w:tcW w:w="1863" w:type="dxa"/>
            <w:gridSpan w:val="2"/>
            <w:vAlign w:val="top"/>
          </w:tcPr>
          <w:p w14:paraId="35C56868">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43" w:type="dxa"/>
            <w:gridSpan w:val="2"/>
            <w:vAlign w:val="top"/>
          </w:tcPr>
          <w:p w14:paraId="3AE0609C">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08" w:type="dxa"/>
            <w:gridSpan w:val="2"/>
            <w:vAlign w:val="top"/>
          </w:tcPr>
          <w:p w14:paraId="2BF1E4BE">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r>
      <w:tr w14:paraId="5CA64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225" w:type="dxa"/>
            <w:vAlign w:val="top"/>
          </w:tcPr>
          <w:p w14:paraId="60B28E03">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1394"/>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c>
          <w:tcPr>
            <w:tcW w:w="1863" w:type="dxa"/>
            <w:gridSpan w:val="2"/>
            <w:vAlign w:val="top"/>
          </w:tcPr>
          <w:p w14:paraId="1898A729">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43" w:type="dxa"/>
            <w:gridSpan w:val="2"/>
            <w:vAlign w:val="top"/>
          </w:tcPr>
          <w:p w14:paraId="53A66B99">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08" w:type="dxa"/>
            <w:gridSpan w:val="2"/>
            <w:vAlign w:val="top"/>
          </w:tcPr>
          <w:p w14:paraId="4E95FE75">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r>
      <w:tr w14:paraId="60C8E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225" w:type="dxa"/>
            <w:vAlign w:val="top"/>
          </w:tcPr>
          <w:p w14:paraId="6B08F2A9">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right="5"/>
              <w:jc w:val="right"/>
              <w:textAlignment w:val="baseline"/>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rPr>
              <w:t>3、专项资金</w:t>
            </w: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rPr>
              <w:t>一个专项一行</w:t>
            </w:r>
            <w:r>
              <w:rPr>
                <w:rFonts w:hint="eastAsia" w:ascii="仿宋_GB2312" w:hAnsi="仿宋_GB2312" w:eastAsia="仿宋_GB2312" w:cs="仿宋_GB2312"/>
                <w:spacing w:val="0"/>
                <w:sz w:val="21"/>
                <w:szCs w:val="21"/>
                <w:lang w:eastAsia="zh-CN"/>
              </w:rPr>
              <w:t>）</w:t>
            </w:r>
          </w:p>
        </w:tc>
        <w:tc>
          <w:tcPr>
            <w:tcW w:w="1863" w:type="dxa"/>
            <w:gridSpan w:val="2"/>
            <w:vAlign w:val="top"/>
          </w:tcPr>
          <w:p w14:paraId="75EBA25D">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43" w:type="dxa"/>
            <w:gridSpan w:val="2"/>
            <w:vAlign w:val="top"/>
          </w:tcPr>
          <w:p w14:paraId="19BF4163">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08" w:type="dxa"/>
            <w:gridSpan w:val="2"/>
            <w:vAlign w:val="top"/>
          </w:tcPr>
          <w:p w14:paraId="0FC5F4A6">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r>
      <w:tr w14:paraId="2ED6B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225" w:type="dxa"/>
            <w:vAlign w:val="top"/>
          </w:tcPr>
          <w:p w14:paraId="5CCF9928">
            <w:pPr>
              <w:keepNext w:val="0"/>
              <w:keepLines w:val="0"/>
              <w:pageBreakBefore w:val="0"/>
              <w:widowControl/>
              <w:tabs>
                <w:tab w:val="right" w:pos="3215"/>
              </w:tabs>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lang w:eastAsia="zh-CN"/>
              </w:rPr>
            </w:pPr>
            <w:r>
              <w:rPr>
                <w:rFonts w:hint="eastAsia" w:eastAsia="仿宋"/>
                <w:color w:val="000000"/>
                <w:kern w:val="0"/>
                <w:sz w:val="18"/>
                <w:szCs w:val="18"/>
                <w:lang w:val="en-US" w:eastAsia="zh-CN"/>
              </w:rPr>
              <w:t>2021灌区渠道配套与节水改造工程</w:t>
            </w:r>
          </w:p>
        </w:tc>
        <w:tc>
          <w:tcPr>
            <w:tcW w:w="1863" w:type="dxa"/>
            <w:gridSpan w:val="2"/>
            <w:vAlign w:val="top"/>
          </w:tcPr>
          <w:p w14:paraId="14933654">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234.77</w:t>
            </w:r>
          </w:p>
        </w:tc>
        <w:tc>
          <w:tcPr>
            <w:tcW w:w="1943" w:type="dxa"/>
            <w:gridSpan w:val="2"/>
            <w:vAlign w:val="top"/>
          </w:tcPr>
          <w:p w14:paraId="7D82FAEC">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312.85</w:t>
            </w:r>
          </w:p>
        </w:tc>
        <w:tc>
          <w:tcPr>
            <w:tcW w:w="1908" w:type="dxa"/>
            <w:gridSpan w:val="2"/>
            <w:vAlign w:val="top"/>
          </w:tcPr>
          <w:p w14:paraId="34910F20">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312.85</w:t>
            </w:r>
          </w:p>
        </w:tc>
      </w:tr>
      <w:tr w14:paraId="55A9E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225" w:type="dxa"/>
            <w:vAlign w:val="top"/>
          </w:tcPr>
          <w:p w14:paraId="2B1D59E8">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94"/>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公用经费</w:t>
            </w:r>
          </w:p>
        </w:tc>
        <w:tc>
          <w:tcPr>
            <w:tcW w:w="1863" w:type="dxa"/>
            <w:gridSpan w:val="2"/>
            <w:vAlign w:val="top"/>
          </w:tcPr>
          <w:p w14:paraId="7D50DEE9">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43" w:type="dxa"/>
            <w:gridSpan w:val="2"/>
            <w:vAlign w:val="top"/>
          </w:tcPr>
          <w:p w14:paraId="25DA717C">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08" w:type="dxa"/>
            <w:gridSpan w:val="2"/>
            <w:vAlign w:val="top"/>
          </w:tcPr>
          <w:p w14:paraId="62D1C154">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r>
      <w:tr w14:paraId="468D0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225" w:type="dxa"/>
            <w:vAlign w:val="top"/>
          </w:tcPr>
          <w:p w14:paraId="1A31CB0F">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444"/>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其中：办公经费</w:t>
            </w:r>
          </w:p>
        </w:tc>
        <w:tc>
          <w:tcPr>
            <w:tcW w:w="1863" w:type="dxa"/>
            <w:gridSpan w:val="2"/>
            <w:vAlign w:val="top"/>
          </w:tcPr>
          <w:p w14:paraId="759042FD">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1.8</w:t>
            </w:r>
          </w:p>
        </w:tc>
        <w:tc>
          <w:tcPr>
            <w:tcW w:w="1943" w:type="dxa"/>
            <w:gridSpan w:val="2"/>
            <w:vAlign w:val="top"/>
          </w:tcPr>
          <w:p w14:paraId="7A8121F8">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2</w:t>
            </w:r>
          </w:p>
        </w:tc>
        <w:tc>
          <w:tcPr>
            <w:tcW w:w="1908" w:type="dxa"/>
            <w:gridSpan w:val="2"/>
            <w:vAlign w:val="top"/>
          </w:tcPr>
          <w:p w14:paraId="65573485">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0.69</w:t>
            </w:r>
          </w:p>
        </w:tc>
      </w:tr>
      <w:tr w14:paraId="26166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225" w:type="dxa"/>
            <w:vAlign w:val="top"/>
          </w:tcPr>
          <w:p w14:paraId="60398152">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994"/>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水费、电费、差旅费</w:t>
            </w:r>
          </w:p>
        </w:tc>
        <w:tc>
          <w:tcPr>
            <w:tcW w:w="1863" w:type="dxa"/>
            <w:gridSpan w:val="2"/>
            <w:vAlign w:val="top"/>
          </w:tcPr>
          <w:p w14:paraId="394E4475">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7.93</w:t>
            </w:r>
          </w:p>
        </w:tc>
        <w:tc>
          <w:tcPr>
            <w:tcW w:w="1943" w:type="dxa"/>
            <w:gridSpan w:val="2"/>
            <w:vAlign w:val="top"/>
          </w:tcPr>
          <w:p w14:paraId="230AC5F7">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5.2</w:t>
            </w:r>
          </w:p>
        </w:tc>
        <w:tc>
          <w:tcPr>
            <w:tcW w:w="1908" w:type="dxa"/>
            <w:gridSpan w:val="2"/>
            <w:vAlign w:val="top"/>
          </w:tcPr>
          <w:p w14:paraId="0B646933">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7.04</w:t>
            </w:r>
          </w:p>
        </w:tc>
      </w:tr>
      <w:tr w14:paraId="341DE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225" w:type="dxa"/>
            <w:vAlign w:val="top"/>
          </w:tcPr>
          <w:p w14:paraId="25FFCA74">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1014"/>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会议费、培训费</w:t>
            </w:r>
          </w:p>
        </w:tc>
        <w:tc>
          <w:tcPr>
            <w:tcW w:w="1863" w:type="dxa"/>
            <w:gridSpan w:val="2"/>
            <w:vAlign w:val="top"/>
          </w:tcPr>
          <w:p w14:paraId="0C7A0948">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2.8</w:t>
            </w:r>
          </w:p>
        </w:tc>
        <w:tc>
          <w:tcPr>
            <w:tcW w:w="1943" w:type="dxa"/>
            <w:gridSpan w:val="2"/>
            <w:vAlign w:val="top"/>
          </w:tcPr>
          <w:p w14:paraId="2995CE7D">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0.6</w:t>
            </w:r>
          </w:p>
        </w:tc>
        <w:tc>
          <w:tcPr>
            <w:tcW w:w="1908" w:type="dxa"/>
            <w:gridSpan w:val="2"/>
            <w:vAlign w:val="top"/>
          </w:tcPr>
          <w:p w14:paraId="11F227EA">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0.51</w:t>
            </w:r>
          </w:p>
        </w:tc>
      </w:tr>
      <w:tr w14:paraId="521AB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225" w:type="dxa"/>
            <w:vAlign w:val="top"/>
          </w:tcPr>
          <w:p w14:paraId="692AEBCF">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104"/>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政府采购金额</w:t>
            </w:r>
          </w:p>
        </w:tc>
        <w:tc>
          <w:tcPr>
            <w:tcW w:w="1863" w:type="dxa"/>
            <w:gridSpan w:val="2"/>
            <w:vAlign w:val="top"/>
          </w:tcPr>
          <w:p w14:paraId="4905F08B">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793"/>
              <w:jc w:val="center"/>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position w:val="-2"/>
                <w:sz w:val="21"/>
                <w:szCs w:val="21"/>
              </w:rPr>
              <w:t>——</w:t>
            </w:r>
          </w:p>
        </w:tc>
        <w:tc>
          <w:tcPr>
            <w:tcW w:w="1943" w:type="dxa"/>
            <w:gridSpan w:val="2"/>
            <w:vAlign w:val="top"/>
          </w:tcPr>
          <w:p w14:paraId="5E136010">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1</w:t>
            </w:r>
          </w:p>
        </w:tc>
        <w:tc>
          <w:tcPr>
            <w:tcW w:w="1908" w:type="dxa"/>
            <w:gridSpan w:val="2"/>
            <w:vAlign w:val="top"/>
          </w:tcPr>
          <w:p w14:paraId="460A030C">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1</w:t>
            </w:r>
          </w:p>
        </w:tc>
      </w:tr>
      <w:tr w14:paraId="01039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225" w:type="dxa"/>
            <w:vAlign w:val="top"/>
          </w:tcPr>
          <w:p w14:paraId="4F5DEEAB">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94"/>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部门基本支出预算调整</w:t>
            </w:r>
          </w:p>
        </w:tc>
        <w:tc>
          <w:tcPr>
            <w:tcW w:w="1863" w:type="dxa"/>
            <w:gridSpan w:val="2"/>
            <w:vAlign w:val="top"/>
          </w:tcPr>
          <w:p w14:paraId="271DC66C">
            <w:pPr>
              <w:keepNext w:val="0"/>
              <w:keepLines w:val="0"/>
              <w:pageBreakBefore w:val="0"/>
              <w:widowControl/>
              <w:kinsoku w:val="0"/>
              <w:wordWrap/>
              <w:overflowPunct/>
              <w:topLinePunct w:val="0"/>
              <w:autoSpaceDE w:val="0"/>
              <w:autoSpaceDN w:val="0"/>
              <w:bidi w:val="0"/>
              <w:adjustRightInd w:val="0"/>
              <w:snapToGrid w:val="0"/>
              <w:spacing w:before="0" w:beforeLines="20" w:line="240" w:lineRule="auto"/>
              <w:ind w:left="793"/>
              <w:jc w:val="center"/>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position w:val="-2"/>
                <w:sz w:val="21"/>
                <w:szCs w:val="21"/>
              </w:rPr>
              <w:t>——</w:t>
            </w:r>
          </w:p>
        </w:tc>
        <w:tc>
          <w:tcPr>
            <w:tcW w:w="1943" w:type="dxa"/>
            <w:gridSpan w:val="2"/>
            <w:vAlign w:val="top"/>
          </w:tcPr>
          <w:p w14:paraId="5B922250">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c>
          <w:tcPr>
            <w:tcW w:w="1908" w:type="dxa"/>
            <w:gridSpan w:val="2"/>
            <w:vAlign w:val="top"/>
          </w:tcPr>
          <w:p w14:paraId="63E19619">
            <w:pPr>
              <w:pStyle w:val="12"/>
              <w:keepNext w:val="0"/>
              <w:keepLines w:val="0"/>
              <w:pageBreakBefore w:val="0"/>
              <w:widowControl/>
              <w:kinsoku w:val="0"/>
              <w:wordWrap/>
              <w:overflowPunct/>
              <w:topLinePunct w:val="0"/>
              <w:autoSpaceDE w:val="0"/>
              <w:autoSpaceDN w:val="0"/>
              <w:bidi w:val="0"/>
              <w:adjustRightInd w:val="0"/>
              <w:snapToGrid w:val="0"/>
              <w:spacing w:before="0" w:beforeLines="20" w:line="240" w:lineRule="auto"/>
              <w:jc w:val="center"/>
              <w:textAlignment w:val="baseline"/>
              <w:rPr>
                <w:rFonts w:hint="eastAsia" w:ascii="仿宋_GB2312" w:hAnsi="仿宋_GB2312" w:eastAsia="仿宋_GB2312" w:cs="仿宋_GB2312"/>
                <w:spacing w:val="0"/>
                <w:sz w:val="21"/>
                <w:szCs w:val="21"/>
              </w:rPr>
            </w:pPr>
          </w:p>
        </w:tc>
      </w:tr>
      <w:tr w14:paraId="29892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3225" w:type="dxa"/>
            <w:vMerge w:val="restart"/>
            <w:tcBorders>
              <w:bottom w:val="nil"/>
            </w:tcBorders>
            <w:vAlign w:val="top"/>
          </w:tcPr>
          <w:p w14:paraId="40939DA2">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pacing w:val="0"/>
                <w:sz w:val="21"/>
                <w:szCs w:val="21"/>
              </w:rPr>
            </w:pPr>
          </w:p>
          <w:p w14:paraId="6DC7EE51">
            <w:pPr>
              <w:keepNext w:val="0"/>
              <w:keepLines w:val="0"/>
              <w:pageBreakBefore w:val="0"/>
              <w:widowControl/>
              <w:kinsoku w:val="0"/>
              <w:wordWrap/>
              <w:overflowPunct/>
              <w:topLinePunct w:val="0"/>
              <w:autoSpaceDE w:val="0"/>
              <w:autoSpaceDN w:val="0"/>
              <w:bidi w:val="0"/>
              <w:adjustRightInd w:val="0"/>
              <w:snapToGrid w:val="0"/>
              <w:spacing w:line="240" w:lineRule="auto"/>
              <w:ind w:left="734"/>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楼堂馆所控制情况</w:t>
            </w:r>
          </w:p>
          <w:p w14:paraId="3626CCBC">
            <w:pPr>
              <w:keepNext w:val="0"/>
              <w:keepLines w:val="0"/>
              <w:pageBreakBefore w:val="0"/>
              <w:widowControl/>
              <w:kinsoku w:val="0"/>
              <w:wordWrap/>
              <w:overflowPunct/>
              <w:topLinePunct w:val="0"/>
              <w:autoSpaceDE w:val="0"/>
              <w:autoSpaceDN w:val="0"/>
              <w:bidi w:val="0"/>
              <w:adjustRightInd w:val="0"/>
              <w:snapToGrid w:val="0"/>
              <w:spacing w:line="240" w:lineRule="auto"/>
              <w:ind w:left="714"/>
              <w:textAlignment w:val="baseline"/>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rPr>
              <w:t>202</w:t>
            </w:r>
            <w:r>
              <w:rPr>
                <w:rFonts w:hint="eastAsia" w:ascii="仿宋_GB2312" w:hAnsi="仿宋_GB2312" w:eastAsia="仿宋_GB2312" w:cs="仿宋_GB2312"/>
                <w:spacing w:val="0"/>
                <w:sz w:val="21"/>
                <w:szCs w:val="21"/>
                <w:lang w:val="en-US" w:eastAsia="zh-CN"/>
              </w:rPr>
              <w:t>4</w:t>
            </w:r>
            <w:r>
              <w:rPr>
                <w:rFonts w:hint="eastAsia" w:ascii="仿宋_GB2312" w:hAnsi="仿宋_GB2312" w:eastAsia="仿宋_GB2312" w:cs="仿宋_GB2312"/>
                <w:spacing w:val="0"/>
                <w:sz w:val="21"/>
                <w:szCs w:val="21"/>
              </w:rPr>
              <w:t>年完工项目</w:t>
            </w:r>
            <w:r>
              <w:rPr>
                <w:rFonts w:hint="eastAsia" w:ascii="仿宋_GB2312" w:hAnsi="仿宋_GB2312" w:eastAsia="仿宋_GB2312" w:cs="仿宋_GB2312"/>
                <w:spacing w:val="0"/>
                <w:sz w:val="21"/>
                <w:szCs w:val="21"/>
                <w:lang w:eastAsia="zh-CN"/>
              </w:rPr>
              <w:t>）</w:t>
            </w:r>
          </w:p>
        </w:tc>
        <w:tc>
          <w:tcPr>
            <w:tcW w:w="941" w:type="dxa"/>
            <w:vAlign w:val="top"/>
          </w:tcPr>
          <w:p w14:paraId="3781AE50">
            <w:pPr>
              <w:keepNext w:val="0"/>
              <w:keepLines w:val="0"/>
              <w:pageBreakBefore w:val="0"/>
              <w:widowControl/>
              <w:kinsoku w:val="0"/>
              <w:wordWrap/>
              <w:overflowPunct/>
              <w:topLinePunct w:val="0"/>
              <w:autoSpaceDE w:val="0"/>
              <w:autoSpaceDN w:val="0"/>
              <w:bidi w:val="0"/>
              <w:adjustRightInd w:val="0"/>
              <w:snapToGrid w:val="0"/>
              <w:spacing w:line="240" w:lineRule="auto"/>
              <w:ind w:left="173" w:right="253" w:firstLine="60"/>
              <w:jc w:val="both"/>
              <w:textAlignment w:val="baseline"/>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rPr>
              <w:t>批复规模</w:t>
            </w: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rPr>
              <w:t>m²</w:t>
            </w:r>
            <w:r>
              <w:rPr>
                <w:rFonts w:hint="eastAsia" w:ascii="仿宋_GB2312" w:hAnsi="仿宋_GB2312" w:eastAsia="仿宋_GB2312" w:cs="仿宋_GB2312"/>
                <w:spacing w:val="0"/>
                <w:sz w:val="21"/>
                <w:szCs w:val="21"/>
                <w:lang w:eastAsia="zh-CN"/>
              </w:rPr>
              <w:t>）</w:t>
            </w:r>
          </w:p>
        </w:tc>
        <w:tc>
          <w:tcPr>
            <w:tcW w:w="922" w:type="dxa"/>
            <w:vAlign w:val="top"/>
          </w:tcPr>
          <w:p w14:paraId="3DDC934E">
            <w:pPr>
              <w:keepNext w:val="0"/>
              <w:keepLines w:val="0"/>
              <w:pageBreakBefore w:val="0"/>
              <w:widowControl/>
              <w:kinsoku w:val="0"/>
              <w:wordWrap/>
              <w:overflowPunct/>
              <w:topLinePunct w:val="0"/>
              <w:autoSpaceDE w:val="0"/>
              <w:autoSpaceDN w:val="0"/>
              <w:bidi w:val="0"/>
              <w:adjustRightInd w:val="0"/>
              <w:snapToGrid w:val="0"/>
              <w:spacing w:line="240" w:lineRule="auto"/>
              <w:ind w:left="164" w:right="224" w:firstLine="60"/>
              <w:jc w:val="both"/>
              <w:textAlignment w:val="baseline"/>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rPr>
              <w:t>实际规模</w:t>
            </w: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rPr>
              <w:t>m²</w:t>
            </w:r>
            <w:r>
              <w:rPr>
                <w:rFonts w:hint="eastAsia" w:ascii="仿宋_GB2312" w:hAnsi="仿宋_GB2312" w:eastAsia="仿宋_GB2312" w:cs="仿宋_GB2312"/>
                <w:spacing w:val="0"/>
                <w:sz w:val="21"/>
                <w:szCs w:val="21"/>
                <w:lang w:eastAsia="zh-CN"/>
              </w:rPr>
              <w:t>）</w:t>
            </w:r>
          </w:p>
        </w:tc>
        <w:tc>
          <w:tcPr>
            <w:tcW w:w="931" w:type="dxa"/>
            <w:vAlign w:val="top"/>
          </w:tcPr>
          <w:p w14:paraId="675A6CF1">
            <w:pPr>
              <w:keepNext w:val="0"/>
              <w:keepLines w:val="0"/>
              <w:pageBreakBefore w:val="0"/>
              <w:widowControl/>
              <w:kinsoku w:val="0"/>
              <w:wordWrap/>
              <w:overflowPunct/>
              <w:topLinePunct w:val="0"/>
              <w:autoSpaceDE w:val="0"/>
              <w:autoSpaceDN w:val="0"/>
              <w:bidi w:val="0"/>
              <w:adjustRightInd w:val="0"/>
              <w:snapToGrid w:val="0"/>
              <w:spacing w:line="240" w:lineRule="auto"/>
              <w:ind w:left="235" w:right="132" w:hanging="120"/>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规模控制率</w:t>
            </w:r>
          </w:p>
        </w:tc>
        <w:tc>
          <w:tcPr>
            <w:tcW w:w="1012" w:type="dxa"/>
            <w:vAlign w:val="top"/>
          </w:tcPr>
          <w:p w14:paraId="251C847E">
            <w:pPr>
              <w:keepNext w:val="0"/>
              <w:keepLines w:val="0"/>
              <w:pageBreakBefore w:val="0"/>
              <w:widowControl/>
              <w:kinsoku w:val="0"/>
              <w:wordWrap/>
              <w:overflowPunct/>
              <w:topLinePunct w:val="0"/>
              <w:autoSpaceDE w:val="0"/>
              <w:autoSpaceDN w:val="0"/>
              <w:bidi w:val="0"/>
              <w:adjustRightInd w:val="0"/>
              <w:snapToGrid w:val="0"/>
              <w:spacing w:line="240" w:lineRule="auto"/>
              <w:ind w:left="386" w:right="152" w:hanging="229"/>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预算投资</w:t>
            </w:r>
          </w:p>
          <w:p w14:paraId="2C99F1D8">
            <w:pPr>
              <w:keepNext w:val="0"/>
              <w:keepLines w:val="0"/>
              <w:pageBreakBefore w:val="0"/>
              <w:widowControl/>
              <w:kinsoku w:val="0"/>
              <w:wordWrap/>
              <w:overflowPunct/>
              <w:topLinePunct w:val="0"/>
              <w:autoSpaceDE w:val="0"/>
              <w:autoSpaceDN w:val="0"/>
              <w:bidi w:val="0"/>
              <w:adjustRightInd w:val="0"/>
              <w:snapToGrid w:val="0"/>
              <w:spacing w:line="240" w:lineRule="auto"/>
              <w:ind w:left="157"/>
              <w:textAlignment w:val="baseline"/>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rPr>
              <w:t>万元</w:t>
            </w:r>
            <w:r>
              <w:rPr>
                <w:rFonts w:hint="eastAsia" w:ascii="仿宋_GB2312" w:hAnsi="仿宋_GB2312" w:eastAsia="仿宋_GB2312" w:cs="仿宋_GB2312"/>
                <w:spacing w:val="0"/>
                <w:sz w:val="21"/>
                <w:szCs w:val="21"/>
                <w:lang w:eastAsia="zh-CN"/>
              </w:rPr>
              <w:t>）</w:t>
            </w:r>
          </w:p>
        </w:tc>
        <w:tc>
          <w:tcPr>
            <w:tcW w:w="991" w:type="dxa"/>
            <w:vAlign w:val="top"/>
          </w:tcPr>
          <w:p w14:paraId="4F6613D1">
            <w:pPr>
              <w:keepNext w:val="0"/>
              <w:keepLines w:val="0"/>
              <w:pageBreakBefore w:val="0"/>
              <w:widowControl/>
              <w:kinsoku w:val="0"/>
              <w:wordWrap/>
              <w:overflowPunct/>
              <w:topLinePunct w:val="0"/>
              <w:autoSpaceDE w:val="0"/>
              <w:autoSpaceDN w:val="0"/>
              <w:bidi w:val="0"/>
              <w:adjustRightInd w:val="0"/>
              <w:snapToGrid w:val="0"/>
              <w:spacing w:line="240" w:lineRule="auto"/>
              <w:ind w:left="376" w:right="141" w:hanging="229"/>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实际投资</w:t>
            </w:r>
          </w:p>
          <w:p w14:paraId="51804B03">
            <w:pPr>
              <w:keepNext w:val="0"/>
              <w:keepLines w:val="0"/>
              <w:pageBreakBefore w:val="0"/>
              <w:widowControl/>
              <w:kinsoku w:val="0"/>
              <w:wordWrap/>
              <w:overflowPunct/>
              <w:topLinePunct w:val="0"/>
              <w:autoSpaceDE w:val="0"/>
              <w:autoSpaceDN w:val="0"/>
              <w:bidi w:val="0"/>
              <w:adjustRightInd w:val="0"/>
              <w:snapToGrid w:val="0"/>
              <w:spacing w:line="240" w:lineRule="auto"/>
              <w:ind w:left="147"/>
              <w:textAlignment w:val="baseline"/>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rPr>
              <w:t>万元</w:t>
            </w:r>
            <w:r>
              <w:rPr>
                <w:rFonts w:hint="eastAsia" w:ascii="仿宋_GB2312" w:hAnsi="仿宋_GB2312" w:eastAsia="仿宋_GB2312" w:cs="仿宋_GB2312"/>
                <w:spacing w:val="0"/>
                <w:sz w:val="21"/>
                <w:szCs w:val="21"/>
                <w:lang w:eastAsia="zh-CN"/>
              </w:rPr>
              <w:t>）</w:t>
            </w:r>
          </w:p>
        </w:tc>
        <w:tc>
          <w:tcPr>
            <w:tcW w:w="917" w:type="dxa"/>
            <w:vAlign w:val="top"/>
          </w:tcPr>
          <w:p w14:paraId="65970E89">
            <w:pPr>
              <w:keepNext w:val="0"/>
              <w:keepLines w:val="0"/>
              <w:pageBreakBefore w:val="0"/>
              <w:widowControl/>
              <w:kinsoku w:val="0"/>
              <w:wordWrap/>
              <w:overflowPunct/>
              <w:topLinePunct w:val="0"/>
              <w:autoSpaceDE w:val="0"/>
              <w:autoSpaceDN w:val="0"/>
              <w:bidi w:val="0"/>
              <w:adjustRightInd w:val="0"/>
              <w:snapToGrid w:val="0"/>
              <w:spacing w:line="240" w:lineRule="auto"/>
              <w:ind w:left="108"/>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投资概</w:t>
            </w:r>
          </w:p>
          <w:p w14:paraId="6F138C4E">
            <w:pPr>
              <w:keepNext w:val="0"/>
              <w:keepLines w:val="0"/>
              <w:pageBreakBefore w:val="0"/>
              <w:widowControl/>
              <w:kinsoku w:val="0"/>
              <w:wordWrap/>
              <w:overflowPunct/>
              <w:topLinePunct w:val="0"/>
              <w:autoSpaceDE w:val="0"/>
              <w:autoSpaceDN w:val="0"/>
              <w:bidi w:val="0"/>
              <w:adjustRightInd w:val="0"/>
              <w:snapToGrid w:val="0"/>
              <w:spacing w:line="240" w:lineRule="auto"/>
              <w:ind w:left="337" w:right="95" w:hanging="229"/>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算控制率</w:t>
            </w:r>
          </w:p>
        </w:tc>
      </w:tr>
      <w:tr w14:paraId="099B5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225" w:type="dxa"/>
            <w:vMerge w:val="continue"/>
            <w:tcBorders>
              <w:top w:val="nil"/>
            </w:tcBorders>
            <w:vAlign w:val="top"/>
          </w:tcPr>
          <w:p w14:paraId="45EBFC55">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pacing w:val="0"/>
                <w:sz w:val="21"/>
                <w:szCs w:val="21"/>
              </w:rPr>
            </w:pPr>
          </w:p>
        </w:tc>
        <w:tc>
          <w:tcPr>
            <w:tcW w:w="941" w:type="dxa"/>
            <w:vAlign w:val="top"/>
          </w:tcPr>
          <w:p w14:paraId="52BF4B11">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pacing w:val="0"/>
                <w:sz w:val="21"/>
                <w:szCs w:val="21"/>
              </w:rPr>
            </w:pPr>
          </w:p>
        </w:tc>
        <w:tc>
          <w:tcPr>
            <w:tcW w:w="922" w:type="dxa"/>
            <w:vAlign w:val="top"/>
          </w:tcPr>
          <w:p w14:paraId="2C664141">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pacing w:val="0"/>
                <w:sz w:val="21"/>
                <w:szCs w:val="21"/>
              </w:rPr>
            </w:pPr>
          </w:p>
        </w:tc>
        <w:tc>
          <w:tcPr>
            <w:tcW w:w="931" w:type="dxa"/>
            <w:vAlign w:val="top"/>
          </w:tcPr>
          <w:p w14:paraId="79D8DEB0">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pacing w:val="0"/>
                <w:sz w:val="21"/>
                <w:szCs w:val="21"/>
              </w:rPr>
            </w:pPr>
          </w:p>
        </w:tc>
        <w:tc>
          <w:tcPr>
            <w:tcW w:w="1012" w:type="dxa"/>
            <w:vAlign w:val="top"/>
          </w:tcPr>
          <w:p w14:paraId="1E0A7843">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pacing w:val="0"/>
                <w:sz w:val="21"/>
                <w:szCs w:val="21"/>
              </w:rPr>
            </w:pPr>
          </w:p>
        </w:tc>
        <w:tc>
          <w:tcPr>
            <w:tcW w:w="991" w:type="dxa"/>
            <w:vAlign w:val="top"/>
          </w:tcPr>
          <w:p w14:paraId="0468F282">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pacing w:val="0"/>
                <w:sz w:val="21"/>
                <w:szCs w:val="21"/>
              </w:rPr>
            </w:pPr>
          </w:p>
        </w:tc>
        <w:tc>
          <w:tcPr>
            <w:tcW w:w="917" w:type="dxa"/>
            <w:vAlign w:val="top"/>
          </w:tcPr>
          <w:p w14:paraId="3A4901C0">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pacing w:val="0"/>
                <w:sz w:val="21"/>
                <w:szCs w:val="21"/>
              </w:rPr>
            </w:pPr>
          </w:p>
        </w:tc>
      </w:tr>
      <w:tr w14:paraId="1C55A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3225" w:type="dxa"/>
            <w:vAlign w:val="top"/>
          </w:tcPr>
          <w:p w14:paraId="61AEADF6">
            <w:pPr>
              <w:keepNext w:val="0"/>
              <w:keepLines w:val="0"/>
              <w:pageBreakBefore w:val="0"/>
              <w:widowControl/>
              <w:kinsoku w:val="0"/>
              <w:wordWrap/>
              <w:overflowPunct/>
              <w:topLinePunct w:val="0"/>
              <w:autoSpaceDE w:val="0"/>
              <w:autoSpaceDN w:val="0"/>
              <w:bidi w:val="0"/>
              <w:adjustRightInd w:val="0"/>
              <w:snapToGrid w:val="0"/>
              <w:spacing w:line="240" w:lineRule="auto"/>
              <w:ind w:left="754"/>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厉行节约保障措施</w:t>
            </w:r>
          </w:p>
        </w:tc>
        <w:tc>
          <w:tcPr>
            <w:tcW w:w="5714" w:type="dxa"/>
            <w:gridSpan w:val="6"/>
            <w:vAlign w:val="top"/>
          </w:tcPr>
          <w:p w14:paraId="63DD1044">
            <w:pPr>
              <w:pStyle w:val="1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pacing w:val="0"/>
                <w:sz w:val="21"/>
                <w:szCs w:val="21"/>
              </w:rPr>
            </w:pPr>
          </w:p>
        </w:tc>
      </w:tr>
    </w:tbl>
    <w:p w14:paraId="01C32C61">
      <w:pPr>
        <w:keepNext w:val="0"/>
        <w:keepLines w:val="0"/>
        <w:pageBreakBefore w:val="0"/>
        <w:widowControl/>
        <w:kinsoku w:val="0"/>
        <w:wordWrap/>
        <w:overflowPunct/>
        <w:topLinePunct w:val="0"/>
        <w:autoSpaceDE w:val="0"/>
        <w:autoSpaceDN w:val="0"/>
        <w:bidi w:val="0"/>
        <w:adjustRightInd w:val="0"/>
        <w:snapToGrid/>
        <w:spacing w:line="240" w:lineRule="auto"/>
        <w:ind w:left="0" w:firstLine="420" w:firstLineChars="200"/>
        <w:textAlignment w:val="baseline"/>
        <w:rPr>
          <w:rFonts w:hint="eastAsia" w:ascii="仿宋_GB2312" w:hAnsi="仿宋_GB2312" w:eastAsia="仿宋_GB2312" w:cs="仿宋_GB2312"/>
          <w:snapToGrid w:val="0"/>
          <w:color w:val="000000"/>
          <w:spacing w:val="0"/>
          <w:kern w:val="0"/>
          <w:sz w:val="21"/>
          <w:szCs w:val="21"/>
          <w:lang w:val="en-US" w:eastAsia="en-US" w:bidi="ar-SA"/>
        </w:rPr>
      </w:pPr>
      <w:r>
        <w:rPr>
          <w:rFonts w:hint="eastAsia" w:ascii="仿宋_GB2312" w:hAnsi="仿宋_GB2312" w:eastAsia="仿宋_GB2312" w:cs="仿宋_GB2312"/>
          <w:spacing w:val="0"/>
          <w:sz w:val="21"/>
          <w:szCs w:val="21"/>
        </w:rPr>
        <w:t>说明：“项目支出”需要填报基本支出以外的所有项目支出情况，“公用经费”填报基本支出中的一</w:t>
      </w:r>
      <w:r>
        <w:rPr>
          <w:rFonts w:hint="eastAsia" w:ascii="仿宋_GB2312" w:hAnsi="仿宋_GB2312" w:eastAsia="仿宋_GB2312" w:cs="仿宋_GB2312"/>
          <w:snapToGrid w:val="0"/>
          <w:color w:val="000000"/>
          <w:spacing w:val="0"/>
          <w:kern w:val="0"/>
          <w:sz w:val="21"/>
          <w:szCs w:val="21"/>
          <w:lang w:val="en-US" w:eastAsia="en-US" w:bidi="ar-SA"/>
        </w:rPr>
        <w:t>般商品和服务支出。</w:t>
      </w:r>
    </w:p>
    <w:p w14:paraId="403F53A7">
      <w:pPr>
        <w:pStyle w:val="3"/>
        <w:keepNext w:val="0"/>
        <w:keepLines w:val="0"/>
        <w:pageBreakBefore w:val="0"/>
        <w:widowControl/>
        <w:kinsoku w:val="0"/>
        <w:wordWrap/>
        <w:overflowPunct/>
        <w:topLinePunct w:val="0"/>
        <w:autoSpaceDE w:val="0"/>
        <w:autoSpaceDN w:val="0"/>
        <w:bidi w:val="0"/>
        <w:adjustRightInd w:val="0"/>
        <w:snapToGrid/>
        <w:spacing w:line="240" w:lineRule="auto"/>
        <w:ind w:left="0" w:firstLine="420" w:firstLineChars="200"/>
        <w:textAlignment w:val="baseline"/>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position w:val="-6"/>
          <w:sz w:val="21"/>
          <w:szCs w:val="21"/>
        </w:rPr>
        <w:t>填表人：</w:t>
      </w:r>
      <w:r>
        <w:rPr>
          <w:rFonts w:hint="eastAsia" w:ascii="仿宋_GB2312" w:hAnsi="仿宋_GB2312" w:eastAsia="仿宋_GB2312" w:cs="仿宋_GB2312"/>
          <w:spacing w:val="0"/>
          <w:position w:val="-6"/>
          <w:sz w:val="21"/>
          <w:szCs w:val="21"/>
          <w:lang w:val="en-US" w:eastAsia="zh-CN"/>
        </w:rPr>
        <w:t xml:space="preserve">罗玉球 </w:t>
      </w:r>
      <w:r>
        <w:rPr>
          <w:rFonts w:hint="eastAsia" w:ascii="仿宋_GB2312" w:hAnsi="仿宋_GB2312" w:eastAsia="仿宋_GB2312" w:cs="仿宋_GB2312"/>
          <w:spacing w:val="0"/>
          <w:position w:val="-1"/>
          <w:sz w:val="21"/>
          <w:szCs w:val="21"/>
        </w:rPr>
        <w:t>填报日期：</w:t>
      </w:r>
      <w:r>
        <w:rPr>
          <w:rFonts w:hint="eastAsia" w:ascii="仿宋_GB2312" w:hAnsi="仿宋_GB2312" w:eastAsia="仿宋_GB2312" w:cs="仿宋_GB2312"/>
          <w:spacing w:val="0"/>
          <w:position w:val="-1"/>
          <w:sz w:val="21"/>
          <w:szCs w:val="21"/>
          <w:highlight w:val="none"/>
          <w:lang w:val="en-US" w:eastAsia="zh-CN"/>
        </w:rPr>
        <w:t xml:space="preserve">2025年5月10日 </w:t>
      </w:r>
      <w:r>
        <w:rPr>
          <w:rFonts w:hint="eastAsia" w:ascii="仿宋_GB2312" w:hAnsi="仿宋_GB2312" w:eastAsia="仿宋_GB2312" w:cs="仿宋_GB2312"/>
          <w:spacing w:val="0"/>
          <w:sz w:val="21"/>
          <w:szCs w:val="21"/>
        </w:rPr>
        <w:t>联系电话：</w:t>
      </w:r>
      <w:r>
        <w:rPr>
          <w:rFonts w:hint="eastAsia" w:ascii="仿宋_GB2312" w:hAnsi="仿宋_GB2312" w:eastAsia="仿宋_GB2312" w:cs="仿宋_GB2312"/>
          <w:spacing w:val="0"/>
          <w:sz w:val="21"/>
          <w:szCs w:val="21"/>
          <w:lang w:val="en-US" w:eastAsia="zh-CN"/>
        </w:rPr>
        <w:t xml:space="preserve">13928991026  </w:t>
      </w:r>
      <w:r>
        <w:rPr>
          <w:rFonts w:hint="eastAsia" w:ascii="仿宋_GB2312" w:hAnsi="仿宋_GB2312" w:eastAsia="仿宋_GB2312" w:cs="仿宋_GB2312"/>
          <w:spacing w:val="0"/>
          <w:position w:val="3"/>
          <w:sz w:val="21"/>
          <w:szCs w:val="21"/>
        </w:rPr>
        <w:t>单位负责人签字：</w:t>
      </w:r>
    </w:p>
    <w:p w14:paraId="2A61DB6F">
      <w:pPr>
        <w:rPr>
          <w:spacing w:val="0"/>
          <w:sz w:val="30"/>
          <w:szCs w:val="30"/>
        </w:rPr>
      </w:pPr>
      <w:r>
        <w:rPr>
          <w:spacing w:val="0"/>
          <w:sz w:val="30"/>
          <w:szCs w:val="30"/>
        </w:rPr>
        <w:br w:type="page"/>
      </w:r>
    </w:p>
    <w:p w14:paraId="44FF0A3C">
      <w:pPr>
        <w:widowControl/>
        <w:adjustRightInd w:val="0"/>
        <w:snapToGrid w:val="0"/>
        <w:spacing w:line="240" w:lineRule="auto"/>
        <w:ind w:left="542" w:hanging="542"/>
        <w:jc w:val="center"/>
        <w:rPr>
          <w:rFonts w:hint="eastAsia" w:ascii="宋体" w:hAnsi="宋体" w:cs="宋体"/>
          <w:b/>
          <w:bCs/>
          <w:color w:val="000000"/>
          <w:kern w:val="0"/>
          <w:sz w:val="36"/>
          <w:szCs w:val="36"/>
        </w:rPr>
      </w:pPr>
      <w:r>
        <w:rPr>
          <w:rFonts w:hint="eastAsia" w:ascii="宋体" w:hAnsi="宋体" w:cs="宋体"/>
          <w:b/>
          <w:bCs/>
          <w:color w:val="000000"/>
          <w:kern w:val="0"/>
          <w:sz w:val="36"/>
          <w:szCs w:val="36"/>
        </w:rPr>
        <w:t>部门整体支出绩效自评表</w:t>
      </w:r>
    </w:p>
    <w:p w14:paraId="72BBE06E">
      <w:pPr>
        <w:pStyle w:val="2"/>
        <w:keepNext w:val="0"/>
        <w:keepLines w:val="0"/>
        <w:pageBreakBefore w:val="0"/>
        <w:widowControl w:val="0"/>
        <w:kinsoku/>
        <w:wordWrap/>
        <w:overflowPunct/>
        <w:topLinePunct w:val="0"/>
        <w:autoSpaceDE/>
        <w:autoSpaceDN/>
        <w:bidi w:val="0"/>
        <w:adjustRightInd/>
        <w:snapToGrid/>
        <w:spacing w:line="240" w:lineRule="auto"/>
        <w:ind w:left="147" w:leftChars="0" w:firstLine="56" w:firstLineChars="20"/>
        <w:jc w:val="center"/>
        <w:textAlignment w:val="auto"/>
        <w:rPr>
          <w:rFonts w:hint="default" w:eastAsia="宋体"/>
          <w:lang w:val="en-US" w:eastAsia="zh-CN"/>
        </w:rPr>
      </w:pPr>
      <w:r>
        <w:rPr>
          <w:rFonts w:hint="eastAsia" w:ascii="宋体" w:hAnsi="宋体" w:cs="宋体"/>
          <w:b/>
          <w:bCs/>
          <w:color w:val="000000"/>
          <w:kern w:val="0"/>
          <w:sz w:val="28"/>
          <w:szCs w:val="28"/>
          <w:lang w:eastAsia="zh-CN"/>
        </w:rPr>
        <w:t>（</w:t>
      </w:r>
      <w:r>
        <w:rPr>
          <w:rFonts w:hint="eastAsia" w:ascii="宋体" w:hAnsi="宋体" w:cs="宋体"/>
          <w:b/>
          <w:bCs/>
          <w:color w:val="000000"/>
          <w:kern w:val="0"/>
          <w:sz w:val="28"/>
          <w:szCs w:val="28"/>
          <w:lang w:val="en-US" w:eastAsia="zh-CN"/>
        </w:rPr>
        <w:t>2024年度）</w:t>
      </w:r>
    </w:p>
    <w:tbl>
      <w:tblPr>
        <w:tblStyle w:val="9"/>
        <w:tblpPr w:leftFromText="180" w:rightFromText="180" w:vertAnchor="text" w:horzAnchor="page" w:tblpX="1699" w:tblpY="1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776"/>
        <w:gridCol w:w="1148"/>
        <w:gridCol w:w="1081"/>
        <w:gridCol w:w="997"/>
        <w:gridCol w:w="741"/>
        <w:gridCol w:w="741"/>
        <w:gridCol w:w="741"/>
      </w:tblGrid>
      <w:tr w14:paraId="7286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dxa"/>
            <w:noWrap w:val="0"/>
            <w:vAlign w:val="center"/>
          </w:tcPr>
          <w:p w14:paraId="2C0447E3">
            <w:pPr>
              <w:widowControl/>
              <w:adjustRightInd w:val="0"/>
              <w:snapToGrid w:val="0"/>
              <w:spacing w:line="240" w:lineRule="auto"/>
              <w:ind w:left="0" w:firstLine="0" w:firstLineChars="0"/>
              <w:jc w:val="center"/>
              <w:rPr>
                <w:rFonts w:eastAsia="仿宋_GB2312"/>
                <w:color w:val="000000"/>
                <w:kern w:val="0"/>
                <w:szCs w:val="21"/>
              </w:rPr>
            </w:pPr>
            <w:r>
              <w:rPr>
                <w:rFonts w:eastAsia="仿宋_GB2312"/>
                <w:color w:val="000000"/>
                <w:kern w:val="0"/>
                <w:szCs w:val="21"/>
              </w:rPr>
              <w:t>预算部门名称</w:t>
            </w:r>
          </w:p>
        </w:tc>
        <w:tc>
          <w:tcPr>
            <w:tcW w:w="8225" w:type="dxa"/>
            <w:gridSpan w:val="7"/>
            <w:noWrap w:val="0"/>
            <w:vAlign w:val="center"/>
          </w:tcPr>
          <w:p w14:paraId="20548878">
            <w:pPr>
              <w:widowControl/>
              <w:ind w:left="918" w:leftChars="287" w:hanging="315" w:hangingChars="150"/>
              <w:jc w:val="center"/>
              <w:rPr>
                <w:rFonts w:eastAsia="仿宋_GB2312"/>
                <w:color w:val="000000"/>
                <w:kern w:val="0"/>
                <w:szCs w:val="21"/>
              </w:rPr>
            </w:pPr>
            <w:r>
              <w:rPr>
                <w:rFonts w:hint="eastAsia" w:eastAsia="仿宋_GB2312"/>
                <w:color w:val="000000"/>
                <w:kern w:val="0"/>
                <w:szCs w:val="21"/>
                <w:lang w:eastAsia="zh-CN"/>
              </w:rPr>
              <w:t>新邵县</w:t>
            </w:r>
            <w:r>
              <w:rPr>
                <w:rFonts w:hint="eastAsia" w:eastAsia="仿宋_GB2312"/>
                <w:color w:val="000000"/>
                <w:kern w:val="0"/>
                <w:szCs w:val="21"/>
                <w:lang w:val="en-US" w:eastAsia="zh-CN"/>
              </w:rPr>
              <w:t>颜岭</w:t>
            </w:r>
            <w:r>
              <w:rPr>
                <w:rFonts w:hint="eastAsia" w:eastAsia="仿宋_GB2312"/>
                <w:color w:val="000000"/>
                <w:kern w:val="0"/>
                <w:szCs w:val="21"/>
                <w:lang w:eastAsia="zh-CN"/>
              </w:rPr>
              <w:t>水库管理所</w:t>
            </w:r>
            <w:r>
              <w:rPr>
                <w:rFonts w:eastAsia="仿宋_GB2312"/>
                <w:color w:val="000000"/>
                <w:kern w:val="0"/>
                <w:szCs w:val="21"/>
              </w:rPr>
              <w:t>　</w:t>
            </w:r>
          </w:p>
        </w:tc>
      </w:tr>
      <w:tr w14:paraId="56B8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dxa"/>
            <w:vMerge w:val="restart"/>
            <w:noWrap w:val="0"/>
            <w:vAlign w:val="center"/>
          </w:tcPr>
          <w:p w14:paraId="3777AD9E">
            <w:pPr>
              <w:widowControl/>
              <w:adjustRightInd w:val="0"/>
              <w:snapToGrid w:val="0"/>
              <w:spacing w:line="240" w:lineRule="auto"/>
              <w:ind w:left="0" w:firstLine="0" w:firstLineChars="0"/>
              <w:jc w:val="center"/>
              <w:rPr>
                <w:rFonts w:eastAsia="仿宋_GB2312"/>
                <w:color w:val="000000"/>
                <w:kern w:val="0"/>
                <w:szCs w:val="21"/>
              </w:rPr>
            </w:pPr>
            <w:r>
              <w:rPr>
                <w:rFonts w:eastAsia="仿宋_GB2312"/>
                <w:color w:val="000000"/>
                <w:kern w:val="0"/>
                <w:szCs w:val="21"/>
              </w:rPr>
              <w:t>年度预</w:t>
            </w:r>
          </w:p>
          <w:p w14:paraId="6C147E5E">
            <w:pPr>
              <w:widowControl/>
              <w:adjustRightInd w:val="0"/>
              <w:snapToGrid w:val="0"/>
              <w:spacing w:line="240" w:lineRule="auto"/>
              <w:ind w:left="0" w:firstLine="0" w:firstLineChars="0"/>
              <w:jc w:val="center"/>
              <w:rPr>
                <w:rFonts w:hint="eastAsia" w:eastAsia="仿宋_GB2312"/>
                <w:color w:val="000000"/>
                <w:kern w:val="0"/>
                <w:szCs w:val="21"/>
                <w:lang w:eastAsia="zh-CN"/>
              </w:rPr>
            </w:pPr>
            <w:r>
              <w:rPr>
                <w:rFonts w:eastAsia="仿宋_GB2312"/>
                <w:color w:val="000000"/>
                <w:kern w:val="0"/>
                <w:szCs w:val="21"/>
              </w:rPr>
              <w:t>算申请</w:t>
            </w:r>
          </w:p>
          <w:p w14:paraId="7C90F160">
            <w:pPr>
              <w:widowControl/>
              <w:adjustRightInd w:val="0"/>
              <w:snapToGrid w:val="0"/>
              <w:spacing w:line="240" w:lineRule="auto"/>
              <w:ind w:left="0" w:firstLine="0" w:firstLineChars="0"/>
              <w:jc w:val="center"/>
              <w:rPr>
                <w:rFonts w:eastAsia="仿宋_GB2312"/>
                <w:color w:val="000000"/>
                <w:kern w:val="0"/>
                <w:szCs w:val="21"/>
              </w:rPr>
            </w:pPr>
            <w:r>
              <w:rPr>
                <w:rFonts w:eastAsia="仿宋_GB2312"/>
                <w:color w:val="000000"/>
                <w:kern w:val="0"/>
                <w:szCs w:val="21"/>
              </w:rPr>
              <w:t>（万元）</w:t>
            </w:r>
          </w:p>
        </w:tc>
        <w:tc>
          <w:tcPr>
            <w:tcW w:w="2776" w:type="dxa"/>
            <w:noWrap w:val="0"/>
            <w:vAlign w:val="center"/>
          </w:tcPr>
          <w:p w14:paraId="37E25B7C">
            <w:pPr>
              <w:ind w:left="315" w:hanging="315"/>
              <w:jc w:val="both"/>
              <w:rPr>
                <w:rFonts w:eastAsia="仿宋_GB2312"/>
                <w:szCs w:val="21"/>
              </w:rPr>
            </w:pPr>
          </w:p>
        </w:tc>
        <w:tc>
          <w:tcPr>
            <w:tcW w:w="1148" w:type="dxa"/>
            <w:noWrap w:val="0"/>
            <w:vAlign w:val="center"/>
          </w:tcPr>
          <w:p w14:paraId="1F624475">
            <w:pPr>
              <w:ind w:left="315" w:hanging="315"/>
              <w:jc w:val="center"/>
              <w:rPr>
                <w:rFonts w:hint="eastAsia" w:eastAsia="仿宋_GB2312"/>
                <w:szCs w:val="21"/>
              </w:rPr>
            </w:pPr>
            <w:r>
              <w:rPr>
                <w:rFonts w:eastAsia="仿宋_GB2312"/>
                <w:szCs w:val="21"/>
              </w:rPr>
              <w:t>年初</w:t>
            </w:r>
          </w:p>
          <w:p w14:paraId="3D1F9227">
            <w:pPr>
              <w:ind w:left="315" w:hanging="315"/>
              <w:jc w:val="center"/>
              <w:rPr>
                <w:rFonts w:eastAsia="仿宋_GB2312"/>
                <w:szCs w:val="21"/>
              </w:rPr>
            </w:pPr>
            <w:r>
              <w:rPr>
                <w:rFonts w:eastAsia="仿宋_GB2312"/>
                <w:szCs w:val="21"/>
              </w:rPr>
              <w:t>预算数</w:t>
            </w:r>
          </w:p>
        </w:tc>
        <w:tc>
          <w:tcPr>
            <w:tcW w:w="1081" w:type="dxa"/>
            <w:noWrap w:val="0"/>
            <w:vAlign w:val="center"/>
          </w:tcPr>
          <w:p w14:paraId="182CD149">
            <w:pPr>
              <w:ind w:left="315" w:hanging="315"/>
              <w:jc w:val="center"/>
              <w:rPr>
                <w:rFonts w:eastAsia="仿宋_GB2312"/>
                <w:szCs w:val="21"/>
              </w:rPr>
            </w:pPr>
            <w:r>
              <w:rPr>
                <w:rFonts w:eastAsia="仿宋_GB2312"/>
                <w:szCs w:val="21"/>
              </w:rPr>
              <w:t>全年预算数</w:t>
            </w:r>
          </w:p>
        </w:tc>
        <w:tc>
          <w:tcPr>
            <w:tcW w:w="997" w:type="dxa"/>
            <w:noWrap w:val="0"/>
            <w:vAlign w:val="center"/>
          </w:tcPr>
          <w:p w14:paraId="4A2F758F">
            <w:pPr>
              <w:ind w:left="315" w:hanging="315"/>
              <w:jc w:val="center"/>
              <w:rPr>
                <w:rFonts w:hint="eastAsia" w:eastAsia="仿宋_GB2312"/>
                <w:szCs w:val="21"/>
              </w:rPr>
            </w:pPr>
            <w:r>
              <w:rPr>
                <w:rFonts w:eastAsia="仿宋_GB2312"/>
                <w:szCs w:val="21"/>
              </w:rPr>
              <w:t>全年</w:t>
            </w:r>
          </w:p>
          <w:p w14:paraId="4BD0359C">
            <w:pPr>
              <w:ind w:left="315" w:hanging="315"/>
              <w:jc w:val="center"/>
              <w:rPr>
                <w:rFonts w:eastAsia="仿宋_GB2312"/>
                <w:szCs w:val="21"/>
              </w:rPr>
            </w:pPr>
            <w:r>
              <w:rPr>
                <w:rFonts w:eastAsia="仿宋_GB2312"/>
                <w:szCs w:val="21"/>
              </w:rPr>
              <w:t>执行数</w:t>
            </w:r>
          </w:p>
        </w:tc>
        <w:tc>
          <w:tcPr>
            <w:tcW w:w="741" w:type="dxa"/>
            <w:noWrap w:val="0"/>
            <w:vAlign w:val="center"/>
          </w:tcPr>
          <w:p w14:paraId="6681B369">
            <w:pPr>
              <w:ind w:left="315" w:hanging="315"/>
              <w:jc w:val="center"/>
              <w:rPr>
                <w:rFonts w:eastAsia="仿宋_GB2312"/>
                <w:szCs w:val="21"/>
              </w:rPr>
            </w:pPr>
            <w:r>
              <w:rPr>
                <w:rFonts w:eastAsia="仿宋_GB2312"/>
                <w:szCs w:val="21"/>
              </w:rPr>
              <w:t>分值</w:t>
            </w:r>
          </w:p>
        </w:tc>
        <w:tc>
          <w:tcPr>
            <w:tcW w:w="741" w:type="dxa"/>
            <w:noWrap w:val="0"/>
            <w:vAlign w:val="center"/>
          </w:tcPr>
          <w:p w14:paraId="2D6A980B">
            <w:pPr>
              <w:ind w:left="315" w:hanging="315"/>
              <w:jc w:val="center"/>
              <w:rPr>
                <w:rFonts w:eastAsia="仿宋_GB2312"/>
                <w:szCs w:val="21"/>
              </w:rPr>
            </w:pPr>
            <w:r>
              <w:rPr>
                <w:rFonts w:eastAsia="仿宋_GB2312"/>
                <w:szCs w:val="21"/>
              </w:rPr>
              <w:t>执行率</w:t>
            </w:r>
          </w:p>
        </w:tc>
        <w:tc>
          <w:tcPr>
            <w:tcW w:w="741" w:type="dxa"/>
            <w:noWrap w:val="0"/>
            <w:vAlign w:val="center"/>
          </w:tcPr>
          <w:p w14:paraId="1E6793A5">
            <w:pPr>
              <w:ind w:left="315" w:hanging="315"/>
              <w:jc w:val="center"/>
              <w:rPr>
                <w:rFonts w:eastAsia="仿宋_GB2312"/>
                <w:szCs w:val="21"/>
              </w:rPr>
            </w:pPr>
            <w:r>
              <w:rPr>
                <w:rFonts w:eastAsia="仿宋_GB2312"/>
                <w:szCs w:val="21"/>
              </w:rPr>
              <w:t>得分</w:t>
            </w:r>
          </w:p>
        </w:tc>
      </w:tr>
      <w:tr w14:paraId="181B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dxa"/>
            <w:vMerge w:val="continue"/>
            <w:noWrap w:val="0"/>
            <w:vAlign w:val="center"/>
          </w:tcPr>
          <w:p w14:paraId="1C6826A4">
            <w:pPr>
              <w:widowControl/>
              <w:adjustRightInd w:val="0"/>
              <w:snapToGrid w:val="0"/>
              <w:spacing w:line="240" w:lineRule="auto"/>
              <w:ind w:left="0" w:firstLine="0" w:firstLineChars="0"/>
              <w:jc w:val="center"/>
              <w:rPr>
                <w:rFonts w:eastAsia="仿宋_GB2312"/>
                <w:color w:val="000000"/>
                <w:kern w:val="0"/>
                <w:szCs w:val="21"/>
              </w:rPr>
            </w:pPr>
          </w:p>
        </w:tc>
        <w:tc>
          <w:tcPr>
            <w:tcW w:w="2776" w:type="dxa"/>
            <w:noWrap w:val="0"/>
            <w:vAlign w:val="center"/>
          </w:tcPr>
          <w:p w14:paraId="1A2811B3">
            <w:pPr>
              <w:ind w:left="315" w:hanging="315"/>
              <w:jc w:val="center"/>
              <w:rPr>
                <w:rFonts w:eastAsia="仿宋_GB2312"/>
                <w:szCs w:val="21"/>
              </w:rPr>
            </w:pPr>
            <w:r>
              <w:rPr>
                <w:rFonts w:eastAsia="仿宋_GB2312"/>
                <w:color w:val="000000"/>
                <w:kern w:val="0"/>
                <w:szCs w:val="21"/>
              </w:rPr>
              <w:t>年度资金总额</w:t>
            </w:r>
          </w:p>
        </w:tc>
        <w:tc>
          <w:tcPr>
            <w:tcW w:w="1148" w:type="dxa"/>
            <w:noWrap w:val="0"/>
            <w:vAlign w:val="center"/>
          </w:tcPr>
          <w:p w14:paraId="2E3A367F">
            <w:pPr>
              <w:ind w:left="315" w:hanging="315"/>
              <w:jc w:val="center"/>
              <w:rPr>
                <w:rFonts w:hint="default" w:eastAsia="仿宋_GB2312"/>
                <w:szCs w:val="21"/>
                <w:lang w:val="en-US" w:eastAsia="zh-CN"/>
              </w:rPr>
            </w:pPr>
            <w:r>
              <w:rPr>
                <w:rFonts w:hint="eastAsia" w:ascii="仿宋_GB2312" w:hAnsi="仿宋_GB2312" w:eastAsia="仿宋_GB2312" w:cs="仿宋_GB2312"/>
                <w:spacing w:val="0"/>
                <w:sz w:val="21"/>
                <w:szCs w:val="21"/>
                <w:lang w:val="en-US" w:eastAsia="zh-CN"/>
              </w:rPr>
              <w:t>287.57</w:t>
            </w:r>
          </w:p>
        </w:tc>
        <w:tc>
          <w:tcPr>
            <w:tcW w:w="1081" w:type="dxa"/>
            <w:noWrap w:val="0"/>
            <w:vAlign w:val="center"/>
          </w:tcPr>
          <w:p w14:paraId="04C24F89">
            <w:pPr>
              <w:ind w:left="315" w:hanging="315"/>
              <w:jc w:val="center"/>
              <w:rPr>
                <w:rFonts w:hint="default" w:eastAsia="仿宋_GB2312"/>
                <w:szCs w:val="21"/>
                <w:lang w:val="en-US" w:eastAsia="zh-CN"/>
              </w:rPr>
            </w:pPr>
            <w:r>
              <w:rPr>
                <w:rFonts w:hint="eastAsia" w:eastAsia="仿宋_GB2312"/>
                <w:szCs w:val="21"/>
                <w:lang w:val="en-US" w:eastAsia="zh-CN"/>
              </w:rPr>
              <w:t>718.59</w:t>
            </w:r>
          </w:p>
        </w:tc>
        <w:tc>
          <w:tcPr>
            <w:tcW w:w="997" w:type="dxa"/>
            <w:noWrap w:val="0"/>
            <w:vAlign w:val="center"/>
          </w:tcPr>
          <w:p w14:paraId="1999E06E">
            <w:pPr>
              <w:ind w:left="315" w:hanging="315"/>
              <w:jc w:val="center"/>
              <w:rPr>
                <w:rFonts w:hint="default" w:eastAsia="仿宋_GB2312"/>
                <w:szCs w:val="21"/>
                <w:lang w:val="en-US" w:eastAsia="zh-CN"/>
              </w:rPr>
            </w:pPr>
            <w:r>
              <w:rPr>
                <w:rFonts w:hint="eastAsia" w:eastAsia="仿宋_GB2312"/>
                <w:szCs w:val="21"/>
                <w:lang w:val="en-US" w:eastAsia="zh-CN"/>
              </w:rPr>
              <w:t>718.59</w:t>
            </w:r>
          </w:p>
        </w:tc>
        <w:tc>
          <w:tcPr>
            <w:tcW w:w="741" w:type="dxa"/>
            <w:noWrap w:val="0"/>
            <w:vAlign w:val="center"/>
          </w:tcPr>
          <w:p w14:paraId="13F54561">
            <w:pPr>
              <w:ind w:left="315" w:hanging="315"/>
              <w:jc w:val="center"/>
              <w:rPr>
                <w:rFonts w:eastAsia="仿宋_GB2312"/>
                <w:szCs w:val="21"/>
              </w:rPr>
            </w:pPr>
            <w:r>
              <w:rPr>
                <w:rFonts w:eastAsia="仿宋_GB2312"/>
                <w:szCs w:val="21"/>
              </w:rPr>
              <w:t>10</w:t>
            </w:r>
          </w:p>
        </w:tc>
        <w:tc>
          <w:tcPr>
            <w:tcW w:w="741" w:type="dxa"/>
            <w:noWrap w:val="0"/>
            <w:vAlign w:val="center"/>
          </w:tcPr>
          <w:p w14:paraId="6B92971A">
            <w:pPr>
              <w:jc w:val="both"/>
              <w:rPr>
                <w:rFonts w:hint="default" w:eastAsia="仿宋_GB2312"/>
                <w:szCs w:val="21"/>
                <w:lang w:val="en-US" w:eastAsia="zh-CN"/>
              </w:rPr>
            </w:pPr>
            <w:r>
              <w:rPr>
                <w:rFonts w:hint="eastAsia" w:eastAsia="仿宋_GB2312"/>
                <w:szCs w:val="21"/>
                <w:lang w:val="en-US" w:eastAsia="zh-CN"/>
              </w:rPr>
              <w:t>100%</w:t>
            </w:r>
          </w:p>
        </w:tc>
        <w:tc>
          <w:tcPr>
            <w:tcW w:w="741" w:type="dxa"/>
            <w:noWrap w:val="0"/>
            <w:vAlign w:val="center"/>
          </w:tcPr>
          <w:p w14:paraId="1B66D25E">
            <w:pPr>
              <w:ind w:left="315" w:hanging="315"/>
              <w:jc w:val="center"/>
              <w:rPr>
                <w:rFonts w:hint="default" w:eastAsia="仿宋_GB2312"/>
                <w:szCs w:val="21"/>
                <w:lang w:val="en-US" w:eastAsia="zh-CN"/>
              </w:rPr>
            </w:pPr>
            <w:r>
              <w:rPr>
                <w:rFonts w:hint="eastAsia" w:eastAsia="仿宋_GB2312"/>
                <w:szCs w:val="21"/>
                <w:lang w:val="en-US" w:eastAsia="zh-CN"/>
              </w:rPr>
              <w:t>10</w:t>
            </w:r>
          </w:p>
        </w:tc>
      </w:tr>
      <w:tr w14:paraId="5E4B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dxa"/>
            <w:vMerge w:val="continue"/>
            <w:noWrap w:val="0"/>
            <w:vAlign w:val="center"/>
          </w:tcPr>
          <w:p w14:paraId="6624411E">
            <w:pPr>
              <w:widowControl/>
              <w:adjustRightInd w:val="0"/>
              <w:snapToGrid w:val="0"/>
              <w:spacing w:line="240" w:lineRule="auto"/>
              <w:ind w:left="0" w:firstLine="0" w:firstLineChars="0"/>
              <w:jc w:val="center"/>
              <w:rPr>
                <w:rFonts w:eastAsia="仿宋_GB2312"/>
                <w:color w:val="000000"/>
                <w:kern w:val="0"/>
                <w:szCs w:val="21"/>
              </w:rPr>
            </w:pPr>
          </w:p>
        </w:tc>
        <w:tc>
          <w:tcPr>
            <w:tcW w:w="5005" w:type="dxa"/>
            <w:gridSpan w:val="3"/>
            <w:noWrap w:val="0"/>
            <w:vAlign w:val="center"/>
          </w:tcPr>
          <w:p w14:paraId="1105E34B">
            <w:pPr>
              <w:widowControl/>
              <w:ind w:left="315" w:hanging="315"/>
              <w:jc w:val="left"/>
              <w:rPr>
                <w:rFonts w:eastAsia="仿宋_GB2312"/>
                <w:color w:val="000000"/>
                <w:kern w:val="0"/>
                <w:szCs w:val="21"/>
              </w:rPr>
            </w:pPr>
            <w:r>
              <w:rPr>
                <w:rFonts w:eastAsia="仿宋_GB2312"/>
                <w:color w:val="000000"/>
                <w:kern w:val="0"/>
                <w:szCs w:val="21"/>
              </w:rPr>
              <w:t>按收入性质分：</w:t>
            </w:r>
          </w:p>
        </w:tc>
        <w:tc>
          <w:tcPr>
            <w:tcW w:w="3220" w:type="dxa"/>
            <w:gridSpan w:val="4"/>
            <w:noWrap w:val="0"/>
            <w:vAlign w:val="center"/>
          </w:tcPr>
          <w:p w14:paraId="3E68E361">
            <w:pPr>
              <w:widowControl/>
              <w:ind w:left="315" w:hanging="315"/>
              <w:jc w:val="left"/>
              <w:rPr>
                <w:rFonts w:eastAsia="仿宋_GB2312"/>
                <w:color w:val="000000"/>
                <w:kern w:val="0"/>
                <w:szCs w:val="21"/>
              </w:rPr>
            </w:pPr>
            <w:r>
              <w:rPr>
                <w:rFonts w:eastAsia="仿宋_GB2312"/>
                <w:color w:val="000000"/>
                <w:kern w:val="0"/>
                <w:szCs w:val="21"/>
              </w:rPr>
              <w:t>按支出性质分：</w:t>
            </w:r>
          </w:p>
        </w:tc>
      </w:tr>
      <w:tr w14:paraId="3DDC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dxa"/>
            <w:vMerge w:val="continue"/>
            <w:noWrap w:val="0"/>
            <w:vAlign w:val="center"/>
          </w:tcPr>
          <w:p w14:paraId="408A1EFC">
            <w:pPr>
              <w:widowControl/>
              <w:adjustRightInd w:val="0"/>
              <w:snapToGrid w:val="0"/>
              <w:spacing w:line="240" w:lineRule="auto"/>
              <w:ind w:left="0" w:firstLine="0" w:firstLineChars="0"/>
              <w:jc w:val="center"/>
              <w:rPr>
                <w:rFonts w:eastAsia="仿宋_GB2312"/>
                <w:color w:val="000000"/>
                <w:kern w:val="0"/>
                <w:szCs w:val="21"/>
              </w:rPr>
            </w:pPr>
          </w:p>
        </w:tc>
        <w:tc>
          <w:tcPr>
            <w:tcW w:w="5005" w:type="dxa"/>
            <w:gridSpan w:val="3"/>
            <w:noWrap w:val="0"/>
            <w:vAlign w:val="center"/>
          </w:tcPr>
          <w:p w14:paraId="5BFCFD2B">
            <w:pPr>
              <w:widowControl/>
              <w:ind w:left="315" w:hanging="315"/>
              <w:jc w:val="left"/>
              <w:rPr>
                <w:rFonts w:hint="default" w:eastAsia="仿宋_GB2312"/>
                <w:color w:val="000000"/>
                <w:kern w:val="0"/>
                <w:szCs w:val="21"/>
                <w:lang w:val="en-US" w:eastAsia="zh-CN"/>
              </w:rPr>
            </w:pPr>
            <w:r>
              <w:rPr>
                <w:rFonts w:eastAsia="仿宋_GB2312"/>
                <w:color w:val="000000"/>
                <w:kern w:val="0"/>
                <w:szCs w:val="21"/>
              </w:rPr>
              <w:t xml:space="preserve">  其中：  一般公共预算：</w:t>
            </w:r>
            <w:r>
              <w:rPr>
                <w:rFonts w:hint="eastAsia" w:eastAsia="仿宋_GB2312"/>
                <w:color w:val="000000"/>
                <w:kern w:val="0"/>
                <w:szCs w:val="21"/>
                <w:lang w:val="en-US" w:eastAsia="zh-CN"/>
              </w:rPr>
              <w:t>718.59</w:t>
            </w:r>
          </w:p>
        </w:tc>
        <w:tc>
          <w:tcPr>
            <w:tcW w:w="3220" w:type="dxa"/>
            <w:gridSpan w:val="4"/>
            <w:noWrap w:val="0"/>
            <w:vAlign w:val="center"/>
          </w:tcPr>
          <w:p w14:paraId="4F40538E">
            <w:pPr>
              <w:widowControl/>
              <w:ind w:left="315" w:hanging="315"/>
              <w:jc w:val="left"/>
              <w:rPr>
                <w:rFonts w:hint="default"/>
                <w:lang w:val="en-US" w:eastAsia="zh-CN"/>
              </w:rPr>
            </w:pPr>
            <w:r>
              <w:rPr>
                <w:rFonts w:eastAsia="仿宋_GB2312"/>
                <w:color w:val="000000"/>
                <w:kern w:val="0"/>
                <w:szCs w:val="21"/>
              </w:rPr>
              <w:t>其中：基本支出：</w:t>
            </w:r>
            <w:r>
              <w:rPr>
                <w:rFonts w:hint="eastAsia" w:eastAsia="仿宋_GB2312"/>
                <w:color w:val="000000"/>
                <w:kern w:val="0"/>
                <w:sz w:val="18"/>
                <w:szCs w:val="18"/>
                <w:lang w:val="en-US" w:eastAsia="zh-CN"/>
              </w:rPr>
              <w:t>405.74</w:t>
            </w:r>
          </w:p>
        </w:tc>
      </w:tr>
      <w:tr w14:paraId="3357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dxa"/>
            <w:vMerge w:val="continue"/>
            <w:noWrap w:val="0"/>
            <w:vAlign w:val="center"/>
          </w:tcPr>
          <w:p w14:paraId="1A5E0573">
            <w:pPr>
              <w:widowControl/>
              <w:adjustRightInd w:val="0"/>
              <w:snapToGrid w:val="0"/>
              <w:spacing w:line="240" w:lineRule="auto"/>
              <w:ind w:left="0" w:firstLine="0" w:firstLineChars="0"/>
              <w:jc w:val="center"/>
              <w:rPr>
                <w:rFonts w:eastAsia="仿宋_GB2312"/>
                <w:color w:val="000000"/>
                <w:kern w:val="0"/>
                <w:szCs w:val="21"/>
              </w:rPr>
            </w:pPr>
          </w:p>
        </w:tc>
        <w:tc>
          <w:tcPr>
            <w:tcW w:w="5005" w:type="dxa"/>
            <w:gridSpan w:val="3"/>
            <w:noWrap w:val="0"/>
            <w:vAlign w:val="center"/>
          </w:tcPr>
          <w:p w14:paraId="217CA61A">
            <w:pPr>
              <w:widowControl/>
              <w:ind w:firstLine="840" w:firstLineChars="400"/>
              <w:jc w:val="left"/>
              <w:rPr>
                <w:rFonts w:eastAsia="仿宋_GB2312"/>
                <w:color w:val="000000"/>
                <w:kern w:val="0"/>
                <w:szCs w:val="21"/>
              </w:rPr>
            </w:pPr>
            <w:r>
              <w:rPr>
                <w:rFonts w:eastAsia="仿宋_GB2312"/>
                <w:color w:val="000000"/>
                <w:kern w:val="0"/>
                <w:szCs w:val="21"/>
              </w:rPr>
              <w:t>政府性基金拨款：</w:t>
            </w:r>
          </w:p>
        </w:tc>
        <w:tc>
          <w:tcPr>
            <w:tcW w:w="3220" w:type="dxa"/>
            <w:gridSpan w:val="4"/>
            <w:noWrap w:val="0"/>
            <w:vAlign w:val="center"/>
          </w:tcPr>
          <w:p w14:paraId="73F3C459">
            <w:pPr>
              <w:widowControl/>
              <w:ind w:firstLine="630" w:firstLineChars="300"/>
              <w:jc w:val="left"/>
              <w:rPr>
                <w:rFonts w:hint="default" w:eastAsia="仿宋_GB2312"/>
                <w:color w:val="000000"/>
                <w:kern w:val="0"/>
                <w:szCs w:val="21"/>
                <w:lang w:val="en-US" w:eastAsia="zh-CN"/>
              </w:rPr>
            </w:pPr>
            <w:r>
              <w:rPr>
                <w:rFonts w:eastAsia="仿宋_GB2312"/>
                <w:color w:val="000000"/>
                <w:kern w:val="0"/>
                <w:szCs w:val="21"/>
              </w:rPr>
              <w:t>项目支出：</w:t>
            </w:r>
            <w:r>
              <w:rPr>
                <w:rFonts w:hint="eastAsia" w:eastAsia="仿宋_GB2312"/>
                <w:color w:val="000000"/>
                <w:kern w:val="0"/>
                <w:szCs w:val="21"/>
                <w:lang w:val="en-US" w:eastAsia="zh-CN"/>
              </w:rPr>
              <w:t>312.85</w:t>
            </w:r>
          </w:p>
        </w:tc>
      </w:tr>
      <w:tr w14:paraId="1F83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dxa"/>
            <w:vMerge w:val="continue"/>
            <w:noWrap w:val="0"/>
            <w:vAlign w:val="center"/>
          </w:tcPr>
          <w:p w14:paraId="5E844FDD">
            <w:pPr>
              <w:widowControl/>
              <w:adjustRightInd w:val="0"/>
              <w:snapToGrid w:val="0"/>
              <w:spacing w:line="240" w:lineRule="auto"/>
              <w:ind w:left="0" w:firstLine="0" w:firstLineChars="0"/>
              <w:jc w:val="center"/>
              <w:rPr>
                <w:rFonts w:eastAsia="仿宋_GB2312"/>
                <w:color w:val="000000"/>
                <w:kern w:val="0"/>
                <w:szCs w:val="21"/>
              </w:rPr>
            </w:pPr>
          </w:p>
        </w:tc>
        <w:tc>
          <w:tcPr>
            <w:tcW w:w="5005" w:type="dxa"/>
            <w:gridSpan w:val="3"/>
            <w:noWrap w:val="0"/>
            <w:vAlign w:val="center"/>
          </w:tcPr>
          <w:p w14:paraId="25283FDC">
            <w:pPr>
              <w:widowControl/>
              <w:ind w:left="315" w:hanging="315"/>
              <w:jc w:val="left"/>
              <w:rPr>
                <w:rFonts w:eastAsia="仿宋_GB2312"/>
                <w:color w:val="000000"/>
                <w:kern w:val="0"/>
                <w:szCs w:val="21"/>
              </w:rPr>
            </w:pPr>
            <w:r>
              <w:rPr>
                <w:rFonts w:eastAsia="仿宋_GB2312"/>
                <w:color w:val="000000"/>
                <w:kern w:val="0"/>
                <w:szCs w:val="21"/>
              </w:rPr>
              <w:t>纳入专户管理的非税收入拨款：</w:t>
            </w:r>
          </w:p>
        </w:tc>
        <w:tc>
          <w:tcPr>
            <w:tcW w:w="3220" w:type="dxa"/>
            <w:gridSpan w:val="4"/>
            <w:noWrap w:val="0"/>
            <w:vAlign w:val="center"/>
          </w:tcPr>
          <w:p w14:paraId="1671B410">
            <w:pPr>
              <w:widowControl/>
              <w:ind w:left="315" w:hanging="315"/>
              <w:jc w:val="left"/>
              <w:rPr>
                <w:rFonts w:eastAsia="仿宋_GB2312"/>
                <w:color w:val="000000"/>
                <w:kern w:val="0"/>
                <w:szCs w:val="21"/>
              </w:rPr>
            </w:pPr>
          </w:p>
        </w:tc>
      </w:tr>
      <w:tr w14:paraId="6A9D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dxa"/>
            <w:vMerge w:val="continue"/>
            <w:noWrap w:val="0"/>
            <w:vAlign w:val="center"/>
          </w:tcPr>
          <w:p w14:paraId="4730BBF2">
            <w:pPr>
              <w:widowControl/>
              <w:adjustRightInd w:val="0"/>
              <w:snapToGrid w:val="0"/>
              <w:spacing w:line="240" w:lineRule="auto"/>
              <w:ind w:left="0" w:firstLine="0" w:firstLineChars="0"/>
              <w:jc w:val="center"/>
              <w:rPr>
                <w:rFonts w:eastAsia="仿宋_GB2312"/>
                <w:color w:val="000000"/>
                <w:kern w:val="0"/>
                <w:szCs w:val="21"/>
              </w:rPr>
            </w:pPr>
          </w:p>
        </w:tc>
        <w:tc>
          <w:tcPr>
            <w:tcW w:w="5005" w:type="dxa"/>
            <w:gridSpan w:val="3"/>
            <w:noWrap w:val="0"/>
            <w:vAlign w:val="center"/>
          </w:tcPr>
          <w:p w14:paraId="72E0E776">
            <w:pPr>
              <w:widowControl/>
              <w:ind w:firstLine="1470" w:firstLineChars="700"/>
              <w:jc w:val="left"/>
              <w:rPr>
                <w:rFonts w:hint="default" w:eastAsia="仿宋_GB2312"/>
                <w:color w:val="000000"/>
                <w:kern w:val="0"/>
                <w:szCs w:val="21"/>
                <w:lang w:val="en-US" w:eastAsia="zh-CN"/>
              </w:rPr>
            </w:pPr>
            <w:r>
              <w:rPr>
                <w:rFonts w:eastAsia="仿宋_GB2312"/>
                <w:color w:val="000000"/>
                <w:kern w:val="0"/>
                <w:szCs w:val="21"/>
              </w:rPr>
              <w:t>其他资金：</w:t>
            </w:r>
          </w:p>
        </w:tc>
        <w:tc>
          <w:tcPr>
            <w:tcW w:w="3220" w:type="dxa"/>
            <w:gridSpan w:val="4"/>
            <w:noWrap w:val="0"/>
            <w:vAlign w:val="center"/>
          </w:tcPr>
          <w:p w14:paraId="39DBC4E2">
            <w:pPr>
              <w:widowControl/>
              <w:ind w:left="315" w:hanging="315"/>
              <w:jc w:val="left"/>
              <w:rPr>
                <w:rFonts w:eastAsia="仿宋_GB2312"/>
                <w:color w:val="000000"/>
                <w:kern w:val="0"/>
                <w:szCs w:val="21"/>
              </w:rPr>
            </w:pPr>
          </w:p>
        </w:tc>
      </w:tr>
      <w:tr w14:paraId="3659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6" w:type="dxa"/>
            <w:vMerge w:val="restart"/>
            <w:noWrap w:val="0"/>
            <w:vAlign w:val="center"/>
          </w:tcPr>
          <w:p w14:paraId="3C70D5B0">
            <w:pPr>
              <w:widowControl/>
              <w:adjustRightInd w:val="0"/>
              <w:snapToGrid w:val="0"/>
              <w:spacing w:line="240" w:lineRule="auto"/>
              <w:ind w:left="0" w:firstLine="0" w:firstLineChars="0"/>
              <w:jc w:val="center"/>
              <w:rPr>
                <w:rFonts w:eastAsia="仿宋_GB2312"/>
                <w:color w:val="000000"/>
                <w:kern w:val="0"/>
                <w:szCs w:val="21"/>
              </w:rPr>
            </w:pPr>
            <w:r>
              <w:rPr>
                <w:rFonts w:eastAsia="仿宋_GB2312"/>
                <w:color w:val="000000"/>
                <w:kern w:val="0"/>
                <w:szCs w:val="21"/>
              </w:rPr>
              <w:t>年度总体目标</w:t>
            </w:r>
          </w:p>
        </w:tc>
        <w:tc>
          <w:tcPr>
            <w:tcW w:w="5005" w:type="dxa"/>
            <w:gridSpan w:val="3"/>
            <w:noWrap w:val="0"/>
            <w:vAlign w:val="center"/>
          </w:tcPr>
          <w:p w14:paraId="262CAF72">
            <w:pPr>
              <w:widowControl/>
              <w:ind w:left="315" w:hanging="315"/>
              <w:jc w:val="center"/>
              <w:rPr>
                <w:rFonts w:eastAsia="仿宋_GB2312"/>
                <w:color w:val="000000"/>
                <w:kern w:val="0"/>
                <w:szCs w:val="21"/>
              </w:rPr>
            </w:pPr>
            <w:r>
              <w:rPr>
                <w:rFonts w:eastAsia="仿宋_GB2312"/>
                <w:color w:val="000000"/>
                <w:kern w:val="0"/>
                <w:szCs w:val="21"/>
              </w:rPr>
              <w:t>预期目标</w:t>
            </w:r>
          </w:p>
        </w:tc>
        <w:tc>
          <w:tcPr>
            <w:tcW w:w="3220" w:type="dxa"/>
            <w:gridSpan w:val="4"/>
            <w:noWrap w:val="0"/>
            <w:vAlign w:val="center"/>
          </w:tcPr>
          <w:p w14:paraId="15F5211A">
            <w:pPr>
              <w:widowControl/>
              <w:ind w:left="315" w:hanging="315"/>
              <w:jc w:val="center"/>
              <w:rPr>
                <w:rFonts w:eastAsia="仿宋_GB2312"/>
                <w:color w:val="000000"/>
                <w:kern w:val="0"/>
                <w:szCs w:val="21"/>
              </w:rPr>
            </w:pPr>
            <w:r>
              <w:rPr>
                <w:rFonts w:eastAsia="仿宋_GB2312"/>
                <w:color w:val="000000"/>
                <w:kern w:val="0"/>
                <w:szCs w:val="21"/>
              </w:rPr>
              <w:t>实际完成情况　</w:t>
            </w:r>
          </w:p>
        </w:tc>
      </w:tr>
      <w:tr w14:paraId="4625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6" w:type="dxa"/>
            <w:vMerge w:val="continue"/>
            <w:noWrap w:val="0"/>
            <w:vAlign w:val="center"/>
          </w:tcPr>
          <w:p w14:paraId="1FAEE633">
            <w:pPr>
              <w:widowControl/>
              <w:ind w:left="315" w:hanging="315"/>
              <w:jc w:val="left"/>
              <w:rPr>
                <w:rFonts w:eastAsia="仿宋_GB2312"/>
                <w:color w:val="000000"/>
                <w:kern w:val="0"/>
                <w:szCs w:val="21"/>
              </w:rPr>
            </w:pPr>
          </w:p>
        </w:tc>
        <w:tc>
          <w:tcPr>
            <w:tcW w:w="5005" w:type="dxa"/>
            <w:gridSpan w:val="3"/>
            <w:noWrap w:val="0"/>
            <w:vAlign w:val="center"/>
          </w:tcPr>
          <w:p w14:paraId="40CC0B5A">
            <w:pPr>
              <w:widowControl/>
              <w:ind w:left="0" w:leftChars="0" w:firstLine="0" w:firstLineChars="0"/>
              <w:rPr>
                <w:rFonts w:hint="eastAsia" w:ascii="仿宋" w:hAnsi="仿宋" w:eastAsia="仿宋" w:cs="仿宋"/>
                <w:kern w:val="0"/>
                <w:sz w:val="24"/>
              </w:rPr>
            </w:pPr>
            <w:r>
              <w:rPr>
                <w:rFonts w:hint="eastAsia" w:ascii="仿宋" w:hAnsi="仿宋" w:eastAsia="仿宋" w:cs="仿宋"/>
                <w:kern w:val="0"/>
                <w:sz w:val="24"/>
              </w:rPr>
              <w:t>目标1：全所人员每年进行90课时培训，对支委成员每月培训4次，每半年进行一次考评。</w:t>
            </w:r>
          </w:p>
          <w:p w14:paraId="302FB47A">
            <w:pPr>
              <w:widowControl/>
              <w:ind w:left="0" w:leftChars="0" w:firstLine="0" w:firstLineChars="0"/>
              <w:rPr>
                <w:rFonts w:hint="eastAsia" w:ascii="仿宋" w:hAnsi="仿宋" w:eastAsia="仿宋" w:cs="仿宋"/>
                <w:kern w:val="0"/>
                <w:sz w:val="24"/>
                <w:lang w:eastAsia="zh-CN"/>
              </w:rPr>
            </w:pPr>
            <w:r>
              <w:rPr>
                <w:rFonts w:hint="eastAsia" w:ascii="仿宋" w:hAnsi="仿宋" w:eastAsia="仿宋" w:cs="仿宋"/>
                <w:kern w:val="0"/>
                <w:sz w:val="24"/>
              </w:rPr>
              <w:t>目标2：全面完成灌区渠道配套工程建设，对全线渠道清障止漏，积极引水，确保农田灌溉用水，夺取大丰收</w:t>
            </w:r>
            <w:r>
              <w:rPr>
                <w:rFonts w:hint="eastAsia" w:ascii="仿宋" w:hAnsi="仿宋" w:eastAsia="仿宋" w:cs="仿宋"/>
                <w:kern w:val="0"/>
                <w:sz w:val="24"/>
                <w:lang w:eastAsia="zh-CN"/>
              </w:rPr>
              <w:t>。</w:t>
            </w:r>
          </w:p>
          <w:p w14:paraId="3B7C0F6B">
            <w:pPr>
              <w:widowControl/>
              <w:ind w:left="0" w:leftChars="0" w:firstLine="0" w:firstLineChars="0"/>
              <w:rPr>
                <w:rFonts w:hint="eastAsia" w:ascii="仿宋" w:hAnsi="仿宋" w:eastAsia="仿宋" w:cs="仿宋"/>
                <w:kern w:val="0"/>
                <w:sz w:val="24"/>
              </w:rPr>
            </w:pPr>
            <w:r>
              <w:rPr>
                <w:rFonts w:hint="eastAsia" w:ascii="仿宋" w:hAnsi="仿宋" w:eastAsia="仿宋" w:cs="仿宋"/>
                <w:kern w:val="0"/>
                <w:sz w:val="24"/>
              </w:rPr>
              <w:t>目标3：仔细观察大坝、迎水坡、背水坡、坝址脚是否有渗漏情况，确保大坝安全，认真巡视渠道，及时清理渠道障碍物，保证渠道畅通无阻。</w:t>
            </w:r>
          </w:p>
          <w:p w14:paraId="54DDE4DE">
            <w:pPr>
              <w:widowControl/>
              <w:ind w:left="0" w:leftChars="0" w:firstLine="0" w:firstLineChars="0"/>
              <w:rPr>
                <w:rFonts w:hint="eastAsia" w:ascii="仿宋" w:hAnsi="仿宋" w:eastAsia="仿宋" w:cs="仿宋"/>
                <w:kern w:val="0"/>
                <w:sz w:val="24"/>
              </w:rPr>
            </w:pPr>
            <w:r>
              <w:rPr>
                <w:rFonts w:hint="eastAsia" w:ascii="仿宋" w:hAnsi="仿宋" w:eastAsia="仿宋" w:cs="仿宋"/>
                <w:kern w:val="0"/>
                <w:sz w:val="24"/>
              </w:rPr>
              <w:t>目标4：对农村安全饮水设备进行及时有效管理维护，确保城乡用水安全</w:t>
            </w:r>
          </w:p>
          <w:p w14:paraId="7FA86938">
            <w:pPr>
              <w:widowControl/>
              <w:ind w:left="0" w:leftChars="0" w:firstLine="0" w:firstLineChars="0"/>
              <w:rPr>
                <w:rFonts w:hint="default" w:eastAsia="仿宋"/>
                <w:color w:val="000000"/>
                <w:kern w:val="0"/>
                <w:szCs w:val="21"/>
                <w:lang w:val="en-US" w:eastAsia="zh-CN"/>
              </w:rPr>
            </w:pPr>
            <w:r>
              <w:rPr>
                <w:rFonts w:hint="eastAsia" w:ascii="仿宋" w:hAnsi="仿宋" w:eastAsia="仿宋" w:cs="仿宋"/>
                <w:kern w:val="0"/>
                <w:sz w:val="24"/>
              </w:rPr>
              <w:t>目标5：完成县水利局下达的各项任务。</w:t>
            </w:r>
          </w:p>
        </w:tc>
        <w:tc>
          <w:tcPr>
            <w:tcW w:w="3220" w:type="dxa"/>
            <w:gridSpan w:val="4"/>
            <w:noWrap w:val="0"/>
            <w:vAlign w:val="center"/>
          </w:tcPr>
          <w:p w14:paraId="0DAD1CB7">
            <w:pPr>
              <w:widowControl/>
              <w:ind w:left="315" w:hanging="315"/>
              <w:jc w:val="left"/>
              <w:rPr>
                <w:rFonts w:eastAsia="仿宋_GB2312"/>
                <w:color w:val="000000"/>
                <w:kern w:val="0"/>
                <w:szCs w:val="21"/>
              </w:rPr>
            </w:pPr>
            <w:r>
              <w:rPr>
                <w:rFonts w:eastAsia="仿宋_GB2312"/>
                <w:color w:val="000000"/>
                <w:kern w:val="0"/>
                <w:szCs w:val="21"/>
              </w:rPr>
              <w:t>　</w:t>
            </w:r>
            <w:r>
              <w:rPr>
                <w:rFonts w:hint="eastAsia" w:ascii="Times New Roman" w:hAnsi="Times New Roman"/>
                <w:sz w:val="20"/>
                <w:szCs w:val="20"/>
              </w:rPr>
              <w:t>已完成</w:t>
            </w:r>
            <w:r>
              <w:rPr>
                <w:rFonts w:hint="eastAsia" w:ascii="Times New Roman" w:hAnsi="Times New Roman"/>
                <w:sz w:val="20"/>
                <w:szCs w:val="20"/>
                <w:lang w:val="en-US" w:eastAsia="zh-CN"/>
              </w:rPr>
              <w:t>年度工作</w:t>
            </w:r>
            <w:r>
              <w:rPr>
                <w:rFonts w:hint="eastAsia" w:ascii="Times New Roman" w:hAnsi="Times New Roman"/>
                <w:sz w:val="20"/>
                <w:szCs w:val="20"/>
              </w:rPr>
              <w:t>目标</w:t>
            </w:r>
          </w:p>
        </w:tc>
      </w:tr>
      <w:tr w14:paraId="6560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4" w:hRule="atLeast"/>
        </w:trPr>
        <w:tc>
          <w:tcPr>
            <w:tcW w:w="636" w:type="dxa"/>
            <w:noWrap w:val="0"/>
            <w:vAlign w:val="center"/>
          </w:tcPr>
          <w:p w14:paraId="66BE21D0">
            <w:pPr>
              <w:widowControl/>
              <w:ind w:left="315" w:hanging="315"/>
              <w:jc w:val="center"/>
              <w:rPr>
                <w:rFonts w:eastAsia="仿宋_GB2312"/>
                <w:color w:val="000000"/>
                <w:kern w:val="0"/>
                <w:szCs w:val="21"/>
              </w:rPr>
            </w:pPr>
            <w:r>
              <w:rPr>
                <w:rFonts w:eastAsia="仿宋_GB2312"/>
                <w:color w:val="000000"/>
                <w:kern w:val="0"/>
                <w:szCs w:val="21"/>
              </w:rPr>
              <w:t>绩</w:t>
            </w:r>
          </w:p>
          <w:p w14:paraId="7C084140">
            <w:pPr>
              <w:widowControl/>
              <w:ind w:left="315" w:hanging="315"/>
              <w:jc w:val="center"/>
              <w:rPr>
                <w:rFonts w:eastAsia="仿宋_GB2312"/>
                <w:color w:val="000000"/>
                <w:kern w:val="0"/>
                <w:szCs w:val="21"/>
              </w:rPr>
            </w:pPr>
            <w:r>
              <w:rPr>
                <w:rFonts w:eastAsia="仿宋_GB2312"/>
                <w:color w:val="000000"/>
                <w:kern w:val="0"/>
                <w:szCs w:val="21"/>
              </w:rPr>
              <w:t>效</w:t>
            </w:r>
          </w:p>
          <w:p w14:paraId="016F6CDC">
            <w:pPr>
              <w:widowControl/>
              <w:ind w:left="315" w:hanging="315"/>
              <w:jc w:val="center"/>
              <w:rPr>
                <w:rFonts w:eastAsia="仿宋_GB2312"/>
                <w:color w:val="000000"/>
                <w:kern w:val="0"/>
                <w:szCs w:val="21"/>
              </w:rPr>
            </w:pPr>
            <w:r>
              <w:rPr>
                <w:rFonts w:eastAsia="仿宋_GB2312"/>
                <w:color w:val="000000"/>
                <w:kern w:val="0"/>
                <w:szCs w:val="21"/>
              </w:rPr>
              <w:t>指</w:t>
            </w:r>
          </w:p>
          <w:p w14:paraId="04977076">
            <w:pPr>
              <w:widowControl/>
              <w:ind w:left="315" w:hanging="315"/>
              <w:jc w:val="center"/>
              <w:rPr>
                <w:rFonts w:eastAsia="仿宋_GB2312"/>
                <w:color w:val="000000"/>
                <w:kern w:val="0"/>
                <w:szCs w:val="21"/>
              </w:rPr>
            </w:pPr>
            <w:r>
              <w:rPr>
                <w:rFonts w:eastAsia="仿宋_GB2312"/>
                <w:color w:val="000000"/>
                <w:kern w:val="0"/>
                <w:szCs w:val="21"/>
              </w:rPr>
              <w:t>标</w:t>
            </w:r>
          </w:p>
        </w:tc>
        <w:tc>
          <w:tcPr>
            <w:tcW w:w="8225" w:type="dxa"/>
            <w:gridSpan w:val="7"/>
            <w:noWrap w:val="0"/>
            <w:vAlign w:val="center"/>
          </w:tcPr>
          <w:tbl>
            <w:tblPr>
              <w:tblStyle w:val="9"/>
              <w:tblW w:w="5202" w:type="pct"/>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1397"/>
              <w:gridCol w:w="2016"/>
              <w:gridCol w:w="820"/>
              <w:gridCol w:w="820"/>
              <w:gridCol w:w="495"/>
              <w:gridCol w:w="475"/>
              <w:gridCol w:w="1530"/>
            </w:tblGrid>
            <w:tr w14:paraId="7EC2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CED9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83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6667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209"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6D9F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2E99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年度指标值</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3484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实际完成值</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1FB4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285"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36F3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9866482">
                  <w:pPr>
                    <w:keepNext w:val="0"/>
                    <w:keepLines w:val="0"/>
                    <w:widowControl/>
                    <w:suppressLineNumbers w:val="0"/>
                    <w:ind w:left="0" w:leftChars="0" w:right="258" w:rightChars="123"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偏差原因分析及改进措施</w:t>
                  </w:r>
                </w:p>
              </w:tc>
            </w:tr>
            <w:tr w14:paraId="504C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68" w:type="pct"/>
                  <w:vMerge w:val="restar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73F7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838" w:type="pct"/>
                  <w:vMerge w:val="restar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2041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209"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8ADE2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对颜岭灌区农田灌溉</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DA8A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1.28</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54C3C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1.28</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2A00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9D16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E6AE675">
                  <w:pPr>
                    <w:jc w:val="center"/>
                    <w:rPr>
                      <w:rFonts w:hint="eastAsia" w:ascii="宋体" w:hAnsi="宋体" w:eastAsia="宋体" w:cs="宋体"/>
                      <w:i w:val="0"/>
                      <w:iCs w:val="0"/>
                      <w:color w:val="000000"/>
                      <w:sz w:val="21"/>
                      <w:szCs w:val="21"/>
                      <w:u w:val="none"/>
                    </w:rPr>
                  </w:pPr>
                </w:p>
              </w:tc>
            </w:tr>
            <w:tr w14:paraId="7FEC3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6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D9670FB">
                  <w:pPr>
                    <w:jc w:val="center"/>
                    <w:rPr>
                      <w:rFonts w:hint="eastAsia" w:ascii="宋体" w:hAnsi="宋体" w:eastAsia="宋体" w:cs="宋体"/>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55D8627">
                  <w:pPr>
                    <w:jc w:val="center"/>
                    <w:rPr>
                      <w:rFonts w:hint="eastAsia" w:ascii="宋体" w:hAnsi="宋体" w:eastAsia="宋体" w:cs="宋体"/>
                      <w:i w:val="0"/>
                      <w:iCs w:val="0"/>
                      <w:color w:val="000000"/>
                      <w:sz w:val="21"/>
                      <w:szCs w:val="21"/>
                      <w:u w:val="none"/>
                    </w:rPr>
                  </w:pPr>
                </w:p>
              </w:tc>
              <w:tc>
                <w:tcPr>
                  <w:tcW w:w="1209"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A4D92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对主干渠道清淤扫障</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396F4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0B7D7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C452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1ABD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B2BFE75">
                  <w:pPr>
                    <w:jc w:val="center"/>
                    <w:rPr>
                      <w:rFonts w:hint="eastAsia" w:ascii="宋体" w:hAnsi="宋体" w:eastAsia="宋体" w:cs="宋体"/>
                      <w:i w:val="0"/>
                      <w:iCs w:val="0"/>
                      <w:color w:val="000000"/>
                      <w:sz w:val="21"/>
                      <w:szCs w:val="21"/>
                      <w:u w:val="none"/>
                    </w:rPr>
                  </w:pPr>
                </w:p>
              </w:tc>
            </w:tr>
            <w:tr w14:paraId="7AD9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F463B44">
                  <w:pPr>
                    <w:jc w:val="center"/>
                    <w:rPr>
                      <w:rFonts w:hint="eastAsia" w:ascii="宋体" w:hAnsi="宋体" w:eastAsia="宋体" w:cs="宋体"/>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9D4488F">
                  <w:pPr>
                    <w:jc w:val="center"/>
                    <w:rPr>
                      <w:rFonts w:hint="eastAsia" w:ascii="宋体" w:hAnsi="宋体" w:eastAsia="宋体" w:cs="宋体"/>
                      <w:i w:val="0"/>
                      <w:iCs w:val="0"/>
                      <w:color w:val="000000"/>
                      <w:sz w:val="21"/>
                      <w:szCs w:val="21"/>
                      <w:u w:val="none"/>
                    </w:rPr>
                  </w:pPr>
                </w:p>
              </w:tc>
              <w:tc>
                <w:tcPr>
                  <w:tcW w:w="1209"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C81D5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中型集中供水工程 年水质抽检次数</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BB6C2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12</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FDB46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12</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8B92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1E5C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351FAAF">
                  <w:pPr>
                    <w:jc w:val="center"/>
                    <w:rPr>
                      <w:rFonts w:hint="eastAsia" w:ascii="宋体" w:hAnsi="宋体" w:eastAsia="宋体" w:cs="宋体"/>
                      <w:i w:val="0"/>
                      <w:iCs w:val="0"/>
                      <w:color w:val="000000"/>
                      <w:sz w:val="21"/>
                      <w:szCs w:val="21"/>
                      <w:u w:val="none"/>
                    </w:rPr>
                  </w:pPr>
                </w:p>
              </w:tc>
            </w:tr>
            <w:tr w14:paraId="2034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6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539A997">
                  <w:pPr>
                    <w:jc w:val="center"/>
                    <w:rPr>
                      <w:rFonts w:hint="eastAsia" w:ascii="宋体" w:hAnsi="宋体" w:eastAsia="宋体" w:cs="宋体"/>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6506D5D">
                  <w:pPr>
                    <w:jc w:val="center"/>
                    <w:rPr>
                      <w:rFonts w:hint="eastAsia" w:ascii="宋体" w:hAnsi="宋体" w:eastAsia="宋体" w:cs="宋体"/>
                      <w:i w:val="0"/>
                      <w:iCs w:val="0"/>
                      <w:color w:val="000000"/>
                      <w:sz w:val="21"/>
                      <w:szCs w:val="21"/>
                      <w:u w:val="none"/>
                    </w:rPr>
                  </w:pPr>
                </w:p>
              </w:tc>
              <w:tc>
                <w:tcPr>
                  <w:tcW w:w="1209"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26B50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水库库区环境卫生整治</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77AF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50</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3E32C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50</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4CFE0C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43132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0B07917">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加大宣传整治力度</w:t>
                  </w:r>
                </w:p>
              </w:tc>
            </w:tr>
            <w:tr w14:paraId="47C1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6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DF8BFA2">
                  <w:pPr>
                    <w:jc w:val="center"/>
                    <w:rPr>
                      <w:rFonts w:hint="eastAsia" w:ascii="宋体" w:hAnsi="宋体" w:eastAsia="宋体" w:cs="宋体"/>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2003DA3">
                  <w:pPr>
                    <w:jc w:val="center"/>
                    <w:rPr>
                      <w:rFonts w:hint="eastAsia" w:ascii="宋体" w:hAnsi="宋体" w:eastAsia="宋体" w:cs="宋体"/>
                      <w:i w:val="0"/>
                      <w:iCs w:val="0"/>
                      <w:color w:val="000000"/>
                      <w:sz w:val="21"/>
                      <w:szCs w:val="21"/>
                      <w:u w:val="none"/>
                    </w:rPr>
                  </w:pPr>
                </w:p>
              </w:tc>
              <w:tc>
                <w:tcPr>
                  <w:tcW w:w="1209"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94357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支部培训</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7C3C9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30</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6D237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30</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DE1CED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C68C4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4A07671">
                  <w:pPr>
                    <w:jc w:val="center"/>
                    <w:rPr>
                      <w:rFonts w:hint="eastAsia" w:ascii="宋体" w:hAnsi="宋体" w:eastAsia="宋体" w:cs="宋体"/>
                      <w:i w:val="0"/>
                      <w:iCs w:val="0"/>
                      <w:color w:val="000000"/>
                      <w:sz w:val="21"/>
                      <w:szCs w:val="21"/>
                      <w:u w:val="none"/>
                    </w:rPr>
                  </w:pPr>
                </w:p>
              </w:tc>
            </w:tr>
            <w:tr w14:paraId="684A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6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1C6C53B">
                  <w:pPr>
                    <w:jc w:val="center"/>
                    <w:rPr>
                      <w:rFonts w:hint="eastAsia" w:ascii="宋体" w:hAnsi="宋体" w:eastAsia="宋体" w:cs="宋体"/>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D317A90">
                  <w:pPr>
                    <w:jc w:val="center"/>
                    <w:rPr>
                      <w:rFonts w:hint="eastAsia" w:ascii="宋体" w:hAnsi="宋体" w:eastAsia="宋体" w:cs="宋体"/>
                      <w:i w:val="0"/>
                      <w:iCs w:val="0"/>
                      <w:color w:val="000000"/>
                      <w:sz w:val="21"/>
                      <w:szCs w:val="21"/>
                      <w:u w:val="none"/>
                    </w:rPr>
                  </w:pPr>
                </w:p>
              </w:tc>
              <w:tc>
                <w:tcPr>
                  <w:tcW w:w="1209"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CAFAD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职工继续教育培训</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A85E4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90</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2836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5216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6D78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B493FA8">
                  <w:pPr>
                    <w:jc w:val="center"/>
                    <w:rPr>
                      <w:rFonts w:hint="eastAsia" w:ascii="宋体" w:hAnsi="宋体" w:eastAsia="宋体" w:cs="宋体"/>
                      <w:i w:val="0"/>
                      <w:iCs w:val="0"/>
                      <w:color w:val="000000"/>
                      <w:sz w:val="21"/>
                      <w:szCs w:val="21"/>
                      <w:u w:val="none"/>
                    </w:rPr>
                  </w:pPr>
                </w:p>
              </w:tc>
            </w:tr>
            <w:tr w14:paraId="3E1E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E362A4C">
                  <w:pPr>
                    <w:jc w:val="center"/>
                    <w:rPr>
                      <w:rFonts w:hint="eastAsia" w:ascii="宋体" w:hAnsi="宋体" w:eastAsia="宋体" w:cs="宋体"/>
                      <w:i w:val="0"/>
                      <w:iCs w:val="0"/>
                      <w:color w:val="000000"/>
                      <w:sz w:val="21"/>
                      <w:szCs w:val="21"/>
                      <w:u w:val="none"/>
                    </w:rPr>
                  </w:pPr>
                </w:p>
              </w:tc>
              <w:tc>
                <w:tcPr>
                  <w:tcW w:w="838" w:type="pct"/>
                  <w:vMerge w:val="restar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E2C1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209"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9A33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防汛责任落实率</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B3478D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100</w:t>
                  </w:r>
                  <w:r>
                    <w:rPr>
                      <w:rFonts w:hint="eastAsia" w:ascii="宋体" w:hAnsi="宋体" w:eastAsia="宋体" w:cs="宋体"/>
                      <w:i w:val="0"/>
                      <w:iCs w:val="0"/>
                      <w:color w:val="000000"/>
                      <w:kern w:val="0"/>
                      <w:sz w:val="21"/>
                      <w:szCs w:val="21"/>
                      <w:u w:val="none"/>
                      <w:lang w:val="en-US" w:eastAsia="zh-CN" w:bidi="ar"/>
                    </w:rPr>
                    <w:t>%</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18673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4BF2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40F7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2CCC14F">
                  <w:pPr>
                    <w:jc w:val="center"/>
                    <w:rPr>
                      <w:rFonts w:hint="eastAsia" w:ascii="宋体" w:hAnsi="宋体" w:eastAsia="宋体" w:cs="宋体"/>
                      <w:i w:val="0"/>
                      <w:iCs w:val="0"/>
                      <w:color w:val="000000"/>
                      <w:sz w:val="21"/>
                      <w:szCs w:val="21"/>
                      <w:u w:val="none"/>
                    </w:rPr>
                  </w:pPr>
                </w:p>
              </w:tc>
            </w:tr>
            <w:tr w14:paraId="44654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06F4B75">
                  <w:pPr>
                    <w:jc w:val="center"/>
                    <w:rPr>
                      <w:rFonts w:hint="eastAsia" w:ascii="宋体" w:hAnsi="宋体" w:eastAsia="宋体" w:cs="宋体"/>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A2ECC21">
                  <w:pPr>
                    <w:jc w:val="center"/>
                    <w:rPr>
                      <w:rFonts w:hint="eastAsia" w:ascii="宋体" w:hAnsi="宋体" w:eastAsia="宋体" w:cs="宋体"/>
                      <w:i w:val="0"/>
                      <w:iCs w:val="0"/>
                      <w:color w:val="000000"/>
                      <w:sz w:val="21"/>
                      <w:szCs w:val="21"/>
                      <w:u w:val="none"/>
                    </w:rPr>
                  </w:pPr>
                </w:p>
              </w:tc>
              <w:tc>
                <w:tcPr>
                  <w:tcW w:w="1209"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AEB38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汛情灾情瞒报漏报发生率</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12939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0</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C9C67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8161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B0FA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E91F22A">
                  <w:pPr>
                    <w:jc w:val="center"/>
                    <w:rPr>
                      <w:rFonts w:hint="eastAsia" w:ascii="宋体" w:hAnsi="宋体" w:eastAsia="宋体" w:cs="宋体"/>
                      <w:i w:val="0"/>
                      <w:iCs w:val="0"/>
                      <w:color w:val="000000"/>
                      <w:sz w:val="21"/>
                      <w:szCs w:val="21"/>
                      <w:u w:val="none"/>
                    </w:rPr>
                  </w:pPr>
                </w:p>
              </w:tc>
            </w:tr>
            <w:tr w14:paraId="0E54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204DAA2">
                  <w:pPr>
                    <w:jc w:val="center"/>
                    <w:rPr>
                      <w:rFonts w:hint="eastAsia" w:ascii="宋体" w:hAnsi="宋体" w:eastAsia="宋体" w:cs="宋体"/>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7F798A8">
                  <w:pPr>
                    <w:jc w:val="center"/>
                    <w:rPr>
                      <w:rFonts w:hint="eastAsia" w:ascii="宋体" w:hAnsi="宋体" w:eastAsia="宋体" w:cs="宋体"/>
                      <w:i w:val="0"/>
                      <w:iCs w:val="0"/>
                      <w:color w:val="000000"/>
                      <w:sz w:val="21"/>
                      <w:szCs w:val="21"/>
                      <w:u w:val="none"/>
                    </w:rPr>
                  </w:pPr>
                </w:p>
              </w:tc>
              <w:tc>
                <w:tcPr>
                  <w:tcW w:w="1209"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5F16F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饮水安全发生故障清零</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4087A5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100</w:t>
                  </w:r>
                  <w:r>
                    <w:rPr>
                      <w:rFonts w:hint="eastAsia" w:ascii="宋体" w:hAnsi="宋体" w:eastAsia="宋体" w:cs="宋体"/>
                      <w:i w:val="0"/>
                      <w:iCs w:val="0"/>
                      <w:color w:val="000000"/>
                      <w:kern w:val="0"/>
                      <w:sz w:val="21"/>
                      <w:szCs w:val="21"/>
                      <w:u w:val="none"/>
                      <w:lang w:val="en-US" w:eastAsia="zh-CN" w:bidi="ar"/>
                    </w:rPr>
                    <w:t>%</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16413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A0D0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4DBF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FE2192E">
                  <w:pPr>
                    <w:jc w:val="center"/>
                    <w:rPr>
                      <w:rFonts w:hint="eastAsia" w:ascii="宋体" w:hAnsi="宋体" w:eastAsia="宋体" w:cs="宋体"/>
                      <w:i w:val="0"/>
                      <w:iCs w:val="0"/>
                      <w:color w:val="000000"/>
                      <w:sz w:val="21"/>
                      <w:szCs w:val="21"/>
                      <w:u w:val="none"/>
                    </w:rPr>
                  </w:pPr>
                </w:p>
              </w:tc>
            </w:tr>
            <w:tr w14:paraId="40A36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3549102">
                  <w:pPr>
                    <w:jc w:val="center"/>
                    <w:rPr>
                      <w:rFonts w:hint="eastAsia" w:ascii="宋体" w:hAnsi="宋体" w:eastAsia="宋体" w:cs="宋体"/>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473BF61">
                  <w:pPr>
                    <w:jc w:val="center"/>
                    <w:rPr>
                      <w:rFonts w:hint="eastAsia" w:ascii="宋体" w:hAnsi="宋体" w:eastAsia="宋体" w:cs="宋体"/>
                      <w:i w:val="0"/>
                      <w:iCs w:val="0"/>
                      <w:color w:val="000000"/>
                      <w:sz w:val="21"/>
                      <w:szCs w:val="21"/>
                      <w:u w:val="none"/>
                    </w:rPr>
                  </w:pPr>
                </w:p>
              </w:tc>
              <w:tc>
                <w:tcPr>
                  <w:tcW w:w="1209"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CADA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执行制度的有效性</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91A97F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100</w:t>
                  </w:r>
                  <w:r>
                    <w:rPr>
                      <w:rFonts w:hint="eastAsia" w:ascii="宋体" w:hAnsi="宋体" w:eastAsia="宋体" w:cs="宋体"/>
                      <w:i w:val="0"/>
                      <w:iCs w:val="0"/>
                      <w:color w:val="000000"/>
                      <w:kern w:val="0"/>
                      <w:sz w:val="21"/>
                      <w:szCs w:val="21"/>
                      <w:u w:val="none"/>
                      <w:lang w:val="en-US" w:eastAsia="zh-CN" w:bidi="ar"/>
                    </w:rPr>
                    <w:t>%</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9E6C7D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D2EF9A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w:t>
                  </w:r>
                  <w:r>
                    <w:rPr>
                      <w:rFonts w:hint="default" w:ascii="宋体" w:hAnsi="宋体" w:eastAsia="宋体" w:cs="宋体"/>
                      <w:i w:val="0"/>
                      <w:iCs w:val="0"/>
                      <w:color w:val="000000"/>
                      <w:kern w:val="0"/>
                      <w:sz w:val="21"/>
                      <w:szCs w:val="21"/>
                      <w:u w:val="none"/>
                      <w:lang w:val="en-US" w:eastAsia="zh-CN" w:bidi="ar"/>
                    </w:rPr>
                    <w:t xml:space="preserve"> </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EBD7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default" w:ascii="宋体" w:hAnsi="宋体" w:eastAsia="宋体" w:cs="宋体"/>
                      <w:i w:val="0"/>
                      <w:iCs w:val="0"/>
                      <w:color w:val="000000"/>
                      <w:kern w:val="0"/>
                      <w:sz w:val="21"/>
                      <w:szCs w:val="21"/>
                      <w:u w:val="none"/>
                      <w:lang w:val="en-US" w:eastAsia="zh-CN" w:bidi="ar"/>
                    </w:rPr>
                    <w:t xml:space="preserve"> </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C12BC2C">
                  <w:pPr>
                    <w:jc w:val="center"/>
                    <w:rPr>
                      <w:rFonts w:hint="eastAsia" w:ascii="宋体" w:hAnsi="宋体" w:eastAsia="宋体" w:cs="宋体"/>
                      <w:i w:val="0"/>
                      <w:iCs w:val="0"/>
                      <w:color w:val="000000"/>
                      <w:sz w:val="21"/>
                      <w:szCs w:val="21"/>
                      <w:u w:val="none"/>
                    </w:rPr>
                  </w:pPr>
                </w:p>
              </w:tc>
            </w:tr>
            <w:tr w14:paraId="4B3A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5094E33">
                  <w:pPr>
                    <w:jc w:val="center"/>
                    <w:rPr>
                      <w:rFonts w:hint="eastAsia" w:ascii="宋体" w:hAnsi="宋体" w:eastAsia="宋体" w:cs="宋体"/>
                      <w:i w:val="0"/>
                      <w:iCs w:val="0"/>
                      <w:color w:val="000000"/>
                      <w:sz w:val="21"/>
                      <w:szCs w:val="21"/>
                      <w:u w:val="none"/>
                    </w:rPr>
                  </w:pPr>
                </w:p>
              </w:tc>
              <w:tc>
                <w:tcPr>
                  <w:tcW w:w="838" w:type="pct"/>
                  <w:vMerge w:val="restar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B030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209"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9C07C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发现汛情灾情及时性</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A4D4F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68F0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3544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7A5D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5E0BD8B">
                  <w:pPr>
                    <w:jc w:val="center"/>
                    <w:rPr>
                      <w:rFonts w:hint="eastAsia" w:ascii="宋体" w:hAnsi="宋体" w:eastAsia="宋体" w:cs="宋体"/>
                      <w:i w:val="0"/>
                      <w:iCs w:val="0"/>
                      <w:color w:val="000000"/>
                      <w:sz w:val="21"/>
                      <w:szCs w:val="21"/>
                      <w:u w:val="none"/>
                    </w:rPr>
                  </w:pPr>
                </w:p>
              </w:tc>
            </w:tr>
            <w:tr w14:paraId="0256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2DC8606">
                  <w:pPr>
                    <w:jc w:val="center"/>
                    <w:rPr>
                      <w:rFonts w:hint="eastAsia" w:ascii="宋体" w:hAnsi="宋体" w:eastAsia="宋体" w:cs="宋体"/>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21294F2">
                  <w:pPr>
                    <w:jc w:val="center"/>
                    <w:rPr>
                      <w:rFonts w:hint="eastAsia" w:ascii="宋体" w:hAnsi="宋体" w:eastAsia="宋体" w:cs="宋体"/>
                      <w:i w:val="0"/>
                      <w:iCs w:val="0"/>
                      <w:color w:val="000000"/>
                      <w:sz w:val="21"/>
                      <w:szCs w:val="21"/>
                      <w:u w:val="none"/>
                    </w:rPr>
                  </w:pPr>
                </w:p>
              </w:tc>
              <w:tc>
                <w:tcPr>
                  <w:tcW w:w="1209"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7C0FB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供水水质监测频率</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B6E4B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1次/天</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61AB0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1次/天</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4FEF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297D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47D74C9">
                  <w:pPr>
                    <w:jc w:val="center"/>
                    <w:rPr>
                      <w:rFonts w:hint="eastAsia" w:ascii="宋体" w:hAnsi="宋体" w:eastAsia="宋体" w:cs="宋体"/>
                      <w:i w:val="0"/>
                      <w:iCs w:val="0"/>
                      <w:color w:val="000000"/>
                      <w:sz w:val="21"/>
                      <w:szCs w:val="21"/>
                      <w:u w:val="none"/>
                    </w:rPr>
                  </w:pPr>
                </w:p>
              </w:tc>
            </w:tr>
            <w:tr w14:paraId="1382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8663736">
                  <w:pPr>
                    <w:jc w:val="center"/>
                    <w:rPr>
                      <w:rFonts w:hint="eastAsia" w:ascii="宋体" w:hAnsi="宋体" w:eastAsia="宋体" w:cs="宋体"/>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A39566B">
                  <w:pPr>
                    <w:jc w:val="center"/>
                    <w:rPr>
                      <w:rFonts w:hint="eastAsia" w:ascii="宋体" w:hAnsi="宋体" w:eastAsia="宋体" w:cs="宋体"/>
                      <w:i w:val="0"/>
                      <w:iCs w:val="0"/>
                      <w:color w:val="000000"/>
                      <w:sz w:val="21"/>
                      <w:szCs w:val="21"/>
                      <w:u w:val="none"/>
                    </w:rPr>
                  </w:pPr>
                </w:p>
              </w:tc>
              <w:tc>
                <w:tcPr>
                  <w:tcW w:w="1209"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7ACE7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巡查渠道及时性</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4EF5A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E08D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C4C5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D337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356221C">
                  <w:pPr>
                    <w:jc w:val="center"/>
                    <w:rPr>
                      <w:rFonts w:hint="eastAsia" w:ascii="宋体" w:hAnsi="宋体" w:eastAsia="宋体" w:cs="宋体"/>
                      <w:i w:val="0"/>
                      <w:iCs w:val="0"/>
                      <w:color w:val="000000"/>
                      <w:sz w:val="21"/>
                      <w:szCs w:val="21"/>
                      <w:u w:val="none"/>
                    </w:rPr>
                  </w:pPr>
                </w:p>
              </w:tc>
            </w:tr>
            <w:tr w14:paraId="68F1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EC7450A">
                  <w:pPr>
                    <w:jc w:val="center"/>
                    <w:rPr>
                      <w:rFonts w:hint="eastAsia" w:ascii="宋体" w:hAnsi="宋体" w:eastAsia="宋体" w:cs="宋体"/>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806704A">
                  <w:pPr>
                    <w:jc w:val="center"/>
                    <w:rPr>
                      <w:rFonts w:hint="eastAsia" w:ascii="宋体" w:hAnsi="宋体" w:eastAsia="宋体" w:cs="宋体"/>
                      <w:i w:val="0"/>
                      <w:iCs w:val="0"/>
                      <w:color w:val="000000"/>
                      <w:sz w:val="21"/>
                      <w:szCs w:val="21"/>
                      <w:u w:val="none"/>
                    </w:rPr>
                  </w:pPr>
                </w:p>
              </w:tc>
              <w:tc>
                <w:tcPr>
                  <w:tcW w:w="1209"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1443E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汛情灾情上报及时性</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3F1F9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5D8F3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BFE4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A1AD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21EA84B">
                  <w:pPr>
                    <w:jc w:val="center"/>
                    <w:rPr>
                      <w:rFonts w:hint="eastAsia" w:ascii="宋体" w:hAnsi="宋体" w:eastAsia="宋体" w:cs="宋体"/>
                      <w:i w:val="0"/>
                      <w:iCs w:val="0"/>
                      <w:color w:val="000000"/>
                      <w:sz w:val="21"/>
                      <w:szCs w:val="21"/>
                      <w:u w:val="none"/>
                    </w:rPr>
                  </w:pPr>
                </w:p>
              </w:tc>
            </w:tr>
            <w:tr w14:paraId="765D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D9DF1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3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862BB0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1209" w:type="pct"/>
                  <w:tcBorders>
                    <w:top w:val="single" w:color="000000" w:sz="4" w:space="0"/>
                    <w:left w:val="single" w:color="000000" w:sz="4" w:space="0"/>
                    <w:bottom w:val="single" w:color="000000" w:sz="4" w:space="0"/>
                    <w:right w:val="single" w:color="000000" w:sz="4" w:space="0"/>
                  </w:tcBorders>
                  <w:shd w:val="clear" w:color="auto" w:fill="C0C0C0"/>
                  <w:noWrap/>
                  <w:tcMar>
                    <w:top w:w="0" w:type="dxa"/>
                    <w:left w:w="0" w:type="dxa"/>
                    <w:bottom w:w="0" w:type="dxa"/>
                    <w:right w:w="0" w:type="dxa"/>
                  </w:tcMar>
                  <w:vAlign w:val="center"/>
                </w:tcPr>
                <w:p w14:paraId="0675E45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预算控制</w:t>
                  </w:r>
                  <w:r>
                    <w:rPr>
                      <w:rFonts w:hint="eastAsia" w:ascii="宋体" w:hAnsi="宋体" w:eastAsia="宋体" w:cs="宋体"/>
                      <w:i w:val="0"/>
                      <w:iCs w:val="0"/>
                      <w:color w:val="000000"/>
                      <w:kern w:val="0"/>
                      <w:sz w:val="21"/>
                      <w:szCs w:val="21"/>
                      <w:u w:val="none"/>
                      <w:lang w:val="en-US" w:eastAsia="zh-CN" w:bidi="ar"/>
                    </w:rPr>
                    <w:t>率</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856C7B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16FC95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82F065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460DB4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327183D">
                  <w:pPr>
                    <w:jc w:val="center"/>
                    <w:rPr>
                      <w:rFonts w:hint="eastAsia" w:ascii="宋体" w:hAnsi="宋体" w:eastAsia="宋体" w:cs="宋体"/>
                      <w:i w:val="0"/>
                      <w:iCs w:val="0"/>
                      <w:color w:val="000000"/>
                      <w:sz w:val="21"/>
                      <w:szCs w:val="21"/>
                      <w:u w:val="none"/>
                    </w:rPr>
                  </w:pPr>
                </w:p>
              </w:tc>
            </w:tr>
            <w:tr w14:paraId="3606C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8" w:type="pct"/>
                  <w:vMerge w:val="restar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6F20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83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2782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209"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6E406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自来水水费征收率</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E85A5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61871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0CEC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AEE5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DC85C1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加大宣传力度</w:t>
                  </w:r>
                </w:p>
              </w:tc>
            </w:tr>
            <w:tr w14:paraId="10B3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0F94CE1">
                  <w:pPr>
                    <w:jc w:val="center"/>
                    <w:rPr>
                      <w:rFonts w:hint="eastAsia" w:ascii="宋体" w:hAnsi="宋体" w:eastAsia="宋体" w:cs="宋体"/>
                      <w:i w:val="0"/>
                      <w:iCs w:val="0"/>
                      <w:color w:val="000000"/>
                      <w:sz w:val="21"/>
                      <w:szCs w:val="21"/>
                      <w:u w:val="none"/>
                    </w:rPr>
                  </w:pPr>
                </w:p>
              </w:tc>
              <w:tc>
                <w:tcPr>
                  <w:tcW w:w="838" w:type="pct"/>
                  <w:vMerge w:val="restar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09F3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209"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9DDB1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保障安全饮水人数</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C33A22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47000</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FB7FD0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47000</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B8E6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D2D1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5D433BB">
                  <w:pPr>
                    <w:jc w:val="center"/>
                    <w:rPr>
                      <w:rFonts w:hint="eastAsia" w:ascii="宋体" w:hAnsi="宋体" w:eastAsia="宋体" w:cs="宋体"/>
                      <w:i w:val="0"/>
                      <w:iCs w:val="0"/>
                      <w:color w:val="000000"/>
                      <w:sz w:val="21"/>
                      <w:szCs w:val="21"/>
                      <w:u w:val="none"/>
                    </w:rPr>
                  </w:pPr>
                </w:p>
              </w:tc>
            </w:tr>
            <w:tr w14:paraId="0330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0F66749">
                  <w:pPr>
                    <w:jc w:val="center"/>
                    <w:rPr>
                      <w:rFonts w:hint="eastAsia" w:ascii="宋体" w:hAnsi="宋体" w:eastAsia="宋体" w:cs="宋体"/>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805B829">
                  <w:pPr>
                    <w:jc w:val="center"/>
                    <w:rPr>
                      <w:rFonts w:hint="eastAsia" w:ascii="宋体" w:hAnsi="宋体" w:eastAsia="宋体" w:cs="宋体"/>
                      <w:i w:val="0"/>
                      <w:iCs w:val="0"/>
                      <w:color w:val="000000"/>
                      <w:sz w:val="21"/>
                      <w:szCs w:val="21"/>
                      <w:u w:val="none"/>
                    </w:rPr>
                  </w:pPr>
                </w:p>
              </w:tc>
              <w:tc>
                <w:tcPr>
                  <w:tcW w:w="1209"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A96A5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水资源保护及水生态治理</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6C61FF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持续加强</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2768A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持续加强</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7946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77B5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3D9A1F3">
                  <w:pPr>
                    <w:jc w:val="center"/>
                    <w:rPr>
                      <w:rFonts w:hint="eastAsia" w:ascii="宋体" w:hAnsi="宋体" w:eastAsia="宋体" w:cs="宋体"/>
                      <w:i w:val="0"/>
                      <w:iCs w:val="0"/>
                      <w:color w:val="000000"/>
                      <w:sz w:val="21"/>
                      <w:szCs w:val="21"/>
                      <w:u w:val="none"/>
                    </w:rPr>
                  </w:pPr>
                </w:p>
              </w:tc>
            </w:tr>
            <w:tr w14:paraId="3F1ED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4AAC291">
                  <w:pPr>
                    <w:jc w:val="center"/>
                    <w:rPr>
                      <w:rFonts w:hint="eastAsia" w:ascii="宋体" w:hAnsi="宋体" w:eastAsia="宋体" w:cs="宋体"/>
                      <w:i w:val="0"/>
                      <w:iCs w:val="0"/>
                      <w:color w:val="000000"/>
                      <w:sz w:val="21"/>
                      <w:szCs w:val="21"/>
                      <w:u w:val="none"/>
                    </w:rPr>
                  </w:pPr>
                </w:p>
              </w:tc>
              <w:tc>
                <w:tcPr>
                  <w:tcW w:w="838" w:type="pct"/>
                  <w:vMerge w:val="restar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697B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209"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50D8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提高安全用水质量</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7B67F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逐步提升</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81514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逐步提升</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85D0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2B3E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C34CB55">
                  <w:pPr>
                    <w:jc w:val="center"/>
                    <w:rPr>
                      <w:rFonts w:hint="eastAsia" w:ascii="宋体" w:hAnsi="宋体" w:eastAsia="宋体" w:cs="宋体"/>
                      <w:i w:val="0"/>
                      <w:iCs w:val="0"/>
                      <w:color w:val="000000"/>
                      <w:sz w:val="21"/>
                      <w:szCs w:val="21"/>
                      <w:u w:val="none"/>
                    </w:rPr>
                  </w:pPr>
                </w:p>
              </w:tc>
            </w:tr>
            <w:tr w14:paraId="13CE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6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CD6FB19">
                  <w:pPr>
                    <w:jc w:val="center"/>
                    <w:rPr>
                      <w:rFonts w:hint="eastAsia" w:ascii="宋体" w:hAnsi="宋体" w:eastAsia="宋体" w:cs="宋体"/>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24FD120">
                  <w:pPr>
                    <w:jc w:val="center"/>
                    <w:rPr>
                      <w:rFonts w:hint="eastAsia" w:ascii="宋体" w:hAnsi="宋体" w:eastAsia="宋体" w:cs="宋体"/>
                      <w:i w:val="0"/>
                      <w:iCs w:val="0"/>
                      <w:color w:val="000000"/>
                      <w:sz w:val="21"/>
                      <w:szCs w:val="21"/>
                      <w:u w:val="none"/>
                    </w:rPr>
                  </w:pPr>
                </w:p>
              </w:tc>
              <w:tc>
                <w:tcPr>
                  <w:tcW w:w="1209"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8A4315B">
                  <w:pPr>
                    <w:keepNext w:val="0"/>
                    <w:keepLines w:val="0"/>
                    <w:widowControl/>
                    <w:suppressLineNumbers w:val="0"/>
                    <w:ind w:left="99" w:leftChars="47" w:firstLine="5"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灌区水生态平衡，水资源保护的可持续发展</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2E23E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逐步提升</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17FD0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逐步提升</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1963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20521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0329C90">
                  <w:pPr>
                    <w:keepNext w:val="0"/>
                    <w:keepLines w:val="0"/>
                    <w:widowControl/>
                    <w:suppressLineNumbers w:val="0"/>
                    <w:tabs>
                      <w:tab w:val="left" w:pos="1480"/>
                    </w:tabs>
                    <w:ind w:left="0" w:leftChars="0" w:right="139" w:rightChars="66" w:firstLine="0" w:firstLineChars="0"/>
                    <w:jc w:val="center"/>
                    <w:textAlignment w:val="center"/>
                    <w:rPr>
                      <w:rFonts w:hint="eastAsia" w:ascii="宋体" w:hAnsi="宋体" w:eastAsia="宋体" w:cs="宋体"/>
                      <w:i w:val="0"/>
                      <w:iCs w:val="0"/>
                      <w:color w:val="000000"/>
                      <w:sz w:val="21"/>
                      <w:szCs w:val="21"/>
                      <w:u w:val="none"/>
                    </w:rPr>
                  </w:pPr>
                </w:p>
              </w:tc>
            </w:tr>
            <w:tr w14:paraId="6190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8" w:type="pct"/>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CE4DBF8">
                  <w:pPr>
                    <w:jc w:val="center"/>
                    <w:rPr>
                      <w:rFonts w:hint="eastAsia" w:ascii="宋体" w:hAnsi="宋体" w:eastAsia="宋体" w:cs="宋体"/>
                      <w:i w:val="0"/>
                      <w:iCs w:val="0"/>
                      <w:color w:val="000000"/>
                      <w:sz w:val="21"/>
                      <w:szCs w:val="21"/>
                      <w:u w:val="none"/>
                    </w:rPr>
                  </w:pPr>
                </w:p>
              </w:tc>
              <w:tc>
                <w:tcPr>
                  <w:tcW w:w="83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38B88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可持续影响指标</w:t>
                  </w:r>
                </w:p>
              </w:tc>
              <w:tc>
                <w:tcPr>
                  <w:tcW w:w="1209" w:type="pct"/>
                  <w:tcBorders>
                    <w:top w:val="single" w:color="000000" w:sz="4" w:space="0"/>
                    <w:left w:val="single" w:color="000000" w:sz="4" w:space="0"/>
                    <w:bottom w:val="single" w:color="000000" w:sz="4" w:space="0"/>
                    <w:right w:val="single" w:color="000000" w:sz="4" w:space="0"/>
                  </w:tcBorders>
                  <w:shd w:val="clear" w:color="auto" w:fill="C0C0C0"/>
                  <w:noWrap/>
                  <w:tcMar>
                    <w:top w:w="0" w:type="dxa"/>
                    <w:left w:w="0" w:type="dxa"/>
                    <w:bottom w:w="0" w:type="dxa"/>
                    <w:right w:w="0" w:type="dxa"/>
                  </w:tcMar>
                  <w:vAlign w:val="center"/>
                </w:tcPr>
                <w:p w14:paraId="4BA96B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en-US" w:bidi="ar"/>
                    </w:rPr>
                  </w:pPr>
                  <w:r>
                    <w:rPr>
                      <w:rFonts w:hint="default" w:ascii="宋体" w:hAnsi="宋体" w:eastAsia="宋体" w:cs="宋体"/>
                      <w:i w:val="0"/>
                      <w:iCs w:val="0"/>
                      <w:color w:val="000000"/>
                      <w:kern w:val="0"/>
                      <w:sz w:val="21"/>
                      <w:szCs w:val="21"/>
                      <w:u w:val="none"/>
                      <w:lang w:val="en-US" w:eastAsia="zh-CN" w:bidi="ar"/>
                    </w:rPr>
                    <w:t>灌溉、饮水工程持续发挥效益</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EFAEAF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持续加强</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78FF8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持续加强</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3B77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6D9B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CC40A89">
                  <w:pPr>
                    <w:tabs>
                      <w:tab w:val="left" w:pos="1480"/>
                    </w:tabs>
                    <w:ind w:left="0" w:leftChars="0" w:right="139" w:rightChars="66" w:firstLine="0" w:firstLineChars="0"/>
                    <w:jc w:val="center"/>
                    <w:rPr>
                      <w:rFonts w:hint="eastAsia" w:ascii="宋体" w:hAnsi="宋体" w:eastAsia="宋体" w:cs="宋体"/>
                      <w:i w:val="0"/>
                      <w:iCs w:val="0"/>
                      <w:color w:val="000000"/>
                      <w:sz w:val="21"/>
                      <w:szCs w:val="21"/>
                      <w:u w:val="none"/>
                    </w:rPr>
                  </w:pPr>
                </w:p>
              </w:tc>
            </w:tr>
            <w:tr w14:paraId="4955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0C84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83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EB8F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209"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09A0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受益群众基本满意</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BB086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492"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59C1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D998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7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D975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4C9D63E">
                  <w:pPr>
                    <w:keepNext w:val="0"/>
                    <w:keepLines w:val="0"/>
                    <w:widowControl/>
                    <w:suppressLineNumbers w:val="0"/>
                    <w:tabs>
                      <w:tab w:val="left" w:pos="1480"/>
                    </w:tabs>
                    <w:ind w:left="0" w:leftChars="0" w:right="139" w:rightChars="66" w:firstLine="0" w:firstLineChars="0"/>
                    <w:jc w:val="center"/>
                    <w:textAlignment w:val="center"/>
                    <w:rPr>
                      <w:rFonts w:hint="eastAsia" w:ascii="宋体" w:hAnsi="宋体" w:eastAsia="宋体" w:cs="宋体"/>
                      <w:i w:val="0"/>
                      <w:iCs w:val="0"/>
                      <w:color w:val="000000"/>
                      <w:sz w:val="21"/>
                      <w:szCs w:val="21"/>
                      <w:u w:val="none"/>
                    </w:rPr>
                  </w:pPr>
                </w:p>
              </w:tc>
            </w:tr>
            <w:tr w14:paraId="6E8B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499" w:type="pct"/>
                  <w:gridSpan w:val="5"/>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94F46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总分</w:t>
                  </w:r>
                </w:p>
              </w:tc>
              <w:tc>
                <w:tcPr>
                  <w:tcW w:w="297"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A3D0C7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E6CA81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918" w:type="pc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24135AC">
                  <w:pPr>
                    <w:keepNext w:val="0"/>
                    <w:keepLines w:val="0"/>
                    <w:widowControl/>
                    <w:suppressLineNumbers w:val="0"/>
                    <w:tabs>
                      <w:tab w:val="left" w:pos="1480"/>
                    </w:tabs>
                    <w:ind w:left="0" w:leftChars="0" w:right="139" w:rightChars="66" w:firstLine="0" w:firstLineChars="0"/>
                    <w:jc w:val="center"/>
                    <w:textAlignment w:val="center"/>
                    <w:rPr>
                      <w:rFonts w:hint="eastAsia" w:ascii="宋体" w:hAnsi="宋体" w:eastAsia="宋体" w:cs="宋体"/>
                      <w:i w:val="0"/>
                      <w:iCs w:val="0"/>
                      <w:color w:val="000000"/>
                      <w:sz w:val="21"/>
                      <w:szCs w:val="21"/>
                      <w:u w:val="none"/>
                    </w:rPr>
                  </w:pPr>
                </w:p>
              </w:tc>
            </w:tr>
          </w:tbl>
          <w:p w14:paraId="47C12307">
            <w:pPr>
              <w:widowControl/>
              <w:spacing w:line="240" w:lineRule="exact"/>
              <w:ind w:left="315" w:hanging="315"/>
              <w:jc w:val="center"/>
              <w:rPr>
                <w:rFonts w:eastAsia="仿宋_GB2312"/>
                <w:color w:val="000000"/>
                <w:kern w:val="0"/>
                <w:szCs w:val="21"/>
              </w:rPr>
            </w:pPr>
          </w:p>
        </w:tc>
      </w:tr>
    </w:tbl>
    <w:p w14:paraId="05A024F3">
      <w:pPr>
        <w:widowControl/>
        <w:adjustRightInd w:val="0"/>
        <w:snapToGrid w:val="0"/>
        <w:spacing w:before="120" w:beforeLines="50" w:line="240" w:lineRule="auto"/>
        <w:ind w:left="0" w:firstLine="0" w:firstLineChars="0"/>
        <w:jc w:val="both"/>
      </w:pPr>
      <w:r>
        <w:rPr>
          <w:rFonts w:hint="eastAsia" w:eastAsia="仿宋_GB2312"/>
          <w:color w:val="000000"/>
          <w:kern w:val="0"/>
          <w:szCs w:val="21"/>
        </w:rPr>
        <w:t>填表人：</w:t>
      </w:r>
      <w:r>
        <w:rPr>
          <w:rFonts w:hint="eastAsia" w:eastAsia="仿宋_GB2312"/>
          <w:color w:val="000000"/>
          <w:kern w:val="0"/>
          <w:szCs w:val="21"/>
          <w:lang w:val="en-US" w:eastAsia="zh-CN"/>
        </w:rPr>
        <w:t xml:space="preserve">张武   </w:t>
      </w:r>
      <w:r>
        <w:rPr>
          <w:rFonts w:hint="eastAsia" w:eastAsia="仿宋_GB2312"/>
          <w:color w:val="000000"/>
          <w:kern w:val="0"/>
          <w:szCs w:val="21"/>
        </w:rPr>
        <w:t xml:space="preserve">   填报日期：</w:t>
      </w:r>
      <w:r>
        <w:rPr>
          <w:rFonts w:hint="eastAsia" w:eastAsia="仿宋_GB2312"/>
          <w:color w:val="000000"/>
          <w:kern w:val="0"/>
          <w:szCs w:val="21"/>
          <w:highlight w:val="none"/>
          <w:lang w:val="en-US" w:eastAsia="zh-CN"/>
        </w:rPr>
        <w:t>2025年5月10日</w:t>
      </w:r>
      <w:r>
        <w:rPr>
          <w:rFonts w:hint="eastAsia" w:eastAsia="仿宋_GB2312"/>
          <w:color w:val="000000"/>
          <w:kern w:val="0"/>
          <w:szCs w:val="21"/>
        </w:rPr>
        <w:t xml:space="preserve">  联系电话：</w:t>
      </w:r>
      <w:r>
        <w:rPr>
          <w:rFonts w:hint="eastAsia" w:ascii="仿宋_GB2312" w:hAnsi="仿宋_GB2312" w:eastAsia="仿宋_GB2312" w:cs="仿宋_GB2312"/>
          <w:spacing w:val="0"/>
          <w:sz w:val="21"/>
          <w:szCs w:val="21"/>
          <w:lang w:val="en-US" w:eastAsia="zh-CN"/>
        </w:rPr>
        <w:t>13928991026</w:t>
      </w:r>
      <w:r>
        <w:rPr>
          <w:rFonts w:hint="eastAsia" w:eastAsia="仿宋_GB2312"/>
          <w:color w:val="000000"/>
          <w:kern w:val="0"/>
          <w:szCs w:val="21"/>
        </w:rPr>
        <w:t xml:space="preserve"> </w:t>
      </w:r>
      <w:r>
        <w:rPr>
          <w:rFonts w:hint="eastAsia" w:eastAsia="仿宋_GB2312"/>
          <w:color w:val="000000"/>
          <w:kern w:val="0"/>
          <w:szCs w:val="21"/>
          <w:lang w:val="en-US" w:eastAsia="zh-CN"/>
        </w:rPr>
        <w:t xml:space="preserve"> </w:t>
      </w:r>
      <w:r>
        <w:rPr>
          <w:rFonts w:hint="eastAsia" w:eastAsia="仿宋_GB2312"/>
          <w:color w:val="000000"/>
          <w:kern w:val="0"/>
          <w:szCs w:val="21"/>
        </w:rPr>
        <w:t>单位负责人签字：</w:t>
      </w:r>
    </w:p>
    <w:p w14:paraId="49366E78">
      <w:pPr>
        <w:spacing w:line="240" w:lineRule="auto"/>
        <w:ind w:left="147" w:hanging="147" w:hangingChars="46"/>
        <w:rPr>
          <w:rFonts w:hint="eastAsia" w:ascii="仿宋" w:hAnsi="仿宋" w:eastAsia="仿宋" w:cs="仿宋"/>
          <w:sz w:val="32"/>
          <w:szCs w:val="32"/>
        </w:rPr>
        <w:sectPr>
          <w:headerReference r:id="rId5" w:type="default"/>
          <w:footerReference r:id="rId6" w:type="default"/>
          <w:pgSz w:w="11906" w:h="16838"/>
          <w:pgMar w:top="850" w:right="1531" w:bottom="851" w:left="1531" w:header="851" w:footer="992" w:gutter="0"/>
          <w:pgNumType w:fmt="numberInDash"/>
          <w:cols w:space="720" w:num="1"/>
          <w:docGrid w:linePitch="312" w:charSpace="0"/>
        </w:sectPr>
      </w:pPr>
    </w:p>
    <w:p w14:paraId="66B5852B">
      <w:pPr>
        <w:pStyle w:val="3"/>
        <w:keepNext w:val="0"/>
        <w:keepLines w:val="0"/>
        <w:pageBreakBefore w:val="0"/>
        <w:widowControl/>
        <w:kinsoku w:val="0"/>
        <w:wordWrap/>
        <w:overflowPunct/>
        <w:topLinePunct w:val="0"/>
        <w:autoSpaceDE w:val="0"/>
        <w:autoSpaceDN w:val="0"/>
        <w:bidi w:val="0"/>
        <w:adjustRightInd w:val="0"/>
        <w:snapToGrid/>
        <w:spacing w:before="0" w:beforeLines="30" w:after="0" w:afterLines="30" w:line="240" w:lineRule="auto"/>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附件4</w:t>
      </w:r>
    </w:p>
    <w:p w14:paraId="1F05CC06">
      <w:pPr>
        <w:spacing w:before="78" w:line="221" w:lineRule="auto"/>
        <w:jc w:val="center"/>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val="0"/>
          <w:bCs w:val="0"/>
          <w:spacing w:val="0"/>
          <w:sz w:val="44"/>
          <w:szCs w:val="44"/>
          <w:lang w:eastAsia="zh-CN"/>
        </w:rPr>
        <w:t>新邵县</w:t>
      </w:r>
      <w:r>
        <w:rPr>
          <w:rFonts w:hint="eastAsia" w:ascii="方正小标宋_GBK" w:hAnsi="方正小标宋_GBK" w:eastAsia="方正小标宋_GBK" w:cs="方正小标宋_GBK"/>
          <w:b w:val="0"/>
          <w:bCs w:val="0"/>
          <w:spacing w:val="0"/>
          <w:sz w:val="44"/>
          <w:szCs w:val="44"/>
          <w:lang w:val="en-US" w:eastAsia="zh-CN"/>
        </w:rPr>
        <w:t>颜岭</w:t>
      </w:r>
      <w:r>
        <w:rPr>
          <w:rFonts w:hint="eastAsia" w:ascii="方正小标宋_GBK" w:hAnsi="方正小标宋_GBK" w:eastAsia="方正小标宋_GBK" w:cs="方正小标宋_GBK"/>
          <w:b w:val="0"/>
          <w:bCs w:val="0"/>
          <w:spacing w:val="0"/>
          <w:sz w:val="44"/>
          <w:szCs w:val="44"/>
          <w:lang w:eastAsia="zh-CN"/>
        </w:rPr>
        <w:t>水库管理所</w:t>
      </w:r>
    </w:p>
    <w:p w14:paraId="0C5A90FB">
      <w:pPr>
        <w:spacing w:before="78" w:line="221" w:lineRule="auto"/>
        <w:jc w:val="center"/>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val="0"/>
          <w:bCs w:val="0"/>
          <w:spacing w:val="0"/>
          <w:sz w:val="44"/>
          <w:szCs w:val="44"/>
        </w:rPr>
        <w:t>部门整体支出绩效自评报告</w:t>
      </w:r>
    </w:p>
    <w:p w14:paraId="7A9D719D">
      <w:pPr>
        <w:keepNext w:val="0"/>
        <w:keepLines w:val="0"/>
        <w:pageBreakBefore w:val="0"/>
        <w:widowControl w:val="0"/>
        <w:kinsoku/>
        <w:wordWrap/>
        <w:overflowPunct w:val="0"/>
        <w:topLinePunct w:val="0"/>
        <w:autoSpaceDE/>
        <w:autoSpaceDN/>
        <w:bidi w:val="0"/>
        <w:adjustRightInd w:val="0"/>
        <w:snapToGrid w:val="0"/>
        <w:spacing w:line="590" w:lineRule="exact"/>
        <w:ind w:left="0" w:right="0" w:firstLine="640" w:firstLineChars="200"/>
        <w:jc w:val="both"/>
        <w:textAlignment w:val="baseline"/>
        <w:rPr>
          <w:rFonts w:ascii="Arial"/>
          <w:spacing w:val="0"/>
          <w:sz w:val="32"/>
          <w:szCs w:val="32"/>
        </w:rPr>
      </w:pPr>
    </w:p>
    <w:p w14:paraId="0323BB33">
      <w:pPr>
        <w:pStyle w:val="3"/>
        <w:keepNext w:val="0"/>
        <w:keepLines w:val="0"/>
        <w:pageBreakBefore w:val="0"/>
        <w:widowControl w:val="0"/>
        <w:kinsoku/>
        <w:wordWrap/>
        <w:overflowPunct w:val="0"/>
        <w:topLinePunct w:val="0"/>
        <w:autoSpaceDE/>
        <w:autoSpaceDN/>
        <w:bidi w:val="0"/>
        <w:adjustRightInd w:val="0"/>
        <w:snapToGrid w:val="0"/>
        <w:spacing w:line="590" w:lineRule="exact"/>
        <w:ind w:left="0" w:right="0" w:firstLine="640" w:firstLineChars="200"/>
        <w:jc w:val="both"/>
        <w:textAlignment w:val="baseline"/>
        <w:outlineLvl w:val="2"/>
        <w:rPr>
          <w:rFonts w:hint="eastAsia" w:ascii="方正黑体_GBK" w:hAnsi="方正黑体_GBK" w:eastAsia="方正黑体_GBK" w:cs="方正黑体_GBK"/>
          <w:b w:val="0"/>
          <w:bCs w:val="0"/>
          <w:spacing w:val="0"/>
          <w:sz w:val="32"/>
          <w:szCs w:val="32"/>
        </w:rPr>
      </w:pPr>
      <w:r>
        <w:rPr>
          <w:rFonts w:hint="eastAsia" w:ascii="方正黑体_GBK" w:hAnsi="方正黑体_GBK" w:eastAsia="方正黑体_GBK" w:cs="方正黑体_GBK"/>
          <w:b w:val="0"/>
          <w:bCs w:val="0"/>
          <w:spacing w:val="0"/>
          <w:sz w:val="32"/>
          <w:szCs w:val="32"/>
        </w:rPr>
        <w:t>一、部门概况</w:t>
      </w:r>
    </w:p>
    <w:p w14:paraId="00D4C76A">
      <w:pPr>
        <w:pStyle w:val="3"/>
        <w:keepNext w:val="0"/>
        <w:keepLines w:val="0"/>
        <w:pageBreakBefore w:val="0"/>
        <w:widowControl w:val="0"/>
        <w:kinsoku/>
        <w:wordWrap/>
        <w:overflowPunct w:val="0"/>
        <w:topLinePunct/>
        <w:autoSpaceDE/>
        <w:autoSpaceDN/>
        <w:bidi w:val="0"/>
        <w:adjustRightInd w:val="0"/>
        <w:snapToGrid w:val="0"/>
        <w:spacing w:line="590" w:lineRule="exact"/>
        <w:ind w:left="0" w:right="0" w:firstLine="640" w:firstLineChars="200"/>
        <w:jc w:val="both"/>
        <w:textAlignment w:val="baseline"/>
        <w:rPr>
          <w:rFonts w:hint="eastAsia" w:ascii="方正楷体_GBK" w:hAnsi="方正楷体_GBK" w:eastAsia="方正楷体_GBK" w:cs="方正楷体_GBK"/>
          <w:b w:val="0"/>
          <w:bCs w:val="0"/>
          <w:spacing w:val="0"/>
          <w:sz w:val="32"/>
          <w:szCs w:val="32"/>
        </w:rPr>
      </w:pPr>
      <w:r>
        <w:rPr>
          <w:rFonts w:hint="eastAsia" w:ascii="方正楷体_GBK" w:hAnsi="方正楷体_GBK" w:eastAsia="方正楷体_GBK" w:cs="方正楷体_GBK"/>
          <w:b w:val="0"/>
          <w:bCs w:val="0"/>
          <w:spacing w:val="0"/>
          <w:sz w:val="32"/>
          <w:szCs w:val="32"/>
          <w:lang w:eastAsia="zh-CN"/>
        </w:rPr>
        <w:t>（</w:t>
      </w:r>
      <w:r>
        <w:rPr>
          <w:rFonts w:hint="eastAsia" w:ascii="方正楷体_GBK" w:hAnsi="方正楷体_GBK" w:eastAsia="方正楷体_GBK" w:cs="方正楷体_GBK"/>
          <w:b w:val="0"/>
          <w:bCs w:val="0"/>
          <w:spacing w:val="0"/>
          <w:sz w:val="32"/>
          <w:szCs w:val="32"/>
        </w:rPr>
        <w:t>一</w:t>
      </w:r>
      <w:r>
        <w:rPr>
          <w:rFonts w:hint="eastAsia" w:ascii="方正楷体_GBK" w:hAnsi="方正楷体_GBK" w:eastAsia="方正楷体_GBK" w:cs="方正楷体_GBK"/>
          <w:b w:val="0"/>
          <w:bCs w:val="0"/>
          <w:spacing w:val="0"/>
          <w:sz w:val="32"/>
          <w:szCs w:val="32"/>
          <w:lang w:eastAsia="zh-CN"/>
        </w:rPr>
        <w:t>）</w:t>
      </w:r>
      <w:r>
        <w:rPr>
          <w:rFonts w:hint="eastAsia" w:ascii="方正楷体_GBK" w:hAnsi="方正楷体_GBK" w:eastAsia="方正楷体_GBK" w:cs="方正楷体_GBK"/>
          <w:b w:val="0"/>
          <w:bCs w:val="0"/>
          <w:spacing w:val="0"/>
          <w:sz w:val="32"/>
          <w:szCs w:val="32"/>
        </w:rPr>
        <w:t>部门基本情况</w:t>
      </w:r>
    </w:p>
    <w:p w14:paraId="4DF6437F">
      <w:pPr>
        <w:keepNext w:val="0"/>
        <w:keepLines w:val="0"/>
        <w:pageBreakBefore w:val="0"/>
        <w:kinsoku/>
        <w:wordWrap/>
        <w:overflowPunct/>
        <w:topLinePunct/>
        <w:autoSpaceDE/>
        <w:autoSpaceDN/>
        <w:bidi w:val="0"/>
        <w:adjustRightInd w:val="0"/>
        <w:snapToGrid w:val="0"/>
        <w:spacing w:line="52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根据中共新邵县委办公室新党办（2008）15号文件精神，新邵县</w:t>
      </w:r>
      <w:r>
        <w:rPr>
          <w:rFonts w:hint="eastAsia" w:ascii="仿宋_GB2312" w:hAnsi="仿宋_GB2312" w:eastAsia="仿宋_GB2312" w:cs="仿宋_GB2312"/>
          <w:sz w:val="28"/>
          <w:szCs w:val="28"/>
          <w:lang w:eastAsia="zh-CN"/>
        </w:rPr>
        <w:t>颜岭</w:t>
      </w:r>
      <w:r>
        <w:rPr>
          <w:rFonts w:hint="eastAsia" w:ascii="仿宋_GB2312" w:hAnsi="仿宋_GB2312" w:eastAsia="仿宋_GB2312" w:cs="仿宋_GB2312"/>
          <w:sz w:val="28"/>
          <w:szCs w:val="28"/>
        </w:rPr>
        <w:t>水库管理所属财政差额拨款，定编</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名，其中公益性编制2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名（属财政全额拨款），灌溉管理编制</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名（属财政差额拨款），内设机构5个，分别为办公室、水政监察中队、灌溉管理站、</w:t>
      </w:r>
      <w:r>
        <w:rPr>
          <w:rFonts w:hint="eastAsia" w:ascii="仿宋_GB2312" w:hAnsi="仿宋_GB2312" w:eastAsia="仿宋_GB2312" w:cs="仿宋_GB2312"/>
          <w:sz w:val="28"/>
          <w:szCs w:val="28"/>
          <w:lang w:val="en-US" w:eastAsia="zh-CN"/>
        </w:rPr>
        <w:t>炉滩水库</w:t>
      </w:r>
      <w:r>
        <w:rPr>
          <w:rFonts w:hint="eastAsia" w:ascii="仿宋_GB2312" w:hAnsi="仿宋_GB2312" w:eastAsia="仿宋_GB2312" w:cs="仿宋_GB2312"/>
          <w:sz w:val="28"/>
          <w:szCs w:val="28"/>
        </w:rPr>
        <w:t>坝管理站、水库大坝管理站。年末实有人数2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人（其中全额</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人，差额</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自收自支1人</w:t>
      </w:r>
      <w:r>
        <w:rPr>
          <w:rFonts w:hint="eastAsia" w:ascii="仿宋_GB2312" w:hAnsi="仿宋_GB2312" w:eastAsia="仿宋_GB2312" w:cs="仿宋_GB2312"/>
          <w:sz w:val="28"/>
          <w:szCs w:val="28"/>
        </w:rPr>
        <w:t>），退休职工</w:t>
      </w:r>
      <w:r>
        <w:rPr>
          <w:rFonts w:hint="eastAsia" w:ascii="仿宋_GB2312" w:hAnsi="仿宋_GB2312" w:eastAsia="仿宋_GB2312" w:cs="仿宋_GB2312"/>
          <w:sz w:val="28"/>
          <w:szCs w:val="28"/>
          <w:lang w:val="en-US" w:eastAsia="zh-CN"/>
        </w:rPr>
        <w:t>35</w:t>
      </w:r>
      <w:r>
        <w:rPr>
          <w:rFonts w:hint="eastAsia" w:ascii="仿宋_GB2312" w:hAnsi="仿宋_GB2312" w:eastAsia="仿宋_GB2312" w:cs="仿宋_GB2312"/>
          <w:sz w:val="28"/>
          <w:szCs w:val="28"/>
        </w:rPr>
        <w:t>人</w:t>
      </w:r>
    </w:p>
    <w:p w14:paraId="69574D27">
      <w:pPr>
        <w:keepNext w:val="0"/>
        <w:keepLines w:val="0"/>
        <w:pageBreakBefore w:val="0"/>
        <w:kinsoku/>
        <w:wordWrap/>
        <w:overflowPunct/>
        <w:topLinePunct/>
        <w:autoSpaceDE/>
        <w:autoSpaceDN/>
        <w:bidi w:val="0"/>
        <w:adjustRightInd w:val="0"/>
        <w:snapToGrid w:val="0"/>
        <w:spacing w:line="520" w:lineRule="exact"/>
        <w:ind w:left="0" w:leftChars="0" w:firstLine="641" w:firstLineChars="228"/>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（二）主要工作职能</w:t>
      </w:r>
    </w:p>
    <w:p w14:paraId="449DE44B">
      <w:pPr>
        <w:keepNext w:val="0"/>
        <w:keepLines w:val="0"/>
        <w:pageBreakBefore w:val="0"/>
        <w:kinsoku/>
        <w:wordWrap/>
        <w:overflowPunct/>
        <w:topLinePunct/>
        <w:autoSpaceDE/>
        <w:autoSpaceDN/>
        <w:bidi w:val="0"/>
        <w:adjustRightInd w:val="0"/>
        <w:snapToGrid w:val="0"/>
        <w:spacing w:line="52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颜岭</w:t>
      </w:r>
      <w:r>
        <w:rPr>
          <w:rFonts w:hint="eastAsia" w:ascii="仿宋_GB2312" w:hAnsi="仿宋_GB2312" w:eastAsia="仿宋_GB2312" w:cs="仿宋_GB2312"/>
          <w:sz w:val="28"/>
          <w:szCs w:val="28"/>
        </w:rPr>
        <w:t>水库灌区防汛抗旱，水利规划、勘测、设计、施工，水政安全监察。</w:t>
      </w:r>
    </w:p>
    <w:p w14:paraId="29D1FD5B">
      <w:pPr>
        <w:keepNext w:val="0"/>
        <w:keepLines w:val="0"/>
        <w:pageBreakBefore w:val="0"/>
        <w:kinsoku/>
        <w:wordWrap/>
        <w:overflowPunct/>
        <w:topLinePunct/>
        <w:autoSpaceDE/>
        <w:autoSpaceDN/>
        <w:bidi w:val="0"/>
        <w:adjustRightInd w:val="0"/>
        <w:snapToGrid w:val="0"/>
        <w:spacing w:line="52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2、对新邵县</w:t>
      </w:r>
      <w:r>
        <w:rPr>
          <w:rFonts w:hint="eastAsia" w:ascii="仿宋_GB2312" w:hAnsi="仿宋_GB2312" w:eastAsia="仿宋_GB2312" w:cs="仿宋_GB2312"/>
          <w:sz w:val="28"/>
          <w:szCs w:val="28"/>
          <w:lang w:val="en-US" w:eastAsia="zh-CN"/>
        </w:rPr>
        <w:t>坪上</w:t>
      </w:r>
      <w:r>
        <w:rPr>
          <w:rFonts w:hint="eastAsia" w:ascii="仿宋_GB2312" w:hAnsi="仿宋_GB2312" w:eastAsia="仿宋_GB2312" w:cs="仿宋_GB2312"/>
          <w:sz w:val="28"/>
          <w:szCs w:val="28"/>
        </w:rPr>
        <w:t>镇</w:t>
      </w:r>
      <w:r>
        <w:rPr>
          <w:rFonts w:hint="eastAsia" w:ascii="仿宋_GB2312" w:hAnsi="仿宋_GB2312" w:eastAsia="仿宋_GB2312" w:cs="仿宋_GB2312"/>
          <w:sz w:val="28"/>
          <w:szCs w:val="28"/>
          <w:lang w:val="en-US" w:eastAsia="zh-CN"/>
        </w:rPr>
        <w:t>41</w:t>
      </w:r>
      <w:r>
        <w:rPr>
          <w:rFonts w:hint="eastAsia" w:ascii="仿宋_GB2312" w:hAnsi="仿宋_GB2312" w:eastAsia="仿宋_GB2312" w:cs="仿宋_GB2312"/>
          <w:sz w:val="28"/>
          <w:szCs w:val="28"/>
        </w:rPr>
        <w:t xml:space="preserve">个村农田灌溉                  </w:t>
      </w:r>
    </w:p>
    <w:p w14:paraId="133C9B37">
      <w:pPr>
        <w:keepNext w:val="0"/>
        <w:keepLines w:val="0"/>
        <w:pageBreakBefore w:val="0"/>
        <w:kinsoku/>
        <w:wordWrap/>
        <w:overflowPunct/>
        <w:topLinePunct/>
        <w:autoSpaceDE/>
        <w:autoSpaceDN/>
        <w:bidi w:val="0"/>
        <w:adjustRightInd w:val="0"/>
        <w:snapToGrid w:val="0"/>
        <w:spacing w:line="52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w:t>
      </w:r>
      <w:r>
        <w:rPr>
          <w:rFonts w:hint="eastAsia" w:ascii="仿宋_GB2312" w:hAnsi="仿宋_GB2312" w:eastAsia="仿宋_GB2312" w:cs="仿宋_GB2312"/>
          <w:sz w:val="28"/>
          <w:szCs w:val="28"/>
          <w:lang w:eastAsia="zh-CN"/>
        </w:rPr>
        <w:t>坪上</w:t>
      </w:r>
      <w:r>
        <w:rPr>
          <w:rFonts w:hint="eastAsia" w:ascii="仿宋_GB2312" w:hAnsi="仿宋_GB2312" w:eastAsia="仿宋_GB2312" w:cs="仿宋_GB2312"/>
          <w:sz w:val="28"/>
          <w:szCs w:val="28"/>
        </w:rPr>
        <w:t xml:space="preserve">镇农村安全饮水   </w:t>
      </w:r>
    </w:p>
    <w:p w14:paraId="6E573AD4">
      <w:pPr>
        <w:keepNext w:val="0"/>
        <w:keepLines w:val="0"/>
        <w:pageBreakBefore w:val="0"/>
        <w:kinsoku/>
        <w:wordWrap/>
        <w:overflowPunct/>
        <w:topLinePunct/>
        <w:autoSpaceDE/>
        <w:autoSpaceDN/>
        <w:bidi w:val="0"/>
        <w:adjustRightInd w:val="0"/>
        <w:snapToGrid w:val="0"/>
        <w:spacing w:line="52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4、国有资产管理、县委和县人民政府及水利局交办的其它工作。  </w:t>
      </w:r>
    </w:p>
    <w:p w14:paraId="7A95732F">
      <w:pPr>
        <w:keepNext w:val="0"/>
        <w:keepLines w:val="0"/>
        <w:pageBreakBefore w:val="0"/>
        <w:kinsoku/>
        <w:wordWrap/>
        <w:overflowPunct/>
        <w:topLinePunct/>
        <w:autoSpaceDE/>
        <w:autoSpaceDN/>
        <w:bidi w:val="0"/>
        <w:adjustRightInd w:val="0"/>
        <w:snapToGrid w:val="0"/>
        <w:spacing w:line="520" w:lineRule="exact"/>
        <w:ind w:left="0" w:leftChars="0" w:firstLine="641" w:firstLineChars="228"/>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（三）工作计划</w:t>
      </w:r>
    </w:p>
    <w:p w14:paraId="2E8137B9">
      <w:pPr>
        <w:keepNext w:val="0"/>
        <w:keepLines w:val="0"/>
        <w:pageBreakBefore w:val="0"/>
        <w:kinsoku/>
        <w:wordWrap/>
        <w:overflowPunct/>
        <w:topLinePunct/>
        <w:autoSpaceDE/>
        <w:autoSpaceDN/>
        <w:bidi w:val="0"/>
        <w:adjustRightInd w:val="0"/>
        <w:snapToGrid w:val="0"/>
        <w:spacing w:line="52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1、保障灌溉用水，维护渠道运行安全  </w:t>
      </w:r>
    </w:p>
    <w:p w14:paraId="596BF1C0">
      <w:pPr>
        <w:keepNext w:val="0"/>
        <w:keepLines w:val="0"/>
        <w:pageBreakBefore w:val="0"/>
        <w:kinsoku/>
        <w:wordWrap/>
        <w:overflowPunct/>
        <w:topLinePunct/>
        <w:autoSpaceDE/>
        <w:autoSpaceDN/>
        <w:bidi w:val="0"/>
        <w:adjustRightInd w:val="0"/>
        <w:snapToGrid w:val="0"/>
        <w:spacing w:line="52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2、保障</w:t>
      </w:r>
      <w:r>
        <w:rPr>
          <w:rFonts w:hint="eastAsia" w:ascii="仿宋_GB2312" w:hAnsi="仿宋_GB2312" w:eastAsia="仿宋_GB2312" w:cs="仿宋_GB2312"/>
          <w:sz w:val="28"/>
          <w:szCs w:val="28"/>
          <w:lang w:eastAsia="zh-CN"/>
        </w:rPr>
        <w:t>坪上</w:t>
      </w:r>
      <w:r>
        <w:rPr>
          <w:rFonts w:hint="eastAsia" w:ascii="仿宋_GB2312" w:hAnsi="仿宋_GB2312" w:eastAsia="仿宋_GB2312" w:cs="仿宋_GB2312"/>
          <w:sz w:val="28"/>
          <w:szCs w:val="28"/>
        </w:rPr>
        <w:t xml:space="preserve">镇农村安全饮水 </w:t>
      </w:r>
    </w:p>
    <w:p w14:paraId="7F646CDA">
      <w:pPr>
        <w:pStyle w:val="8"/>
        <w:keepNext w:val="0"/>
        <w:keepLines w:val="0"/>
        <w:pageBreakBefore w:val="0"/>
        <w:kinsoku/>
        <w:wordWrap/>
        <w:overflowPunct/>
        <w:topLinePunct/>
        <w:autoSpaceDE/>
        <w:autoSpaceDN/>
        <w:bidi w:val="0"/>
        <w:adjustRightInd w:val="0"/>
        <w:snapToGrid w:val="0"/>
        <w:spacing w:line="520" w:lineRule="exact"/>
        <w:ind w:left="559" w:leftChars="266" w:firstLine="72" w:firstLineChars="26"/>
        <w:rPr>
          <w:rFonts w:hint="eastAsia" w:ascii="仿宋_GB2312" w:hAnsi="仿宋_GB2312" w:eastAsia="仿宋_GB2312" w:cs="仿宋_GB2312"/>
          <w:sz w:val="28"/>
          <w:szCs w:val="28"/>
        </w:rPr>
      </w:pPr>
      <w:r>
        <w:rPr>
          <w:rFonts w:hint="eastAsia" w:ascii="仿宋_GB2312" w:hAnsi="仿宋_GB2312" w:eastAsia="仿宋_GB2312" w:cs="仿宋_GB2312"/>
          <w:color w:val="555555"/>
          <w:sz w:val="28"/>
          <w:szCs w:val="28"/>
        </w:rPr>
        <w:t>3</w:t>
      </w:r>
      <w:r>
        <w:rPr>
          <w:rFonts w:hint="eastAsia" w:ascii="仿宋_GB2312" w:hAnsi="仿宋_GB2312" w:eastAsia="仿宋_GB2312" w:cs="仿宋_GB2312"/>
          <w:sz w:val="28"/>
          <w:szCs w:val="28"/>
        </w:rPr>
        <w:t>、国有资产管理、县委和县人民政府及水利局交办的其它工作</w:t>
      </w:r>
      <w:r>
        <w:rPr>
          <w:rFonts w:hint="eastAsia" w:ascii="仿宋_GB2312" w:hAnsi="仿宋_GB2312" w:eastAsia="仿宋_GB2312" w:cs="仿宋_GB2312"/>
          <w:color w:val="555555"/>
          <w:sz w:val="28"/>
          <w:szCs w:val="28"/>
        </w:rPr>
        <w:t xml:space="preserve">。                      </w:t>
      </w:r>
      <w:r>
        <w:rPr>
          <w:rFonts w:hint="eastAsia" w:ascii="仿宋_GB2312" w:hAnsi="仿宋_GB2312" w:eastAsia="仿宋_GB2312" w:cs="仿宋_GB2312"/>
          <w:sz w:val="28"/>
          <w:szCs w:val="28"/>
        </w:rPr>
        <w:t>4、分月分季对辖区内所属行政事业单位预算执行情况进行汇总和分析，为严格执行预算进行事前、事中的全过程管理。</w:t>
      </w:r>
    </w:p>
    <w:p w14:paraId="623F92DB">
      <w:pPr>
        <w:pStyle w:val="8"/>
        <w:keepNext w:val="0"/>
        <w:keepLines w:val="0"/>
        <w:pageBreakBefore w:val="0"/>
        <w:kinsoku/>
        <w:wordWrap/>
        <w:overflowPunct/>
        <w:topLinePunct/>
        <w:autoSpaceDE/>
        <w:autoSpaceDN/>
        <w:bidi w:val="0"/>
        <w:adjustRightInd w:val="0"/>
        <w:snapToGrid w:val="0"/>
        <w:spacing w:line="520" w:lineRule="exact"/>
        <w:ind w:left="0" w:leftChars="0"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5、加强年度部门整体支出绩效的执行、统计、汇总分析和评价工作</w:t>
      </w:r>
    </w:p>
    <w:p w14:paraId="578BA5F4">
      <w:pPr>
        <w:pStyle w:val="2"/>
        <w:keepNext w:val="0"/>
        <w:keepLines w:val="0"/>
        <w:pageBreakBefore w:val="0"/>
        <w:wordWrap/>
        <w:topLinePunct/>
        <w:bidi w:val="0"/>
        <w:adjustRightInd w:val="0"/>
        <w:snapToGrid w:val="0"/>
        <w:rPr>
          <w:rFonts w:hint="eastAsia"/>
        </w:rPr>
      </w:pPr>
      <w:r>
        <w:rPr>
          <w:rFonts w:hint="eastAsia" w:ascii="仿宋_GB2312" w:hAnsi="仿宋_GB2312" w:eastAsia="仿宋_GB2312" w:cs="仿宋_GB2312"/>
          <w:sz w:val="28"/>
          <w:szCs w:val="28"/>
        </w:rPr>
        <w:t>6、做好年度的经费结算和整体绩效考评工作。</w:t>
      </w:r>
    </w:p>
    <w:p w14:paraId="57733342">
      <w:pPr>
        <w:pStyle w:val="3"/>
        <w:keepNext w:val="0"/>
        <w:keepLines w:val="0"/>
        <w:pageBreakBefore w:val="0"/>
        <w:widowControl w:val="0"/>
        <w:kinsoku/>
        <w:wordWrap/>
        <w:overflowPunct w:val="0"/>
        <w:topLinePunct/>
        <w:autoSpaceDE/>
        <w:autoSpaceDN/>
        <w:bidi w:val="0"/>
        <w:adjustRightInd w:val="0"/>
        <w:snapToGrid w:val="0"/>
        <w:spacing w:line="590" w:lineRule="exact"/>
        <w:ind w:left="0" w:right="0" w:firstLine="640" w:firstLineChars="200"/>
        <w:jc w:val="both"/>
        <w:textAlignment w:val="baseline"/>
        <w:rPr>
          <w:rFonts w:hint="eastAsia" w:ascii="方正楷体_GBK" w:hAnsi="方正楷体_GBK" w:eastAsia="方正楷体_GBK" w:cs="方正楷体_GBK"/>
          <w:b w:val="0"/>
          <w:bCs w:val="0"/>
          <w:spacing w:val="0"/>
          <w:sz w:val="32"/>
          <w:szCs w:val="32"/>
        </w:rPr>
      </w:pPr>
      <w:r>
        <w:rPr>
          <w:rFonts w:hint="eastAsia" w:ascii="方正楷体_GBK" w:hAnsi="方正楷体_GBK" w:eastAsia="方正楷体_GBK" w:cs="方正楷体_GBK"/>
          <w:b w:val="0"/>
          <w:bCs w:val="0"/>
          <w:spacing w:val="0"/>
          <w:sz w:val="32"/>
          <w:szCs w:val="32"/>
          <w:lang w:eastAsia="zh-CN"/>
        </w:rPr>
        <w:t>（</w:t>
      </w:r>
      <w:r>
        <w:rPr>
          <w:rFonts w:hint="eastAsia" w:ascii="方正楷体_GBK" w:hAnsi="方正楷体_GBK" w:eastAsia="方正楷体_GBK" w:cs="方正楷体_GBK"/>
          <w:b w:val="0"/>
          <w:bCs w:val="0"/>
          <w:spacing w:val="0"/>
          <w:sz w:val="32"/>
          <w:szCs w:val="32"/>
        </w:rPr>
        <w:t>二</w:t>
      </w:r>
      <w:r>
        <w:rPr>
          <w:rFonts w:hint="eastAsia" w:ascii="方正楷体_GBK" w:hAnsi="方正楷体_GBK" w:eastAsia="方正楷体_GBK" w:cs="方正楷体_GBK"/>
          <w:b w:val="0"/>
          <w:bCs w:val="0"/>
          <w:spacing w:val="0"/>
          <w:sz w:val="32"/>
          <w:szCs w:val="32"/>
          <w:lang w:eastAsia="zh-CN"/>
        </w:rPr>
        <w:t>）</w:t>
      </w:r>
      <w:r>
        <w:rPr>
          <w:rFonts w:hint="eastAsia" w:ascii="方正楷体_GBK" w:hAnsi="方正楷体_GBK" w:eastAsia="方正楷体_GBK" w:cs="方正楷体_GBK"/>
          <w:b w:val="0"/>
          <w:bCs w:val="0"/>
          <w:spacing w:val="0"/>
          <w:sz w:val="32"/>
          <w:szCs w:val="32"/>
        </w:rPr>
        <w:t>部门整体支出情况</w:t>
      </w:r>
      <w:r>
        <w:rPr>
          <w:rFonts w:hint="eastAsia" w:ascii="方正楷体_GBK" w:hAnsi="方正楷体_GBK" w:eastAsia="方正楷体_GBK" w:cs="方正楷体_GBK"/>
          <w:b w:val="0"/>
          <w:bCs w:val="0"/>
          <w:spacing w:val="0"/>
          <w:sz w:val="32"/>
          <w:szCs w:val="32"/>
          <w:lang w:eastAsia="zh-CN"/>
        </w:rPr>
        <w:t>（</w:t>
      </w:r>
      <w:r>
        <w:rPr>
          <w:rFonts w:hint="eastAsia" w:ascii="方正楷体_GBK" w:hAnsi="方正楷体_GBK" w:eastAsia="方正楷体_GBK" w:cs="方正楷体_GBK"/>
          <w:b w:val="0"/>
          <w:bCs w:val="0"/>
          <w:spacing w:val="0"/>
          <w:sz w:val="32"/>
          <w:szCs w:val="32"/>
        </w:rPr>
        <w:t>部门整体支出规模、使用方向和主要内容、涉及范围等</w:t>
      </w:r>
      <w:r>
        <w:rPr>
          <w:rFonts w:hint="eastAsia" w:ascii="方正楷体_GBK" w:hAnsi="方正楷体_GBK" w:eastAsia="方正楷体_GBK" w:cs="方正楷体_GBK"/>
          <w:b w:val="0"/>
          <w:bCs w:val="0"/>
          <w:spacing w:val="0"/>
          <w:sz w:val="32"/>
          <w:szCs w:val="32"/>
          <w:lang w:eastAsia="zh-CN"/>
        </w:rPr>
        <w:t>）</w:t>
      </w:r>
      <w:r>
        <w:rPr>
          <w:rFonts w:hint="eastAsia" w:ascii="方正楷体_GBK" w:hAnsi="方正楷体_GBK" w:eastAsia="方正楷体_GBK" w:cs="方正楷体_GBK"/>
          <w:b w:val="0"/>
          <w:bCs w:val="0"/>
          <w:spacing w:val="0"/>
          <w:sz w:val="32"/>
          <w:szCs w:val="32"/>
        </w:rPr>
        <w:t>。</w:t>
      </w:r>
    </w:p>
    <w:p w14:paraId="052DF254">
      <w:pPr>
        <w:pStyle w:val="3"/>
        <w:keepNext w:val="0"/>
        <w:keepLines w:val="0"/>
        <w:pageBreakBefore w:val="0"/>
        <w:widowControl w:val="0"/>
        <w:kinsoku/>
        <w:wordWrap/>
        <w:overflowPunct w:val="0"/>
        <w:topLinePunct/>
        <w:autoSpaceDE/>
        <w:autoSpaceDN/>
        <w:bidi w:val="0"/>
        <w:adjustRightInd w:val="0"/>
        <w:snapToGrid w:val="0"/>
        <w:spacing w:line="590" w:lineRule="exact"/>
        <w:ind w:left="0" w:right="0" w:firstLine="640" w:firstLineChars="200"/>
        <w:jc w:val="both"/>
        <w:textAlignment w:val="baseline"/>
        <w:outlineLvl w:val="2"/>
        <w:rPr>
          <w:rFonts w:hint="eastAsia" w:ascii="方正黑体_GBK" w:hAnsi="方正黑体_GBK" w:eastAsia="方正黑体_GBK" w:cs="方正黑体_GBK"/>
          <w:b/>
          <w:bCs/>
          <w:spacing w:val="0"/>
          <w:sz w:val="32"/>
          <w:szCs w:val="32"/>
        </w:rPr>
      </w:pPr>
      <w:r>
        <w:rPr>
          <w:rFonts w:hint="eastAsia" w:ascii="方正黑体_GBK" w:hAnsi="方正黑体_GBK" w:eastAsia="方正黑体_GBK" w:cs="方正黑体_GBK"/>
          <w:b w:val="0"/>
          <w:bCs w:val="0"/>
          <w:spacing w:val="0"/>
          <w:sz w:val="32"/>
          <w:szCs w:val="32"/>
        </w:rPr>
        <w:t>二、一般公共预算支出情况</w:t>
      </w:r>
    </w:p>
    <w:p w14:paraId="0D704F78">
      <w:pPr>
        <w:pStyle w:val="3"/>
        <w:keepNext w:val="0"/>
        <w:keepLines w:val="0"/>
        <w:pageBreakBefore w:val="0"/>
        <w:widowControl w:val="0"/>
        <w:kinsoku/>
        <w:wordWrap/>
        <w:overflowPunct w:val="0"/>
        <w:topLinePunct/>
        <w:autoSpaceDE/>
        <w:autoSpaceDN/>
        <w:bidi w:val="0"/>
        <w:adjustRightInd w:val="0"/>
        <w:snapToGrid w:val="0"/>
        <w:spacing w:line="360" w:lineRule="auto"/>
        <w:ind w:left="0" w:right="0" w:firstLine="640" w:firstLineChars="200"/>
        <w:jc w:val="both"/>
        <w:textAlignment w:val="baseline"/>
        <w:rPr>
          <w:rFonts w:hint="eastAsia" w:ascii="方正楷体_GBK" w:hAnsi="方正楷体_GBK" w:eastAsia="方正楷体_GBK" w:cs="方正楷体_GBK"/>
          <w:b w:val="0"/>
          <w:bCs w:val="0"/>
          <w:spacing w:val="0"/>
          <w:sz w:val="32"/>
          <w:szCs w:val="32"/>
          <w:lang w:eastAsia="zh-CN"/>
        </w:rPr>
      </w:pPr>
      <w:r>
        <w:rPr>
          <w:rFonts w:hint="eastAsia" w:ascii="方正楷体_GBK" w:hAnsi="方正楷体_GBK" w:eastAsia="方正楷体_GBK" w:cs="方正楷体_GBK"/>
          <w:b w:val="0"/>
          <w:bCs w:val="0"/>
          <w:spacing w:val="0"/>
          <w:sz w:val="32"/>
          <w:szCs w:val="32"/>
          <w:lang w:eastAsia="zh-CN"/>
        </w:rPr>
        <w:t>（一）基本支出</w:t>
      </w:r>
    </w:p>
    <w:p w14:paraId="762B3FC6">
      <w:pPr>
        <w:keepNext w:val="0"/>
        <w:keepLines w:val="0"/>
        <w:pageBreakBefore w:val="0"/>
        <w:wordWrap/>
        <w:topLinePunct/>
        <w:bidi w:val="0"/>
        <w:adjustRightInd w:val="0"/>
        <w:snapToGrid w:val="0"/>
        <w:spacing w:line="360" w:lineRule="auto"/>
        <w:ind w:firstLine="640" w:firstLineChars="200"/>
        <w:textAlignment w:val="baseline"/>
        <w:rPr>
          <w:rFonts w:ascii="仿宋" w:hAnsi="仿宋" w:eastAsia="仿宋" w:cs="仿宋"/>
          <w:sz w:val="32"/>
          <w:szCs w:val="32"/>
        </w:rPr>
      </w:pPr>
      <w:r>
        <w:rPr>
          <w:rFonts w:hint="eastAsia" w:ascii="仿宋" w:hAnsi="仿宋" w:eastAsia="仿宋" w:cs="仿宋"/>
          <w:sz w:val="32"/>
          <w:szCs w:val="32"/>
        </w:rPr>
        <w:t>基本支出用于为保障机构正常运转、完成日常工作任务而发生的支出，包括人员经费和公用经费。</w:t>
      </w:r>
    </w:p>
    <w:p w14:paraId="2A308DD9">
      <w:pPr>
        <w:keepNext w:val="0"/>
        <w:keepLines w:val="0"/>
        <w:pageBreakBefore w:val="0"/>
        <w:wordWrap/>
        <w:topLinePunct/>
        <w:bidi w:val="0"/>
        <w:adjustRightInd w:val="0"/>
        <w:snapToGrid w:val="0"/>
        <w:spacing w:line="360" w:lineRule="auto"/>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2024</w:t>
      </w:r>
      <w:r>
        <w:rPr>
          <w:rFonts w:hint="eastAsia" w:ascii="仿宋" w:hAnsi="仿宋" w:eastAsia="仿宋" w:cs="仿宋"/>
          <w:sz w:val="32"/>
          <w:szCs w:val="32"/>
        </w:rPr>
        <w:t>年年初预算批复的基本支出</w:t>
      </w:r>
      <w:r>
        <w:rPr>
          <w:rFonts w:hint="eastAsia" w:ascii="仿宋" w:hAnsi="仿宋" w:eastAsia="仿宋" w:cs="仿宋"/>
          <w:sz w:val="32"/>
          <w:szCs w:val="32"/>
          <w:lang w:val="en-US" w:eastAsia="zh-CN"/>
        </w:rPr>
        <w:t>287.57</w:t>
      </w:r>
      <w:r>
        <w:rPr>
          <w:rFonts w:hint="eastAsia" w:ascii="仿宋" w:hAnsi="仿宋" w:eastAsia="仿宋" w:cs="仿宋"/>
          <w:sz w:val="32"/>
          <w:szCs w:val="32"/>
        </w:rPr>
        <w:t>万元，年终决算</w:t>
      </w:r>
      <w:r>
        <w:rPr>
          <w:rFonts w:hint="eastAsia" w:ascii="仿宋" w:hAnsi="仿宋" w:eastAsia="仿宋" w:cs="仿宋"/>
          <w:sz w:val="32"/>
          <w:szCs w:val="32"/>
          <w:highlight w:val="none"/>
          <w:lang w:val="en-US" w:eastAsia="zh-CN"/>
        </w:rPr>
        <w:t>405.74</w:t>
      </w:r>
      <w:r>
        <w:rPr>
          <w:rFonts w:hint="eastAsia" w:ascii="仿宋" w:hAnsi="仿宋" w:eastAsia="仿宋" w:cs="仿宋"/>
          <w:sz w:val="32"/>
          <w:szCs w:val="32"/>
        </w:rPr>
        <w:t>万元，其中工资福利支出</w:t>
      </w:r>
      <w:r>
        <w:rPr>
          <w:rFonts w:hint="eastAsia" w:ascii="仿宋" w:hAnsi="仿宋" w:eastAsia="仿宋" w:cs="仿宋"/>
          <w:sz w:val="32"/>
          <w:szCs w:val="32"/>
          <w:lang w:val="en-US" w:eastAsia="zh-CN"/>
        </w:rPr>
        <w:t>345.3</w:t>
      </w:r>
      <w:r>
        <w:rPr>
          <w:rFonts w:hint="eastAsia" w:ascii="仿宋" w:hAnsi="仿宋" w:eastAsia="仿宋" w:cs="仿宋"/>
          <w:sz w:val="32"/>
          <w:szCs w:val="32"/>
        </w:rPr>
        <w:t>万元（基本工资</w:t>
      </w:r>
      <w:r>
        <w:rPr>
          <w:rFonts w:hint="eastAsia" w:ascii="仿宋" w:hAnsi="仿宋" w:eastAsia="仿宋" w:cs="仿宋"/>
          <w:sz w:val="32"/>
          <w:szCs w:val="32"/>
          <w:lang w:val="en-US" w:eastAsia="zh-CN"/>
        </w:rPr>
        <w:t>101.96</w:t>
      </w:r>
      <w:r>
        <w:rPr>
          <w:rFonts w:hint="eastAsia" w:ascii="仿宋" w:hAnsi="仿宋" w:eastAsia="仿宋" w:cs="仿宋"/>
          <w:sz w:val="32"/>
          <w:szCs w:val="32"/>
        </w:rPr>
        <w:t>万元，津补贴</w:t>
      </w:r>
      <w:r>
        <w:rPr>
          <w:rFonts w:hint="eastAsia" w:ascii="仿宋" w:hAnsi="仿宋" w:eastAsia="仿宋" w:cs="仿宋"/>
          <w:sz w:val="32"/>
          <w:szCs w:val="32"/>
          <w:lang w:val="en-US" w:eastAsia="zh-CN"/>
        </w:rPr>
        <w:t>19.12</w:t>
      </w:r>
      <w:r>
        <w:rPr>
          <w:rFonts w:hint="eastAsia" w:ascii="仿宋" w:hAnsi="仿宋" w:eastAsia="仿宋" w:cs="仿宋"/>
          <w:sz w:val="32"/>
          <w:szCs w:val="32"/>
        </w:rPr>
        <w:t>万元，奖金</w:t>
      </w:r>
      <w:r>
        <w:rPr>
          <w:rFonts w:hint="eastAsia" w:ascii="仿宋" w:hAnsi="仿宋" w:eastAsia="仿宋" w:cs="仿宋"/>
          <w:sz w:val="32"/>
          <w:szCs w:val="32"/>
          <w:lang w:val="en-US" w:eastAsia="zh-CN"/>
        </w:rPr>
        <w:t>118.39</w:t>
      </w:r>
      <w:r>
        <w:rPr>
          <w:rFonts w:hint="eastAsia" w:ascii="仿宋" w:hAnsi="仿宋" w:eastAsia="仿宋" w:cs="仿宋"/>
          <w:sz w:val="32"/>
          <w:szCs w:val="32"/>
        </w:rPr>
        <w:t>万元，</w:t>
      </w:r>
      <w:r>
        <w:rPr>
          <w:rFonts w:hint="eastAsia" w:ascii="仿宋" w:hAnsi="仿宋" w:eastAsia="仿宋" w:cs="仿宋"/>
          <w:sz w:val="32"/>
          <w:szCs w:val="32"/>
          <w:lang w:val="en-US" w:eastAsia="zh-CN"/>
        </w:rPr>
        <w:t>绩效工资45.55万元，</w:t>
      </w:r>
      <w:r>
        <w:rPr>
          <w:rFonts w:hint="eastAsia" w:ascii="仿宋" w:hAnsi="仿宋" w:eastAsia="仿宋" w:cs="仿宋"/>
          <w:sz w:val="32"/>
          <w:szCs w:val="32"/>
        </w:rPr>
        <w:t>社会保障缴费</w:t>
      </w:r>
      <w:r>
        <w:rPr>
          <w:rFonts w:hint="eastAsia" w:ascii="仿宋" w:hAnsi="仿宋" w:eastAsia="仿宋" w:cs="仿宋"/>
          <w:sz w:val="32"/>
          <w:szCs w:val="32"/>
          <w:lang w:val="en-US" w:eastAsia="zh-CN"/>
        </w:rPr>
        <w:t>54.48</w:t>
      </w:r>
      <w:r>
        <w:rPr>
          <w:rFonts w:hint="eastAsia" w:ascii="仿宋" w:hAnsi="仿宋" w:eastAsia="仿宋" w:cs="仿宋"/>
          <w:sz w:val="32"/>
          <w:szCs w:val="32"/>
        </w:rPr>
        <w:t>万元，伙食补助费</w:t>
      </w:r>
      <w:r>
        <w:rPr>
          <w:rFonts w:hint="eastAsia" w:ascii="仿宋" w:hAnsi="仿宋" w:eastAsia="仿宋" w:cs="仿宋"/>
          <w:sz w:val="32"/>
          <w:szCs w:val="32"/>
          <w:lang w:val="en-US" w:eastAsia="zh-CN"/>
        </w:rPr>
        <w:t>5.8</w:t>
      </w:r>
      <w:r>
        <w:rPr>
          <w:rFonts w:hint="eastAsia" w:ascii="仿宋" w:hAnsi="仿宋" w:eastAsia="仿宋" w:cs="仿宋"/>
          <w:sz w:val="32"/>
          <w:szCs w:val="32"/>
        </w:rPr>
        <w:t>万元），商品服务支出</w:t>
      </w:r>
      <w:r>
        <w:rPr>
          <w:rFonts w:hint="eastAsia" w:ascii="仿宋" w:hAnsi="仿宋" w:eastAsia="仿宋" w:cs="仿宋"/>
          <w:sz w:val="32"/>
          <w:szCs w:val="32"/>
          <w:lang w:val="en-US" w:eastAsia="zh-CN"/>
        </w:rPr>
        <w:t>38.24</w:t>
      </w:r>
      <w:r>
        <w:rPr>
          <w:rFonts w:hint="eastAsia" w:ascii="仿宋" w:hAnsi="仿宋" w:eastAsia="仿宋" w:cs="仿宋"/>
          <w:sz w:val="32"/>
          <w:szCs w:val="32"/>
        </w:rPr>
        <w:t>万元（办公费</w:t>
      </w:r>
      <w:r>
        <w:rPr>
          <w:rFonts w:hint="eastAsia" w:ascii="仿宋" w:hAnsi="仿宋" w:eastAsia="仿宋" w:cs="仿宋"/>
          <w:sz w:val="32"/>
          <w:szCs w:val="32"/>
          <w:lang w:val="en-US" w:eastAsia="zh-CN"/>
        </w:rPr>
        <w:t>0.69</w:t>
      </w:r>
      <w:r>
        <w:rPr>
          <w:rFonts w:hint="eastAsia" w:ascii="仿宋" w:hAnsi="仿宋" w:eastAsia="仿宋" w:cs="仿宋"/>
          <w:sz w:val="32"/>
          <w:szCs w:val="32"/>
        </w:rPr>
        <w:t>万元，水电费用</w:t>
      </w:r>
      <w:r>
        <w:rPr>
          <w:rFonts w:hint="eastAsia" w:ascii="仿宋" w:hAnsi="仿宋" w:eastAsia="仿宋" w:cs="仿宋"/>
          <w:sz w:val="32"/>
          <w:szCs w:val="32"/>
          <w:lang w:val="en-US" w:eastAsia="zh-CN"/>
        </w:rPr>
        <w:t>2.05</w:t>
      </w:r>
      <w:r>
        <w:rPr>
          <w:rFonts w:hint="eastAsia" w:ascii="仿宋" w:hAnsi="仿宋" w:eastAsia="仿宋" w:cs="仿宋"/>
          <w:sz w:val="32"/>
          <w:szCs w:val="32"/>
        </w:rPr>
        <w:t>万元，邮电费0.</w:t>
      </w:r>
      <w:r>
        <w:rPr>
          <w:rFonts w:hint="eastAsia" w:ascii="仿宋" w:hAnsi="仿宋" w:eastAsia="仿宋" w:cs="仿宋"/>
          <w:sz w:val="32"/>
          <w:szCs w:val="32"/>
          <w:lang w:val="en-US" w:eastAsia="zh-CN"/>
        </w:rPr>
        <w:t>03</w:t>
      </w:r>
      <w:r>
        <w:rPr>
          <w:rFonts w:hint="eastAsia" w:ascii="仿宋" w:hAnsi="仿宋" w:eastAsia="仿宋" w:cs="仿宋"/>
          <w:sz w:val="32"/>
          <w:szCs w:val="32"/>
        </w:rPr>
        <w:t>万元，差旅费</w:t>
      </w:r>
      <w:r>
        <w:rPr>
          <w:rFonts w:hint="eastAsia" w:ascii="仿宋" w:hAnsi="仿宋" w:eastAsia="仿宋" w:cs="仿宋"/>
          <w:sz w:val="32"/>
          <w:szCs w:val="32"/>
          <w:lang w:val="en-US" w:eastAsia="zh-CN"/>
        </w:rPr>
        <w:t>4.99</w:t>
      </w:r>
      <w:r>
        <w:rPr>
          <w:rFonts w:hint="eastAsia" w:ascii="仿宋" w:hAnsi="仿宋" w:eastAsia="仿宋" w:cs="仿宋"/>
          <w:sz w:val="32"/>
          <w:szCs w:val="32"/>
        </w:rPr>
        <w:t>万元，</w:t>
      </w:r>
      <w:r>
        <w:rPr>
          <w:rFonts w:hint="eastAsia" w:ascii="仿宋" w:hAnsi="仿宋" w:eastAsia="仿宋" w:cs="仿宋"/>
          <w:sz w:val="32"/>
          <w:szCs w:val="32"/>
          <w:lang w:eastAsia="zh-CN"/>
        </w:rPr>
        <w:t>维修（护）</w:t>
      </w:r>
      <w:r>
        <w:rPr>
          <w:rFonts w:hint="eastAsia" w:ascii="仿宋" w:hAnsi="仿宋" w:eastAsia="仿宋" w:cs="仿宋"/>
          <w:sz w:val="32"/>
          <w:szCs w:val="32"/>
        </w:rPr>
        <w:t>费</w:t>
      </w:r>
      <w:r>
        <w:rPr>
          <w:rFonts w:hint="eastAsia" w:ascii="仿宋" w:hAnsi="仿宋" w:eastAsia="仿宋" w:cs="仿宋"/>
          <w:sz w:val="32"/>
          <w:szCs w:val="32"/>
          <w:lang w:val="en-US" w:eastAsia="zh-CN"/>
        </w:rPr>
        <w:t>17.44</w:t>
      </w:r>
      <w:r>
        <w:rPr>
          <w:rFonts w:hint="eastAsia" w:ascii="仿宋" w:hAnsi="仿宋" w:eastAsia="仿宋" w:cs="仿宋"/>
          <w:sz w:val="32"/>
          <w:szCs w:val="32"/>
        </w:rPr>
        <w:t>万元，</w:t>
      </w:r>
      <w:r>
        <w:rPr>
          <w:rFonts w:hint="eastAsia" w:ascii="仿宋" w:hAnsi="仿宋" w:eastAsia="仿宋" w:cs="仿宋"/>
          <w:sz w:val="32"/>
          <w:szCs w:val="32"/>
          <w:lang w:eastAsia="zh-CN"/>
        </w:rPr>
        <w:t>租赁费</w:t>
      </w:r>
      <w:r>
        <w:rPr>
          <w:rFonts w:hint="eastAsia" w:ascii="仿宋" w:hAnsi="仿宋" w:eastAsia="仿宋" w:cs="仿宋"/>
          <w:sz w:val="32"/>
          <w:szCs w:val="32"/>
          <w:lang w:val="en-US" w:eastAsia="zh-CN"/>
        </w:rPr>
        <w:t>1.2</w:t>
      </w:r>
      <w:r>
        <w:rPr>
          <w:rFonts w:hint="eastAsia" w:ascii="仿宋" w:hAnsi="仿宋" w:eastAsia="仿宋" w:cs="仿宋"/>
          <w:sz w:val="32"/>
          <w:szCs w:val="32"/>
        </w:rPr>
        <w:t>万元，</w:t>
      </w:r>
      <w:r>
        <w:rPr>
          <w:rFonts w:hint="eastAsia" w:ascii="仿宋" w:hAnsi="仿宋" w:eastAsia="仿宋" w:cs="仿宋"/>
          <w:sz w:val="32"/>
          <w:szCs w:val="32"/>
          <w:lang w:val="en-US" w:eastAsia="zh-CN"/>
        </w:rPr>
        <w:t>培训</w:t>
      </w:r>
      <w:r>
        <w:rPr>
          <w:rFonts w:hint="eastAsia" w:ascii="仿宋" w:hAnsi="仿宋" w:eastAsia="仿宋" w:cs="仿宋"/>
          <w:sz w:val="32"/>
          <w:szCs w:val="32"/>
        </w:rPr>
        <w:t>费</w:t>
      </w:r>
      <w:r>
        <w:rPr>
          <w:rFonts w:hint="eastAsia" w:ascii="仿宋" w:hAnsi="仿宋" w:eastAsia="仿宋" w:cs="仿宋"/>
          <w:sz w:val="32"/>
          <w:szCs w:val="32"/>
          <w:lang w:val="en-US" w:eastAsia="zh-CN"/>
        </w:rPr>
        <w:t>0.51</w:t>
      </w:r>
      <w:r>
        <w:rPr>
          <w:rFonts w:hint="eastAsia" w:ascii="仿宋" w:hAnsi="仿宋" w:eastAsia="仿宋" w:cs="仿宋"/>
          <w:sz w:val="32"/>
          <w:szCs w:val="32"/>
        </w:rPr>
        <w:t>万元，</w:t>
      </w:r>
      <w:r>
        <w:rPr>
          <w:rFonts w:hint="eastAsia" w:ascii="仿宋" w:hAnsi="仿宋" w:eastAsia="仿宋" w:cs="仿宋"/>
          <w:sz w:val="32"/>
          <w:szCs w:val="32"/>
          <w:lang w:eastAsia="zh-CN"/>
        </w:rPr>
        <w:t>劳务费</w:t>
      </w:r>
      <w:r>
        <w:rPr>
          <w:rFonts w:hint="eastAsia" w:ascii="仿宋" w:hAnsi="仿宋" w:eastAsia="仿宋" w:cs="仿宋"/>
          <w:sz w:val="32"/>
          <w:szCs w:val="32"/>
          <w:lang w:val="en-US" w:eastAsia="zh-CN"/>
        </w:rPr>
        <w:t>0.84万元，</w:t>
      </w:r>
      <w:r>
        <w:rPr>
          <w:rFonts w:hint="eastAsia" w:ascii="仿宋" w:hAnsi="仿宋" w:eastAsia="仿宋" w:cs="仿宋"/>
          <w:sz w:val="32"/>
          <w:szCs w:val="32"/>
        </w:rPr>
        <w:t>工会经费</w:t>
      </w:r>
      <w:r>
        <w:rPr>
          <w:rFonts w:hint="eastAsia" w:ascii="仿宋" w:hAnsi="仿宋" w:eastAsia="仿宋" w:cs="仿宋"/>
          <w:sz w:val="32"/>
          <w:szCs w:val="32"/>
          <w:lang w:val="en-US" w:eastAsia="zh-CN"/>
        </w:rPr>
        <w:t>4.83</w:t>
      </w:r>
      <w:r>
        <w:rPr>
          <w:rFonts w:hint="eastAsia" w:ascii="仿宋" w:hAnsi="仿宋" w:eastAsia="仿宋" w:cs="仿宋"/>
          <w:sz w:val="32"/>
          <w:szCs w:val="32"/>
        </w:rPr>
        <w:t>万元，交通费</w:t>
      </w:r>
      <w:r>
        <w:rPr>
          <w:rFonts w:hint="eastAsia" w:ascii="仿宋" w:hAnsi="仿宋" w:eastAsia="仿宋" w:cs="仿宋"/>
          <w:sz w:val="32"/>
          <w:szCs w:val="32"/>
          <w:lang w:val="en-US" w:eastAsia="zh-CN"/>
        </w:rPr>
        <w:t>0.63</w:t>
      </w:r>
      <w:r>
        <w:rPr>
          <w:rFonts w:hint="eastAsia" w:ascii="仿宋" w:hAnsi="仿宋" w:eastAsia="仿宋" w:cs="仿宋"/>
          <w:sz w:val="32"/>
          <w:szCs w:val="32"/>
        </w:rPr>
        <w:t>万元，其他商品和服务支出</w:t>
      </w:r>
      <w:r>
        <w:rPr>
          <w:rFonts w:hint="eastAsia" w:ascii="仿宋" w:hAnsi="仿宋" w:eastAsia="仿宋" w:cs="仿宋"/>
          <w:sz w:val="32"/>
          <w:szCs w:val="32"/>
          <w:lang w:val="en-US" w:eastAsia="zh-CN"/>
        </w:rPr>
        <w:t>5.03</w:t>
      </w:r>
      <w:r>
        <w:rPr>
          <w:rFonts w:hint="eastAsia" w:ascii="仿宋" w:hAnsi="仿宋" w:eastAsia="仿宋" w:cs="仿宋"/>
          <w:sz w:val="32"/>
          <w:szCs w:val="32"/>
        </w:rPr>
        <w:t>万元。）对个人和家庭的补助</w:t>
      </w:r>
      <w:r>
        <w:rPr>
          <w:rFonts w:hint="eastAsia" w:ascii="仿宋" w:hAnsi="仿宋" w:eastAsia="仿宋" w:cs="仿宋"/>
          <w:sz w:val="32"/>
          <w:szCs w:val="32"/>
          <w:lang w:val="en-US" w:eastAsia="zh-CN"/>
        </w:rPr>
        <w:t>22.2</w:t>
      </w:r>
      <w:r>
        <w:rPr>
          <w:rFonts w:hint="eastAsia" w:ascii="仿宋" w:hAnsi="仿宋" w:eastAsia="仿宋" w:cs="仿宋"/>
          <w:sz w:val="32"/>
          <w:szCs w:val="32"/>
        </w:rPr>
        <w:t>万元</w:t>
      </w:r>
      <w:r>
        <w:rPr>
          <w:rFonts w:hint="eastAsia" w:ascii="仿宋" w:hAnsi="仿宋" w:eastAsia="仿宋" w:cs="仿宋"/>
          <w:sz w:val="32"/>
          <w:szCs w:val="32"/>
          <w:lang w:eastAsia="zh-CN"/>
        </w:rPr>
        <w:t>。</w:t>
      </w:r>
    </w:p>
    <w:p w14:paraId="0537AA49">
      <w:pPr>
        <w:keepNext w:val="0"/>
        <w:keepLines w:val="0"/>
        <w:pageBreakBefore w:val="0"/>
        <w:wordWrap/>
        <w:topLinePunct/>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项目支出</w:t>
      </w:r>
      <w:r>
        <w:rPr>
          <w:rFonts w:hint="eastAsia" w:ascii="仿宋" w:hAnsi="仿宋" w:eastAsia="仿宋" w:cs="仿宋"/>
          <w:sz w:val="32"/>
          <w:szCs w:val="32"/>
          <w:lang w:val="en-US" w:eastAsia="zh-CN"/>
        </w:rPr>
        <w:t>312.85万元，主要</w:t>
      </w:r>
      <w:r>
        <w:rPr>
          <w:rFonts w:hint="eastAsia" w:ascii="仿宋" w:hAnsi="仿宋" w:eastAsia="仿宋" w:cs="仿宋"/>
          <w:sz w:val="32"/>
          <w:szCs w:val="32"/>
        </w:rPr>
        <w:t>是新邵县</w:t>
      </w:r>
      <w:r>
        <w:rPr>
          <w:rFonts w:hint="eastAsia" w:ascii="仿宋" w:hAnsi="仿宋" w:eastAsia="仿宋" w:cs="仿宋"/>
          <w:sz w:val="32"/>
          <w:szCs w:val="32"/>
          <w:lang w:eastAsia="zh-CN"/>
        </w:rPr>
        <w:t>颜岭</w:t>
      </w:r>
      <w:r>
        <w:rPr>
          <w:rFonts w:hint="eastAsia" w:ascii="仿宋" w:hAnsi="仿宋" w:eastAsia="仿宋" w:cs="仿宋"/>
          <w:sz w:val="32"/>
          <w:szCs w:val="32"/>
        </w:rPr>
        <w:t>中型灌区节水配套改造项目款，这个项目款由中央财政直接拨款到水利局，再由水利局拨款到</w:t>
      </w:r>
      <w:r>
        <w:rPr>
          <w:rFonts w:hint="eastAsia" w:ascii="仿宋" w:hAnsi="仿宋" w:eastAsia="仿宋" w:cs="仿宋"/>
          <w:sz w:val="32"/>
          <w:szCs w:val="32"/>
          <w:lang w:eastAsia="zh-CN"/>
        </w:rPr>
        <w:t>颜岭</w:t>
      </w:r>
      <w:r>
        <w:rPr>
          <w:rFonts w:hint="eastAsia" w:ascii="仿宋" w:hAnsi="仿宋" w:eastAsia="仿宋" w:cs="仿宋"/>
          <w:sz w:val="32"/>
          <w:szCs w:val="32"/>
        </w:rPr>
        <w:t>水库</w:t>
      </w:r>
      <w:r>
        <w:rPr>
          <w:rFonts w:hint="eastAsia" w:ascii="仿宋" w:hAnsi="仿宋" w:eastAsia="仿宋" w:cs="仿宋"/>
          <w:sz w:val="32"/>
          <w:szCs w:val="32"/>
          <w:lang w:eastAsia="zh-CN"/>
        </w:rPr>
        <w:t>，</w:t>
      </w:r>
      <w:r>
        <w:rPr>
          <w:rFonts w:hint="eastAsia" w:ascii="仿宋" w:hAnsi="仿宋" w:eastAsia="仿宋" w:cs="仿宋"/>
          <w:sz w:val="32"/>
          <w:szCs w:val="32"/>
        </w:rPr>
        <w:t>本年度项目工程</w:t>
      </w:r>
      <w:r>
        <w:rPr>
          <w:rFonts w:hint="eastAsia" w:ascii="仿宋" w:hAnsi="仿宋" w:eastAsia="仿宋" w:cs="仿宋"/>
          <w:sz w:val="32"/>
          <w:szCs w:val="32"/>
          <w:lang w:eastAsia="zh-CN"/>
        </w:rPr>
        <w:t>完成</w:t>
      </w:r>
      <w:r>
        <w:rPr>
          <w:rFonts w:hint="eastAsia" w:ascii="仿宋" w:hAnsi="仿宋" w:eastAsia="仿宋" w:cs="仿宋"/>
          <w:sz w:val="32"/>
          <w:szCs w:val="32"/>
          <w:lang w:val="en-US" w:eastAsia="zh-CN"/>
        </w:rPr>
        <w:t>。</w:t>
      </w:r>
    </w:p>
    <w:p w14:paraId="1092E8BB">
      <w:pPr>
        <w:keepNext w:val="0"/>
        <w:keepLines w:val="0"/>
        <w:pageBreakBefore w:val="0"/>
        <w:wordWrap/>
        <w:topLinePunct/>
        <w:bidi w:val="0"/>
        <w:adjustRightInd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2、“三公”经费情况</w:t>
      </w:r>
    </w:p>
    <w:p w14:paraId="4587DC18">
      <w:pPr>
        <w:keepNext w:val="0"/>
        <w:keepLines w:val="0"/>
        <w:pageBreakBefore w:val="0"/>
        <w:widowControl w:val="0"/>
        <w:kinsoku/>
        <w:wordWrap/>
        <w:overflowPunct/>
        <w:topLinePunct/>
        <w:autoSpaceDE/>
        <w:autoSpaceDN/>
        <w:bidi w:val="0"/>
        <w:adjustRightInd w:val="0"/>
        <w:snapToGrid w:val="0"/>
        <w:spacing w:line="360" w:lineRule="auto"/>
        <w:ind w:left="0" w:leftChars="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2024</w:t>
      </w:r>
      <w:r>
        <w:rPr>
          <w:rFonts w:hint="eastAsia" w:ascii="仿宋" w:hAnsi="仿宋" w:eastAsia="仿宋" w:cs="仿宋"/>
          <w:sz w:val="32"/>
          <w:szCs w:val="32"/>
          <w:lang w:val="en-US" w:eastAsia="zh-CN"/>
        </w:rPr>
        <w:t>年“三公”经费支出年初预算数为0万元，实际支出0万元，未超过年初预算数。</w:t>
      </w:r>
    </w:p>
    <w:p w14:paraId="542D3D92">
      <w:pPr>
        <w:keepNext w:val="0"/>
        <w:keepLines w:val="0"/>
        <w:pageBreakBefore w:val="0"/>
        <w:widowControl w:val="0"/>
        <w:kinsoku/>
        <w:wordWrap/>
        <w:overflowPunct/>
        <w:topLinePunct/>
        <w:autoSpaceDE/>
        <w:autoSpaceDN/>
        <w:bidi w:val="0"/>
        <w:adjustRightInd w:val="0"/>
        <w:snapToGrid w:val="0"/>
        <w:spacing w:line="360" w:lineRule="auto"/>
        <w:ind w:left="0" w:leftChars="0" w:right="0" w:firstLine="640" w:firstLineChars="200"/>
        <w:jc w:val="both"/>
        <w:textAlignment w:val="auto"/>
        <w:rPr>
          <w:b w:val="0"/>
          <w:bCs w:val="0"/>
          <w:spacing w:val="0"/>
          <w:sz w:val="32"/>
          <w:szCs w:val="32"/>
        </w:rPr>
      </w:pPr>
      <w:r>
        <w:rPr>
          <w:rFonts w:hint="eastAsia" w:ascii="仿宋" w:hAnsi="仿宋" w:eastAsia="仿宋" w:cs="仿宋"/>
          <w:sz w:val="32"/>
          <w:szCs w:val="32"/>
          <w:lang w:val="en-US" w:eastAsia="zh-CN"/>
        </w:rPr>
        <w:t>在资金的管理方面，我所在2024年严格执行了单位财务管理方案，在执行中严格遵守国家财务会计制度、税收法律法规和单位财务管理方案，做到资金的及时入账和规范支付。</w:t>
      </w:r>
    </w:p>
    <w:p w14:paraId="0769A6E8">
      <w:pPr>
        <w:pStyle w:val="3"/>
        <w:keepNext w:val="0"/>
        <w:keepLines w:val="0"/>
        <w:pageBreakBefore w:val="0"/>
        <w:widowControl w:val="0"/>
        <w:kinsoku/>
        <w:wordWrap/>
        <w:overflowPunct w:val="0"/>
        <w:topLinePunct/>
        <w:autoSpaceDE/>
        <w:autoSpaceDN/>
        <w:bidi w:val="0"/>
        <w:adjustRightInd w:val="0"/>
        <w:snapToGrid w:val="0"/>
        <w:spacing w:line="590" w:lineRule="exact"/>
        <w:ind w:left="0" w:right="0" w:firstLine="640" w:firstLineChars="200"/>
        <w:jc w:val="both"/>
        <w:textAlignment w:val="baseline"/>
        <w:rPr>
          <w:rFonts w:hint="eastAsia" w:ascii="方正楷体_GBK" w:hAnsi="方正楷体_GBK" w:eastAsia="方正楷体_GBK" w:cs="方正楷体_GBK"/>
          <w:b w:val="0"/>
          <w:bCs w:val="0"/>
          <w:spacing w:val="0"/>
          <w:sz w:val="32"/>
          <w:szCs w:val="32"/>
          <w:lang w:eastAsia="zh-CN"/>
        </w:rPr>
      </w:pPr>
      <w:r>
        <w:rPr>
          <w:rFonts w:hint="eastAsia" w:ascii="方正楷体_GBK" w:hAnsi="方正楷体_GBK" w:eastAsia="方正楷体_GBK" w:cs="方正楷体_GBK"/>
          <w:b w:val="0"/>
          <w:bCs w:val="0"/>
          <w:spacing w:val="0"/>
          <w:sz w:val="32"/>
          <w:szCs w:val="32"/>
          <w:lang w:eastAsia="zh-CN"/>
        </w:rPr>
        <w:t>（二）项目支出</w:t>
      </w:r>
    </w:p>
    <w:p w14:paraId="61B59785">
      <w:pPr>
        <w:keepNext w:val="0"/>
        <w:keepLines w:val="0"/>
        <w:pageBreakBefore w:val="0"/>
        <w:widowControl w:val="0"/>
        <w:kinsoku/>
        <w:wordWrap/>
        <w:overflowPunct/>
        <w:topLinePunct/>
        <w:autoSpaceDE/>
        <w:autoSpaceDN/>
        <w:bidi w:val="0"/>
        <w:adjustRightInd w:val="0"/>
        <w:snapToGrid w:val="0"/>
        <w:spacing w:line="360" w:lineRule="auto"/>
        <w:ind w:left="0" w:leftChars="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1、项目资金安排落实、总投入等情况分析</w:t>
      </w:r>
    </w:p>
    <w:p w14:paraId="0B16CF6A">
      <w:pPr>
        <w:keepNext w:val="0"/>
        <w:keepLines w:val="0"/>
        <w:pageBreakBefore w:val="0"/>
        <w:widowControl w:val="0"/>
        <w:kinsoku/>
        <w:wordWrap/>
        <w:overflowPunct/>
        <w:topLinePunct/>
        <w:autoSpaceDE/>
        <w:autoSpaceDN/>
        <w:bidi w:val="0"/>
        <w:adjustRightInd w:val="0"/>
        <w:snapToGrid w:val="0"/>
        <w:spacing w:line="360" w:lineRule="auto"/>
        <w:ind w:left="0" w:leftChars="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2024年我所项目支出合计312.85万元，新邵县颜岭中型灌区节水配套改造项目款，这个项目款由中央财政直接拨款到水利局，再由水利局拨款到颜岭水库。</w:t>
      </w:r>
    </w:p>
    <w:p w14:paraId="05A36A4B">
      <w:pPr>
        <w:keepNext w:val="0"/>
        <w:keepLines w:val="0"/>
        <w:pageBreakBefore w:val="0"/>
        <w:widowControl w:val="0"/>
        <w:kinsoku/>
        <w:wordWrap/>
        <w:overflowPunct/>
        <w:topLinePunct/>
        <w:autoSpaceDE/>
        <w:autoSpaceDN/>
        <w:bidi w:val="0"/>
        <w:adjustRightInd w:val="0"/>
        <w:snapToGrid w:val="0"/>
        <w:spacing w:line="360" w:lineRule="auto"/>
        <w:ind w:left="0" w:leftChars="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2、项目资金实际使用情况分析</w:t>
      </w:r>
    </w:p>
    <w:p w14:paraId="69DEFBB0">
      <w:pPr>
        <w:keepNext w:val="0"/>
        <w:keepLines w:val="0"/>
        <w:pageBreakBefore w:val="0"/>
        <w:widowControl w:val="0"/>
        <w:kinsoku/>
        <w:wordWrap/>
        <w:overflowPunct/>
        <w:topLinePunct/>
        <w:autoSpaceDE/>
        <w:autoSpaceDN/>
        <w:bidi w:val="0"/>
        <w:adjustRightInd w:val="0"/>
        <w:snapToGrid w:val="0"/>
        <w:spacing w:line="360" w:lineRule="auto"/>
        <w:ind w:left="0" w:leftChars="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项目资金使用规范，注重绩效，支出审批程序严格，厉行节约，支出费用合理，确保了专款专用，最大限度地提高资金的使用效益。</w:t>
      </w:r>
    </w:p>
    <w:p w14:paraId="0E6A70D7">
      <w:pPr>
        <w:keepNext w:val="0"/>
        <w:keepLines w:val="0"/>
        <w:pageBreakBefore w:val="0"/>
        <w:widowControl w:val="0"/>
        <w:kinsoku/>
        <w:wordWrap/>
        <w:overflowPunct/>
        <w:topLinePunct/>
        <w:autoSpaceDE/>
        <w:autoSpaceDN/>
        <w:bidi w:val="0"/>
        <w:adjustRightInd w:val="0"/>
        <w:snapToGrid w:val="0"/>
        <w:spacing w:line="360" w:lineRule="auto"/>
        <w:ind w:left="0" w:leftChars="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3、项目资金管理情况分析</w:t>
      </w:r>
    </w:p>
    <w:p w14:paraId="55B4CD35">
      <w:pPr>
        <w:keepNext w:val="0"/>
        <w:keepLines w:val="0"/>
        <w:pageBreakBefore w:val="0"/>
        <w:widowControl w:val="0"/>
        <w:kinsoku/>
        <w:wordWrap/>
        <w:overflowPunct/>
        <w:topLinePunct/>
        <w:autoSpaceDE/>
        <w:autoSpaceDN/>
        <w:bidi w:val="0"/>
        <w:adjustRightInd w:val="0"/>
        <w:snapToGrid w:val="0"/>
        <w:spacing w:line="360" w:lineRule="auto"/>
        <w:ind w:left="0" w:leftChars="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按照专项工作的计划进度和预算安排支出项目资金，大力加强项目资金的保障力度，确保专项工作有序开展，全年专项资金未出现被挪用、挤占情况，全部按进度支付到位。</w:t>
      </w:r>
    </w:p>
    <w:p w14:paraId="7E61DCDF">
      <w:pPr>
        <w:pStyle w:val="3"/>
        <w:keepNext w:val="0"/>
        <w:keepLines w:val="0"/>
        <w:pageBreakBefore w:val="0"/>
        <w:widowControl w:val="0"/>
        <w:kinsoku/>
        <w:wordWrap/>
        <w:overflowPunct w:val="0"/>
        <w:topLinePunct/>
        <w:autoSpaceDE/>
        <w:autoSpaceDN/>
        <w:bidi w:val="0"/>
        <w:adjustRightInd w:val="0"/>
        <w:snapToGrid w:val="0"/>
        <w:spacing w:line="590" w:lineRule="exact"/>
        <w:ind w:left="0" w:right="0" w:firstLine="640" w:firstLineChars="200"/>
        <w:jc w:val="both"/>
        <w:textAlignment w:val="baseline"/>
        <w:outlineLvl w:val="2"/>
        <w:rPr>
          <w:rFonts w:hint="eastAsia" w:ascii="方正黑体_GBK" w:hAnsi="方正黑体_GBK" w:eastAsia="方正黑体_GBK" w:cs="方正黑体_GBK"/>
          <w:b w:val="0"/>
          <w:bCs w:val="0"/>
          <w:spacing w:val="0"/>
          <w:sz w:val="32"/>
          <w:szCs w:val="32"/>
        </w:rPr>
      </w:pPr>
      <w:r>
        <w:rPr>
          <w:rFonts w:hint="eastAsia" w:ascii="方正黑体_GBK" w:hAnsi="方正黑体_GBK" w:eastAsia="方正黑体_GBK" w:cs="方正黑体_GBK"/>
          <w:b w:val="0"/>
          <w:bCs w:val="0"/>
          <w:spacing w:val="0"/>
          <w:sz w:val="32"/>
          <w:szCs w:val="32"/>
        </w:rPr>
        <w:t>三、资产管理情况</w:t>
      </w:r>
    </w:p>
    <w:p w14:paraId="5B2E3ADA">
      <w:pPr>
        <w:keepNext w:val="0"/>
        <w:keepLines w:val="0"/>
        <w:pageBreakBefore w:val="0"/>
        <w:widowControl w:val="0"/>
        <w:kinsoku/>
        <w:wordWrap/>
        <w:overflowPunct/>
        <w:topLinePunct/>
        <w:autoSpaceDE/>
        <w:autoSpaceDN/>
        <w:bidi w:val="0"/>
        <w:adjustRightInd w:val="0"/>
        <w:snapToGrid w:val="0"/>
        <w:spacing w:line="360" w:lineRule="auto"/>
        <w:ind w:left="0" w:leftChars="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加强固定资产的管理，确保本单位资产的安全和完整，充分发挥其使用价值，根据《新邵县行政事业性国有资产监督管理办法》（新党办发〔2021〕5号）、《新邵县行政事业性国有资产配置、处置操作规程》（新财资〔2021〕54号），结合本单位实际，制定了《颜岭水库固定资产管理制度》，固定资产的管理和使用必须贯彻“统一领导，分级管理，责任到人，合理调配，加强监督”的原则，做到既保证工作需要，又防止积压和浪费，努力提高固定资产的使用效率在新邵县颜岭水库管理所财务管理方案中明确了单位资产采购、配置及报废等程序，在资产管理中严格按照程序执行。2024年我单位资产保存完整、配置合理，当年未发生资产处置情况，当年购置的资产及时进行了账务处理，并在行政事业单位资产系统中进行了录入，做到了账实一致。</w:t>
      </w:r>
    </w:p>
    <w:p w14:paraId="00D7B356">
      <w:pPr>
        <w:pStyle w:val="3"/>
        <w:keepNext w:val="0"/>
        <w:keepLines w:val="0"/>
        <w:pageBreakBefore w:val="0"/>
        <w:widowControl w:val="0"/>
        <w:kinsoku/>
        <w:wordWrap/>
        <w:overflowPunct w:val="0"/>
        <w:topLinePunct/>
        <w:autoSpaceDE/>
        <w:autoSpaceDN/>
        <w:bidi w:val="0"/>
        <w:adjustRightInd w:val="0"/>
        <w:snapToGrid w:val="0"/>
        <w:spacing w:line="590" w:lineRule="exact"/>
        <w:ind w:left="0" w:right="0" w:firstLine="640" w:firstLineChars="200"/>
        <w:jc w:val="both"/>
        <w:textAlignment w:val="baseline"/>
        <w:outlineLvl w:val="2"/>
        <w:rPr>
          <w:rFonts w:hint="eastAsia" w:ascii="方正黑体_GBK" w:hAnsi="方正黑体_GBK" w:eastAsia="方正黑体_GBK" w:cs="方正黑体_GBK"/>
          <w:b w:val="0"/>
          <w:bCs w:val="0"/>
          <w:spacing w:val="0"/>
          <w:sz w:val="32"/>
          <w:szCs w:val="32"/>
        </w:rPr>
      </w:pPr>
      <w:r>
        <w:rPr>
          <w:rFonts w:hint="eastAsia" w:ascii="方正黑体_GBK" w:hAnsi="方正黑体_GBK" w:eastAsia="方正黑体_GBK" w:cs="方正黑体_GBK"/>
          <w:b w:val="0"/>
          <w:bCs w:val="0"/>
          <w:spacing w:val="0"/>
          <w:sz w:val="32"/>
          <w:szCs w:val="32"/>
        </w:rPr>
        <w:t>四、政府性基金预算支出情况</w:t>
      </w:r>
    </w:p>
    <w:p w14:paraId="69E1BDFD">
      <w:pPr>
        <w:pStyle w:val="3"/>
        <w:keepNext w:val="0"/>
        <w:keepLines w:val="0"/>
        <w:pageBreakBefore w:val="0"/>
        <w:widowControl w:val="0"/>
        <w:kinsoku/>
        <w:wordWrap/>
        <w:overflowPunct w:val="0"/>
        <w:topLinePunct/>
        <w:autoSpaceDE/>
        <w:autoSpaceDN/>
        <w:bidi w:val="0"/>
        <w:adjustRightInd w:val="0"/>
        <w:snapToGrid w:val="0"/>
        <w:spacing w:line="590" w:lineRule="exact"/>
        <w:ind w:left="0" w:right="0" w:firstLine="1280" w:firstLineChars="400"/>
        <w:jc w:val="both"/>
        <w:textAlignment w:val="baseline"/>
        <w:outlineLvl w:val="2"/>
        <w:rPr>
          <w:rFonts w:hint="eastAsia" w:ascii="方正黑体_GBK" w:hAnsi="方正黑体_GBK" w:eastAsia="方正黑体_GBK" w:cs="方正黑体_GBK"/>
          <w:b w:val="0"/>
          <w:bCs w:val="0"/>
          <w:spacing w:val="0"/>
          <w:sz w:val="32"/>
          <w:szCs w:val="32"/>
          <w:lang w:eastAsia="zh-CN"/>
        </w:rPr>
      </w:pPr>
      <w:r>
        <w:rPr>
          <w:rFonts w:hint="eastAsia" w:ascii="方正黑体_GBK" w:hAnsi="方正黑体_GBK" w:eastAsia="方正黑体_GBK" w:cs="方正黑体_GBK"/>
          <w:b w:val="0"/>
          <w:bCs w:val="0"/>
          <w:spacing w:val="0"/>
          <w:sz w:val="32"/>
          <w:szCs w:val="32"/>
          <w:lang w:eastAsia="zh-CN"/>
        </w:rPr>
        <w:t>无</w:t>
      </w:r>
    </w:p>
    <w:p w14:paraId="2369D2A8">
      <w:pPr>
        <w:pStyle w:val="3"/>
        <w:keepNext w:val="0"/>
        <w:keepLines w:val="0"/>
        <w:pageBreakBefore w:val="0"/>
        <w:widowControl w:val="0"/>
        <w:numPr>
          <w:ilvl w:val="0"/>
          <w:numId w:val="1"/>
        </w:numPr>
        <w:kinsoku/>
        <w:wordWrap/>
        <w:overflowPunct w:val="0"/>
        <w:topLinePunct/>
        <w:autoSpaceDE/>
        <w:autoSpaceDN/>
        <w:bidi w:val="0"/>
        <w:adjustRightInd w:val="0"/>
        <w:snapToGrid w:val="0"/>
        <w:spacing w:line="590" w:lineRule="exact"/>
        <w:ind w:left="-10" w:leftChars="0" w:right="0" w:firstLine="640" w:firstLineChars="0"/>
        <w:jc w:val="both"/>
        <w:textAlignment w:val="baseline"/>
        <w:outlineLvl w:val="2"/>
        <w:rPr>
          <w:rFonts w:hint="eastAsia" w:ascii="方正黑体_GBK" w:hAnsi="方正黑体_GBK" w:eastAsia="方正黑体_GBK" w:cs="方正黑体_GBK"/>
          <w:b w:val="0"/>
          <w:bCs w:val="0"/>
          <w:spacing w:val="0"/>
          <w:sz w:val="32"/>
          <w:szCs w:val="32"/>
        </w:rPr>
      </w:pPr>
      <w:r>
        <w:rPr>
          <w:rFonts w:hint="eastAsia" w:ascii="方正黑体_GBK" w:hAnsi="方正黑体_GBK" w:eastAsia="方正黑体_GBK" w:cs="方正黑体_GBK"/>
          <w:b w:val="0"/>
          <w:bCs w:val="0"/>
          <w:spacing w:val="0"/>
          <w:sz w:val="32"/>
          <w:szCs w:val="32"/>
        </w:rPr>
        <w:t>国有资本经营预算支出情况</w:t>
      </w:r>
    </w:p>
    <w:p w14:paraId="077094D8">
      <w:pPr>
        <w:pStyle w:val="3"/>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Chars="200" w:right="0" w:rightChars="0" w:firstLine="640" w:firstLineChars="200"/>
        <w:jc w:val="both"/>
        <w:textAlignment w:val="baseline"/>
        <w:outlineLvl w:val="2"/>
        <w:rPr>
          <w:rFonts w:hint="default" w:ascii="方正黑体_GBK" w:hAnsi="方正黑体_GBK" w:eastAsia="方正黑体_GBK" w:cs="方正黑体_GBK"/>
          <w:b w:val="0"/>
          <w:bCs w:val="0"/>
          <w:spacing w:val="0"/>
          <w:sz w:val="32"/>
          <w:szCs w:val="32"/>
          <w:lang w:val="en-US" w:eastAsia="zh-CN"/>
        </w:rPr>
      </w:pPr>
      <w:r>
        <w:rPr>
          <w:rFonts w:hint="eastAsia" w:ascii="方正黑体_GBK" w:hAnsi="方正黑体_GBK" w:eastAsia="方正黑体_GBK" w:cs="方正黑体_GBK"/>
          <w:b w:val="0"/>
          <w:bCs w:val="0"/>
          <w:spacing w:val="0"/>
          <w:sz w:val="32"/>
          <w:szCs w:val="32"/>
          <w:lang w:val="en-US" w:eastAsia="zh-CN"/>
        </w:rPr>
        <w:t xml:space="preserve"> 无</w:t>
      </w:r>
    </w:p>
    <w:p w14:paraId="2AC32BEB">
      <w:pPr>
        <w:pStyle w:val="3"/>
        <w:keepNext w:val="0"/>
        <w:keepLines w:val="0"/>
        <w:pageBreakBefore w:val="0"/>
        <w:widowControl w:val="0"/>
        <w:numPr>
          <w:ilvl w:val="0"/>
          <w:numId w:val="1"/>
        </w:numPr>
        <w:kinsoku/>
        <w:wordWrap/>
        <w:overflowPunct w:val="0"/>
        <w:topLinePunct/>
        <w:autoSpaceDE/>
        <w:autoSpaceDN/>
        <w:bidi w:val="0"/>
        <w:adjustRightInd w:val="0"/>
        <w:snapToGrid w:val="0"/>
        <w:spacing w:line="360" w:lineRule="auto"/>
        <w:ind w:left="-10" w:leftChars="0" w:right="0" w:firstLine="640" w:firstLineChars="0"/>
        <w:jc w:val="both"/>
        <w:textAlignment w:val="baseline"/>
        <w:outlineLvl w:val="2"/>
        <w:rPr>
          <w:rFonts w:hint="eastAsia" w:ascii="方正黑体_GBK" w:hAnsi="方正黑体_GBK" w:eastAsia="方正黑体_GBK" w:cs="方正黑体_GBK"/>
          <w:b w:val="0"/>
          <w:bCs w:val="0"/>
          <w:spacing w:val="0"/>
          <w:sz w:val="32"/>
          <w:szCs w:val="32"/>
        </w:rPr>
      </w:pPr>
      <w:r>
        <w:rPr>
          <w:rFonts w:hint="eastAsia" w:ascii="方正黑体_GBK" w:hAnsi="方正黑体_GBK" w:eastAsia="方正黑体_GBK" w:cs="方正黑体_GBK"/>
          <w:b w:val="0"/>
          <w:bCs w:val="0"/>
          <w:spacing w:val="0"/>
          <w:sz w:val="32"/>
          <w:szCs w:val="32"/>
        </w:rPr>
        <w:t>社会保险基金预算支出情况</w:t>
      </w:r>
    </w:p>
    <w:p w14:paraId="4598EC42">
      <w:pPr>
        <w:pStyle w:val="2"/>
        <w:keepNext w:val="0"/>
        <w:keepLines w:val="0"/>
        <w:pageBreakBefore w:val="0"/>
        <w:kinsoku/>
        <w:wordWrap/>
        <w:overflowPunct/>
        <w:topLinePunct/>
        <w:bidi w:val="0"/>
        <w:adjustRightInd w:val="0"/>
        <w:snapToGrid w:val="0"/>
        <w:spacing w:line="360" w:lineRule="auto"/>
        <w:ind w:left="149" w:leftChars="71" w:firstLine="613" w:firstLineChars="219"/>
        <w:textAlignment w:val="baseline"/>
        <w:rPr>
          <w:rFonts w:hint="eastAsia" w:ascii="方正黑体_GBK" w:hAnsi="方正黑体_GBK" w:eastAsia="方正黑体_GBK" w:cs="方正黑体_GBK"/>
          <w:b w:val="0"/>
          <w:bCs w:val="0"/>
          <w:spacing w:val="0"/>
          <w:sz w:val="28"/>
          <w:szCs w:val="28"/>
        </w:rPr>
      </w:pPr>
      <w:r>
        <w:rPr>
          <w:rFonts w:hint="eastAsia" w:ascii="仿宋" w:hAnsi="仿宋" w:eastAsia="仿宋" w:cs="仿宋"/>
          <w:sz w:val="28"/>
          <w:szCs w:val="28"/>
          <w:lang w:val="en-US" w:eastAsia="zh-CN"/>
        </w:rPr>
        <w:t>2024年度</w:t>
      </w:r>
      <w:r>
        <w:rPr>
          <w:rFonts w:hint="eastAsia" w:ascii="仿宋" w:hAnsi="仿宋" w:eastAsia="仿宋" w:cs="仿宋"/>
          <w:sz w:val="28"/>
          <w:szCs w:val="28"/>
        </w:rPr>
        <w:t>社会保险基金预算支出</w:t>
      </w:r>
      <w:r>
        <w:rPr>
          <w:rFonts w:hint="eastAsia" w:ascii="仿宋" w:hAnsi="仿宋" w:eastAsia="仿宋" w:cs="仿宋"/>
          <w:sz w:val="28"/>
          <w:szCs w:val="28"/>
          <w:lang w:val="en-US" w:eastAsia="zh-CN"/>
        </w:rPr>
        <w:t>54.48</w:t>
      </w:r>
      <w:r>
        <w:rPr>
          <w:rFonts w:hint="eastAsia" w:ascii="仿宋" w:hAnsi="仿宋" w:eastAsia="仿宋" w:cs="仿宋"/>
          <w:sz w:val="28"/>
          <w:szCs w:val="28"/>
        </w:rPr>
        <w:t>万元，其中养老保险</w:t>
      </w:r>
      <w:r>
        <w:rPr>
          <w:rFonts w:hint="eastAsia" w:ascii="仿宋" w:hAnsi="仿宋" w:eastAsia="仿宋" w:cs="仿宋"/>
          <w:sz w:val="28"/>
          <w:szCs w:val="28"/>
          <w:lang w:val="en-US" w:eastAsia="zh-CN"/>
        </w:rPr>
        <w:t>37.73</w:t>
      </w:r>
      <w:r>
        <w:rPr>
          <w:rFonts w:hint="eastAsia" w:ascii="仿宋" w:hAnsi="仿宋" w:eastAsia="仿宋" w:cs="仿宋"/>
          <w:sz w:val="28"/>
          <w:szCs w:val="28"/>
        </w:rPr>
        <w:t>万元，医疗保险</w:t>
      </w:r>
      <w:r>
        <w:rPr>
          <w:rFonts w:hint="eastAsia" w:ascii="仿宋" w:hAnsi="仿宋" w:eastAsia="仿宋" w:cs="仿宋"/>
          <w:sz w:val="28"/>
          <w:szCs w:val="28"/>
          <w:lang w:val="en-US" w:eastAsia="zh-CN"/>
        </w:rPr>
        <w:t>14.81</w:t>
      </w:r>
      <w:r>
        <w:rPr>
          <w:rFonts w:hint="eastAsia" w:ascii="仿宋" w:hAnsi="仿宋" w:eastAsia="仿宋" w:cs="仿宋"/>
          <w:sz w:val="28"/>
          <w:szCs w:val="28"/>
        </w:rPr>
        <w:t>万元，工伤和失业保险</w:t>
      </w:r>
      <w:r>
        <w:rPr>
          <w:rFonts w:hint="eastAsia" w:ascii="仿宋" w:hAnsi="仿宋" w:eastAsia="仿宋" w:cs="仿宋"/>
          <w:sz w:val="28"/>
          <w:szCs w:val="28"/>
          <w:lang w:val="en-US" w:eastAsia="zh-CN"/>
        </w:rPr>
        <w:t>1.94</w:t>
      </w:r>
      <w:r>
        <w:rPr>
          <w:rFonts w:hint="eastAsia" w:ascii="仿宋" w:hAnsi="仿宋" w:eastAsia="仿宋" w:cs="仿宋"/>
          <w:sz w:val="28"/>
          <w:szCs w:val="28"/>
        </w:rPr>
        <w:t>万元。</w:t>
      </w:r>
    </w:p>
    <w:p w14:paraId="44C7CDDD">
      <w:pPr>
        <w:pStyle w:val="3"/>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outlineLvl w:val="2"/>
        <w:rPr>
          <w:rFonts w:hint="eastAsia" w:ascii="仿宋" w:hAnsi="仿宋" w:eastAsia="仿宋" w:cs="仿宋"/>
          <w:sz w:val="28"/>
          <w:szCs w:val="28"/>
        </w:rPr>
      </w:pPr>
      <w:r>
        <w:rPr>
          <w:rFonts w:hint="eastAsia" w:ascii="方正黑体_GBK" w:hAnsi="方正黑体_GBK" w:eastAsia="方正黑体_GBK" w:cs="方正黑体_GBK"/>
          <w:b w:val="0"/>
          <w:bCs w:val="0"/>
          <w:spacing w:val="0"/>
          <w:sz w:val="32"/>
          <w:szCs w:val="32"/>
        </w:rPr>
        <w:t>七、部门整体支出主要绩效</w:t>
      </w:r>
    </w:p>
    <w:p w14:paraId="45C70450">
      <w:pPr>
        <w:pStyle w:val="8"/>
        <w:keepNext w:val="0"/>
        <w:keepLines w:val="0"/>
        <w:pageBreakBefore w:val="0"/>
        <w:kinsoku/>
        <w:wordWrap/>
        <w:overflowPunct/>
        <w:topLinePunct/>
        <w:bidi w:val="0"/>
        <w:adjustRightInd w:val="0"/>
        <w:snapToGrid w:val="0"/>
        <w:spacing w:line="360" w:lineRule="auto"/>
        <w:ind w:left="0" w:leftChars="0" w:firstLine="560"/>
        <w:jc w:val="left"/>
        <w:textAlignment w:val="baseline"/>
        <w:rPr>
          <w:rFonts w:ascii="仿宋" w:hAnsi="仿宋" w:eastAsia="仿宋" w:cs="仿宋"/>
          <w:sz w:val="28"/>
          <w:szCs w:val="28"/>
        </w:rPr>
      </w:pPr>
      <w:r>
        <w:rPr>
          <w:rFonts w:hint="eastAsia" w:ascii="仿宋" w:hAnsi="仿宋" w:eastAsia="仿宋" w:cs="仿宋"/>
          <w:sz w:val="28"/>
          <w:szCs w:val="28"/>
        </w:rPr>
        <w:t>根据年度重点和日常工作安排，各项工作如期完成，年度预算严格认真执行，社会反映良好，水利</w:t>
      </w:r>
      <w:r>
        <w:rPr>
          <w:rFonts w:hint="eastAsia" w:ascii="仿宋" w:hAnsi="仿宋" w:eastAsia="仿宋" w:cs="仿宋"/>
          <w:sz w:val="28"/>
          <w:szCs w:val="28"/>
          <w:lang w:eastAsia="zh-CN"/>
        </w:rPr>
        <w:t>服务</w:t>
      </w:r>
      <w:r>
        <w:rPr>
          <w:rFonts w:hint="eastAsia" w:ascii="仿宋" w:hAnsi="仿宋" w:eastAsia="仿宋" w:cs="仿宋"/>
          <w:sz w:val="28"/>
          <w:szCs w:val="28"/>
        </w:rPr>
        <w:t>质量明显提升，水利环境明显改善；前面通过对部门整体支出情况的概述和实际支出情况的分析，部门整体支出绩效目标管理情况评价如下：</w:t>
      </w:r>
    </w:p>
    <w:p w14:paraId="07BE74DC">
      <w:pPr>
        <w:pStyle w:val="8"/>
        <w:keepNext w:val="0"/>
        <w:keepLines w:val="0"/>
        <w:pageBreakBefore w:val="0"/>
        <w:kinsoku/>
        <w:wordWrap/>
        <w:overflowPunct/>
        <w:topLinePunct/>
        <w:bidi w:val="0"/>
        <w:adjustRightInd w:val="0"/>
        <w:snapToGrid w:val="0"/>
        <w:spacing w:line="360" w:lineRule="auto"/>
        <w:ind w:left="0" w:leftChars="0" w:firstLine="560"/>
        <w:jc w:val="left"/>
        <w:textAlignment w:val="baseline"/>
        <w:rPr>
          <w:rFonts w:ascii="仿宋" w:hAnsi="仿宋" w:eastAsia="仿宋" w:cs="仿宋"/>
          <w:b/>
          <w:bCs/>
          <w:sz w:val="28"/>
          <w:szCs w:val="28"/>
        </w:rPr>
      </w:pPr>
      <w:r>
        <w:rPr>
          <w:rFonts w:hint="eastAsia" w:ascii="仿宋" w:hAnsi="仿宋" w:eastAsia="仿宋" w:cs="仿宋"/>
          <w:b/>
          <w:bCs/>
          <w:sz w:val="28"/>
          <w:szCs w:val="28"/>
        </w:rPr>
        <w:t>（一）经济性评价</w:t>
      </w:r>
    </w:p>
    <w:p w14:paraId="5758222E">
      <w:pPr>
        <w:pStyle w:val="8"/>
        <w:keepNext w:val="0"/>
        <w:keepLines w:val="0"/>
        <w:pageBreakBefore w:val="0"/>
        <w:kinsoku/>
        <w:wordWrap/>
        <w:overflowPunct/>
        <w:topLinePunct/>
        <w:bidi w:val="0"/>
        <w:adjustRightInd w:val="0"/>
        <w:snapToGrid w:val="0"/>
        <w:spacing w:line="360" w:lineRule="auto"/>
        <w:ind w:left="0" w:leftChars="0" w:firstLine="560"/>
        <w:jc w:val="left"/>
        <w:textAlignment w:val="baseline"/>
        <w:rPr>
          <w:rFonts w:ascii="仿宋" w:hAnsi="仿宋" w:eastAsia="仿宋" w:cs="仿宋"/>
          <w:sz w:val="28"/>
          <w:szCs w:val="28"/>
        </w:rPr>
      </w:pPr>
      <w:r>
        <w:rPr>
          <w:rFonts w:hint="eastAsia" w:ascii="仿宋" w:hAnsi="仿宋" w:eastAsia="仿宋" w:cs="仿宋"/>
          <w:sz w:val="28"/>
          <w:szCs w:val="28"/>
        </w:rPr>
        <w:t>1、我单位202</w:t>
      </w:r>
      <w:r>
        <w:rPr>
          <w:rFonts w:hint="eastAsia" w:ascii="仿宋" w:hAnsi="仿宋" w:eastAsia="仿宋" w:cs="仿宋"/>
          <w:sz w:val="28"/>
          <w:szCs w:val="28"/>
          <w:lang w:val="en-US" w:eastAsia="zh-CN"/>
        </w:rPr>
        <w:t>4</w:t>
      </w:r>
      <w:r>
        <w:rPr>
          <w:rFonts w:hint="eastAsia" w:ascii="仿宋" w:hAnsi="仿宋" w:eastAsia="仿宋" w:cs="仿宋"/>
          <w:sz w:val="28"/>
          <w:szCs w:val="28"/>
        </w:rPr>
        <w:t>年预算及整体支出绩效目标符合国家法律法规、国民经济和社会发展总体规划，符合部门“三定”方案确定的职责，符合部门制定的中长期实施规划。</w:t>
      </w:r>
    </w:p>
    <w:p w14:paraId="5ED35F3B">
      <w:pPr>
        <w:pStyle w:val="8"/>
        <w:keepNext w:val="0"/>
        <w:keepLines w:val="0"/>
        <w:pageBreakBefore w:val="0"/>
        <w:kinsoku/>
        <w:wordWrap/>
        <w:overflowPunct/>
        <w:topLinePunct/>
        <w:bidi w:val="0"/>
        <w:adjustRightInd w:val="0"/>
        <w:snapToGrid w:val="0"/>
        <w:spacing w:line="360" w:lineRule="auto"/>
        <w:ind w:left="0" w:leftChars="0" w:firstLine="560"/>
        <w:jc w:val="left"/>
        <w:textAlignment w:val="baseline"/>
        <w:rPr>
          <w:rFonts w:ascii="仿宋" w:hAnsi="仿宋" w:eastAsia="仿宋" w:cs="仿宋"/>
          <w:sz w:val="28"/>
          <w:szCs w:val="28"/>
        </w:rPr>
      </w:pPr>
      <w:r>
        <w:rPr>
          <w:rFonts w:hint="eastAsia" w:ascii="仿宋" w:hAnsi="仿宋" w:eastAsia="仿宋" w:cs="仿宋"/>
          <w:sz w:val="28"/>
          <w:szCs w:val="28"/>
        </w:rPr>
        <w:t>2、我单位在部门预算及整体支出绩效指标设置时，根据部门工作职能和发展规划，结合年度工作计划，充分考虑了部门整体支出绩效指标的重要性和综合性，绩效指标设定清晰、细化、可衡量。</w:t>
      </w:r>
    </w:p>
    <w:p w14:paraId="204035E6">
      <w:pPr>
        <w:keepNext w:val="0"/>
        <w:keepLines w:val="0"/>
        <w:pageBreakBefore w:val="0"/>
        <w:kinsoku/>
        <w:wordWrap/>
        <w:overflowPunct/>
        <w:topLinePunct/>
        <w:bidi w:val="0"/>
        <w:adjustRightInd w:val="0"/>
        <w:snapToGrid w:val="0"/>
        <w:spacing w:line="360" w:lineRule="auto"/>
        <w:ind w:firstLine="560" w:firstLineChars="200"/>
        <w:textAlignment w:val="baseline"/>
        <w:rPr>
          <w:rFonts w:ascii="仿宋" w:hAnsi="仿宋" w:eastAsia="仿宋" w:cs="仿宋"/>
          <w:sz w:val="28"/>
          <w:szCs w:val="28"/>
        </w:rPr>
      </w:pPr>
      <w:r>
        <w:rPr>
          <w:rFonts w:hint="eastAsia" w:ascii="仿宋" w:hAnsi="仿宋" w:eastAsia="仿宋" w:cs="仿宋"/>
          <w:sz w:val="28"/>
          <w:szCs w:val="28"/>
        </w:rPr>
        <w:t>3、我单位202</w:t>
      </w:r>
      <w:r>
        <w:rPr>
          <w:rFonts w:hint="eastAsia" w:ascii="仿宋" w:hAnsi="仿宋" w:eastAsia="仿宋" w:cs="仿宋"/>
          <w:sz w:val="28"/>
          <w:szCs w:val="28"/>
          <w:lang w:val="en-US" w:eastAsia="zh-CN"/>
        </w:rPr>
        <w:t>4</w:t>
      </w:r>
      <w:r>
        <w:rPr>
          <w:rFonts w:hint="eastAsia" w:ascii="仿宋" w:hAnsi="仿宋" w:eastAsia="仿宋" w:cs="仿宋"/>
          <w:sz w:val="28"/>
          <w:szCs w:val="28"/>
        </w:rPr>
        <w:t>年编制人数共3</w:t>
      </w:r>
      <w:r>
        <w:rPr>
          <w:rFonts w:hint="eastAsia" w:ascii="仿宋" w:hAnsi="仿宋" w:eastAsia="仿宋" w:cs="仿宋"/>
          <w:sz w:val="28"/>
          <w:szCs w:val="28"/>
          <w:lang w:val="en-US" w:eastAsia="zh-CN"/>
        </w:rPr>
        <w:t>0</w:t>
      </w:r>
      <w:r>
        <w:rPr>
          <w:rFonts w:hint="eastAsia" w:ascii="仿宋" w:hAnsi="仿宋" w:eastAsia="仿宋" w:cs="仿宋"/>
          <w:sz w:val="28"/>
          <w:szCs w:val="28"/>
        </w:rPr>
        <w:t>人。实际人数</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rPr>
        <w:t>人（其中，全额</w:t>
      </w:r>
      <w:r>
        <w:rPr>
          <w:rFonts w:hint="eastAsia" w:ascii="仿宋" w:hAnsi="仿宋" w:eastAsia="仿宋" w:cs="仿宋"/>
          <w:sz w:val="28"/>
          <w:szCs w:val="28"/>
          <w:lang w:val="en-US" w:eastAsia="zh-CN"/>
        </w:rPr>
        <w:t>16</w:t>
      </w:r>
      <w:r>
        <w:rPr>
          <w:rFonts w:hint="eastAsia" w:ascii="仿宋" w:hAnsi="仿宋" w:eastAsia="仿宋" w:cs="仿宋"/>
          <w:sz w:val="28"/>
          <w:szCs w:val="28"/>
        </w:rPr>
        <w:t>人，差额</w:t>
      </w:r>
      <w:r>
        <w:rPr>
          <w:rFonts w:hint="eastAsia" w:ascii="仿宋" w:hAnsi="仿宋" w:eastAsia="仿宋" w:cs="仿宋"/>
          <w:sz w:val="28"/>
          <w:szCs w:val="28"/>
          <w:lang w:val="en-US" w:eastAsia="zh-CN"/>
        </w:rPr>
        <w:t>5</w:t>
      </w:r>
      <w:r>
        <w:rPr>
          <w:rFonts w:hint="eastAsia" w:ascii="仿宋" w:hAnsi="仿宋" w:eastAsia="仿宋" w:cs="仿宋"/>
          <w:sz w:val="28"/>
          <w:szCs w:val="28"/>
        </w:rPr>
        <w:t>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自收自支1人</w:t>
      </w:r>
      <w:r>
        <w:rPr>
          <w:rFonts w:hint="eastAsia" w:ascii="仿宋" w:hAnsi="仿宋" w:eastAsia="仿宋" w:cs="仿宋"/>
          <w:sz w:val="28"/>
          <w:szCs w:val="28"/>
        </w:rPr>
        <w:t>），退休</w:t>
      </w:r>
      <w:r>
        <w:rPr>
          <w:rFonts w:hint="eastAsia" w:ascii="仿宋" w:hAnsi="仿宋" w:eastAsia="仿宋" w:cs="仿宋"/>
          <w:sz w:val="28"/>
          <w:szCs w:val="28"/>
          <w:lang w:val="en-US" w:eastAsia="zh-CN"/>
        </w:rPr>
        <w:t>35</w:t>
      </w:r>
      <w:r>
        <w:rPr>
          <w:rFonts w:hint="eastAsia" w:ascii="仿宋" w:hAnsi="仿宋" w:eastAsia="仿宋" w:cs="仿宋"/>
          <w:sz w:val="28"/>
          <w:szCs w:val="28"/>
        </w:rPr>
        <w:t>人。</w:t>
      </w:r>
    </w:p>
    <w:p w14:paraId="6766F7C8">
      <w:pPr>
        <w:pStyle w:val="8"/>
        <w:keepNext w:val="0"/>
        <w:keepLines w:val="0"/>
        <w:pageBreakBefore w:val="0"/>
        <w:kinsoku/>
        <w:wordWrap/>
        <w:overflowPunct/>
        <w:topLinePunct/>
        <w:bidi w:val="0"/>
        <w:adjustRightInd w:val="0"/>
        <w:snapToGrid w:val="0"/>
        <w:spacing w:line="360" w:lineRule="auto"/>
        <w:ind w:left="0" w:leftChars="0" w:firstLine="560"/>
        <w:jc w:val="left"/>
        <w:textAlignment w:val="baseline"/>
        <w:rPr>
          <w:rFonts w:ascii="仿宋" w:hAnsi="仿宋" w:eastAsia="仿宋" w:cs="仿宋"/>
          <w:sz w:val="28"/>
          <w:szCs w:val="28"/>
        </w:rPr>
      </w:pPr>
      <w:r>
        <w:rPr>
          <w:rFonts w:hint="eastAsia" w:ascii="仿宋" w:hAnsi="仿宋" w:eastAsia="仿宋" w:cs="仿宋"/>
          <w:sz w:val="28"/>
          <w:szCs w:val="28"/>
        </w:rPr>
        <w:t>4、我单位年初批复部门预算</w:t>
      </w:r>
      <w:r>
        <w:rPr>
          <w:rFonts w:hint="eastAsia" w:ascii="仿宋" w:hAnsi="仿宋" w:eastAsia="仿宋" w:cs="仿宋"/>
          <w:sz w:val="28"/>
          <w:szCs w:val="28"/>
          <w:lang w:val="en-US" w:eastAsia="zh-CN"/>
        </w:rPr>
        <w:t>287.57</w:t>
      </w:r>
      <w:r>
        <w:rPr>
          <w:rFonts w:hint="eastAsia" w:ascii="仿宋" w:hAnsi="仿宋" w:eastAsia="仿宋" w:cs="仿宋"/>
          <w:sz w:val="28"/>
          <w:szCs w:val="28"/>
        </w:rPr>
        <w:t>万元，实际执行（年底决算）</w:t>
      </w:r>
      <w:r>
        <w:rPr>
          <w:rFonts w:hint="eastAsia" w:ascii="仿宋" w:hAnsi="仿宋" w:eastAsia="仿宋" w:cs="仿宋"/>
          <w:sz w:val="28"/>
          <w:szCs w:val="28"/>
          <w:lang w:val="en-US" w:eastAsia="zh-CN"/>
        </w:rPr>
        <w:t>718.59</w:t>
      </w:r>
      <w:r>
        <w:rPr>
          <w:rFonts w:hint="eastAsia" w:ascii="仿宋" w:hAnsi="仿宋" w:eastAsia="仿宋" w:cs="仿宋"/>
          <w:sz w:val="28"/>
          <w:szCs w:val="28"/>
        </w:rPr>
        <w:t>万元，</w:t>
      </w:r>
      <w:r>
        <w:rPr>
          <w:rFonts w:hint="eastAsia" w:ascii="仿宋" w:hAnsi="仿宋" w:eastAsia="仿宋" w:cs="仿宋"/>
          <w:sz w:val="28"/>
          <w:szCs w:val="28"/>
          <w:lang w:val="en-US" w:eastAsia="zh-CN"/>
        </w:rPr>
        <w:t>上级安排项目资金312.85万元未列入年初预算，</w:t>
      </w:r>
      <w:r>
        <w:rPr>
          <w:rFonts w:hint="eastAsia" w:ascii="仿宋" w:hAnsi="仿宋" w:eastAsia="仿宋" w:cs="仿宋"/>
          <w:sz w:val="28"/>
          <w:szCs w:val="28"/>
        </w:rPr>
        <w:t>年初预算</w:t>
      </w:r>
      <w:r>
        <w:rPr>
          <w:rFonts w:hint="eastAsia" w:ascii="仿宋" w:hAnsi="仿宋" w:eastAsia="仿宋" w:cs="仿宋"/>
          <w:sz w:val="28"/>
          <w:szCs w:val="28"/>
          <w:lang w:val="en-US" w:eastAsia="zh-CN"/>
        </w:rPr>
        <w:t>执行率100%</w:t>
      </w:r>
      <w:r>
        <w:rPr>
          <w:rFonts w:hint="eastAsia" w:ascii="仿宋" w:hAnsi="仿宋" w:eastAsia="仿宋" w:cs="仿宋"/>
          <w:sz w:val="28"/>
          <w:szCs w:val="28"/>
        </w:rPr>
        <w:t>。</w:t>
      </w:r>
    </w:p>
    <w:p w14:paraId="03D30D60">
      <w:pPr>
        <w:pStyle w:val="8"/>
        <w:keepNext w:val="0"/>
        <w:keepLines w:val="0"/>
        <w:pageBreakBefore w:val="0"/>
        <w:kinsoku/>
        <w:wordWrap/>
        <w:overflowPunct/>
        <w:topLinePunct/>
        <w:bidi w:val="0"/>
        <w:adjustRightInd w:val="0"/>
        <w:snapToGrid w:val="0"/>
        <w:spacing w:line="360" w:lineRule="auto"/>
        <w:ind w:left="0" w:leftChars="0" w:firstLine="560"/>
        <w:jc w:val="left"/>
        <w:textAlignment w:val="baseline"/>
        <w:rPr>
          <w:rFonts w:ascii="仿宋" w:hAnsi="仿宋" w:eastAsia="仿宋" w:cs="仿宋"/>
          <w:sz w:val="28"/>
          <w:szCs w:val="28"/>
        </w:rPr>
      </w:pPr>
      <w:r>
        <w:rPr>
          <w:rFonts w:hint="eastAsia" w:ascii="仿宋" w:hAnsi="仿宋" w:eastAsia="仿宋" w:cs="仿宋"/>
          <w:sz w:val="28"/>
          <w:szCs w:val="28"/>
        </w:rPr>
        <w:t>5、我单位部门预算执行较及时，实际支付进度大体与既定支付进度一致。</w:t>
      </w:r>
    </w:p>
    <w:p w14:paraId="6D524C4E">
      <w:pPr>
        <w:pStyle w:val="8"/>
        <w:keepNext w:val="0"/>
        <w:keepLines w:val="0"/>
        <w:pageBreakBefore w:val="0"/>
        <w:widowControl/>
        <w:kinsoku/>
        <w:wordWrap/>
        <w:overflowPunct/>
        <w:topLinePunct/>
        <w:autoSpaceDE w:val="0"/>
        <w:autoSpaceDN w:val="0"/>
        <w:bidi w:val="0"/>
        <w:adjustRightInd w:val="0"/>
        <w:snapToGrid w:val="0"/>
        <w:spacing w:line="360" w:lineRule="auto"/>
        <w:ind w:left="0" w:leftChars="0" w:firstLine="560"/>
        <w:jc w:val="left"/>
        <w:textAlignment w:val="baseline"/>
        <w:rPr>
          <w:rFonts w:ascii="仿宋" w:hAnsi="仿宋" w:eastAsia="仿宋" w:cs="仿宋"/>
          <w:sz w:val="28"/>
          <w:szCs w:val="28"/>
        </w:rPr>
      </w:pPr>
      <w:r>
        <w:rPr>
          <w:rFonts w:hint="eastAsia" w:ascii="仿宋" w:hAnsi="仿宋" w:eastAsia="仿宋" w:cs="仿宋"/>
          <w:sz w:val="28"/>
          <w:szCs w:val="28"/>
        </w:rPr>
        <w:t>6、我单位本年度“三公经费”实际支出0万元，预算数为</w:t>
      </w:r>
      <w:r>
        <w:rPr>
          <w:rFonts w:hint="eastAsia" w:ascii="仿宋" w:hAnsi="仿宋" w:eastAsia="仿宋" w:cs="仿宋"/>
          <w:sz w:val="28"/>
          <w:szCs w:val="28"/>
          <w:lang w:val="en-US" w:eastAsia="zh-CN"/>
        </w:rPr>
        <w:t>0</w:t>
      </w:r>
      <w:r>
        <w:rPr>
          <w:rFonts w:hint="eastAsia" w:ascii="仿宋" w:hAnsi="仿宋" w:eastAsia="仿宋" w:cs="仿宋"/>
          <w:sz w:val="28"/>
          <w:szCs w:val="28"/>
        </w:rPr>
        <w:t>万元，三公经费控制率为100%。</w:t>
      </w:r>
    </w:p>
    <w:p w14:paraId="3A079F6F">
      <w:pPr>
        <w:pStyle w:val="8"/>
        <w:keepNext w:val="0"/>
        <w:keepLines w:val="0"/>
        <w:pageBreakBefore w:val="0"/>
        <w:widowControl/>
        <w:kinsoku/>
        <w:wordWrap/>
        <w:overflowPunct/>
        <w:topLinePunct/>
        <w:autoSpaceDE w:val="0"/>
        <w:autoSpaceDN w:val="0"/>
        <w:bidi w:val="0"/>
        <w:adjustRightInd w:val="0"/>
        <w:snapToGrid w:val="0"/>
        <w:spacing w:line="360" w:lineRule="auto"/>
        <w:ind w:left="0" w:leftChars="0" w:firstLine="560"/>
        <w:jc w:val="left"/>
        <w:textAlignment w:val="baseline"/>
        <w:rPr>
          <w:rFonts w:ascii="仿宋" w:hAnsi="仿宋" w:eastAsia="仿宋" w:cs="仿宋"/>
          <w:sz w:val="28"/>
          <w:szCs w:val="28"/>
        </w:rPr>
      </w:pPr>
      <w:r>
        <w:rPr>
          <w:rFonts w:hint="eastAsia" w:ascii="仿宋" w:hAnsi="仿宋" w:eastAsia="仿宋" w:cs="仿宋"/>
          <w:sz w:val="28"/>
          <w:szCs w:val="28"/>
        </w:rPr>
        <w:t>7、我单位严格执行了政府采购制度。</w:t>
      </w:r>
    </w:p>
    <w:p w14:paraId="2CADA72B">
      <w:pPr>
        <w:pStyle w:val="8"/>
        <w:keepNext w:val="0"/>
        <w:keepLines w:val="0"/>
        <w:pageBreakBefore w:val="0"/>
        <w:widowControl/>
        <w:kinsoku/>
        <w:wordWrap/>
        <w:overflowPunct/>
        <w:topLinePunct/>
        <w:autoSpaceDE w:val="0"/>
        <w:autoSpaceDN w:val="0"/>
        <w:bidi w:val="0"/>
        <w:adjustRightInd w:val="0"/>
        <w:snapToGrid w:val="0"/>
        <w:spacing w:line="360" w:lineRule="auto"/>
        <w:ind w:left="0" w:leftChars="0" w:firstLine="560"/>
        <w:jc w:val="left"/>
        <w:textAlignment w:val="baseline"/>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rPr>
        <w:t>二）</w:t>
      </w:r>
      <w:r>
        <w:rPr>
          <w:rFonts w:hint="eastAsia" w:ascii="仿宋" w:hAnsi="仿宋" w:eastAsia="仿宋" w:cs="仿宋"/>
          <w:b/>
          <w:bCs/>
          <w:sz w:val="28"/>
          <w:szCs w:val="28"/>
          <w:lang w:eastAsia="zh-CN"/>
        </w:rPr>
        <w:t>管理效率</w:t>
      </w:r>
    </w:p>
    <w:p w14:paraId="5DB73FFE">
      <w:pPr>
        <w:pStyle w:val="8"/>
        <w:keepNext w:val="0"/>
        <w:keepLines w:val="0"/>
        <w:pageBreakBefore w:val="0"/>
        <w:widowControl/>
        <w:kinsoku/>
        <w:wordWrap/>
        <w:overflowPunct/>
        <w:topLinePunct/>
        <w:autoSpaceDE w:val="0"/>
        <w:autoSpaceDN w:val="0"/>
        <w:bidi w:val="0"/>
        <w:adjustRightInd w:val="0"/>
        <w:snapToGrid w:val="0"/>
        <w:spacing w:line="360" w:lineRule="auto"/>
        <w:ind w:left="0" w:leftChars="0" w:firstLine="560"/>
        <w:jc w:val="left"/>
        <w:textAlignment w:val="baseline"/>
        <w:rPr>
          <w:rFonts w:ascii="仿宋" w:hAnsi="仿宋" w:eastAsia="仿宋" w:cs="仿宋"/>
          <w:sz w:val="28"/>
          <w:szCs w:val="28"/>
        </w:rPr>
      </w:pPr>
      <w:r>
        <w:rPr>
          <w:rFonts w:hint="eastAsia" w:ascii="仿宋" w:hAnsi="仿宋" w:eastAsia="仿宋" w:cs="仿宋"/>
          <w:sz w:val="28"/>
          <w:szCs w:val="28"/>
        </w:rPr>
        <w:t>1、我单位制定相关预算管理制度，财务管理、预算执行、绩效考核以及内部控制等各方面制度，各种制度规范、健全、完整、可执行。大部分管理制度都能得到有效执行。</w:t>
      </w:r>
    </w:p>
    <w:p w14:paraId="4E940EEE">
      <w:pPr>
        <w:pStyle w:val="8"/>
        <w:keepNext w:val="0"/>
        <w:keepLines w:val="0"/>
        <w:pageBreakBefore w:val="0"/>
        <w:widowControl/>
        <w:kinsoku/>
        <w:wordWrap/>
        <w:overflowPunct/>
        <w:topLinePunct/>
        <w:autoSpaceDE w:val="0"/>
        <w:autoSpaceDN w:val="0"/>
        <w:bidi w:val="0"/>
        <w:adjustRightInd w:val="0"/>
        <w:snapToGrid w:val="0"/>
        <w:spacing w:line="360" w:lineRule="auto"/>
        <w:ind w:left="0" w:leftChars="0" w:firstLine="560"/>
        <w:jc w:val="left"/>
        <w:textAlignment w:val="baseline"/>
        <w:rPr>
          <w:rFonts w:ascii="仿宋" w:hAnsi="仿宋" w:eastAsia="仿宋" w:cs="仿宋"/>
          <w:sz w:val="28"/>
          <w:szCs w:val="28"/>
        </w:rPr>
      </w:pPr>
      <w:r>
        <w:rPr>
          <w:rFonts w:hint="eastAsia" w:ascii="仿宋" w:hAnsi="仿宋" w:eastAsia="仿宋" w:cs="仿宋"/>
          <w:sz w:val="28"/>
          <w:szCs w:val="28"/>
        </w:rPr>
        <w:t>2、我单位严格执行了政府采购、国库集中支付等制度，经查阅相关凭证，部门支出有完整的审批程序，符合部门预算批复的用途，不存在截留、挤占、挪用、虚列支出等情况。</w:t>
      </w:r>
    </w:p>
    <w:p w14:paraId="68783DA9">
      <w:pPr>
        <w:pStyle w:val="8"/>
        <w:keepNext w:val="0"/>
        <w:keepLines w:val="0"/>
        <w:pageBreakBefore w:val="0"/>
        <w:widowControl/>
        <w:kinsoku/>
        <w:wordWrap/>
        <w:overflowPunct/>
        <w:topLinePunct/>
        <w:autoSpaceDE w:val="0"/>
        <w:autoSpaceDN w:val="0"/>
        <w:bidi w:val="0"/>
        <w:adjustRightInd w:val="0"/>
        <w:snapToGrid w:val="0"/>
        <w:spacing w:line="360" w:lineRule="auto"/>
        <w:ind w:left="0" w:leftChars="0" w:firstLine="560"/>
        <w:jc w:val="left"/>
        <w:textAlignment w:val="baseline"/>
        <w:rPr>
          <w:rFonts w:ascii="仿宋" w:hAnsi="仿宋" w:eastAsia="仿宋" w:cs="仿宋"/>
          <w:sz w:val="28"/>
          <w:szCs w:val="28"/>
        </w:rPr>
      </w:pPr>
      <w:r>
        <w:rPr>
          <w:rFonts w:hint="eastAsia" w:ascii="仿宋" w:hAnsi="仿宋" w:eastAsia="仿宋" w:cs="仿宋"/>
          <w:sz w:val="28"/>
          <w:szCs w:val="28"/>
        </w:rPr>
        <w:t>3、我单位按规定内容和时限公开了预决算信息。部门基础数据信息和会计资料真实、完整。</w:t>
      </w:r>
    </w:p>
    <w:p w14:paraId="05299282">
      <w:pPr>
        <w:pStyle w:val="8"/>
        <w:keepNext w:val="0"/>
        <w:keepLines w:val="0"/>
        <w:pageBreakBefore w:val="0"/>
        <w:widowControl/>
        <w:kinsoku/>
        <w:wordWrap/>
        <w:overflowPunct/>
        <w:topLinePunct/>
        <w:autoSpaceDE w:val="0"/>
        <w:autoSpaceDN w:val="0"/>
        <w:bidi w:val="0"/>
        <w:adjustRightInd w:val="0"/>
        <w:snapToGrid w:val="0"/>
        <w:spacing w:line="360" w:lineRule="auto"/>
        <w:ind w:left="0" w:leftChars="0" w:firstLine="560"/>
        <w:jc w:val="left"/>
        <w:textAlignment w:val="baseline"/>
        <w:rPr>
          <w:rFonts w:ascii="仿宋" w:hAnsi="仿宋" w:eastAsia="仿宋" w:cs="仿宋"/>
          <w:sz w:val="28"/>
          <w:szCs w:val="28"/>
        </w:rPr>
      </w:pPr>
      <w:r>
        <w:rPr>
          <w:rFonts w:hint="eastAsia" w:ascii="仿宋" w:hAnsi="仿宋" w:eastAsia="仿宋" w:cs="仿宋"/>
          <w:sz w:val="28"/>
          <w:szCs w:val="28"/>
        </w:rPr>
        <w:t>4、我单位制定有资产管理制度，并得到有效执行。各部门的资产保存完整、使用合规、配置合理、处置规范，各部门实际在用固定资产总额与所有固定资产总额的比率为100%。</w:t>
      </w: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rPr>
        <w:t>（三）部门履行职责对社会发展所带来的直接或间接影响。</w:t>
      </w:r>
    </w:p>
    <w:p w14:paraId="173DCE64">
      <w:pPr>
        <w:pStyle w:val="8"/>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560"/>
        <w:jc w:val="left"/>
        <w:textAlignment w:val="baseline"/>
        <w:rPr>
          <w:rFonts w:ascii="仿宋" w:hAnsi="仿宋" w:eastAsia="仿宋" w:cs="仿宋"/>
          <w:sz w:val="28"/>
          <w:szCs w:val="28"/>
        </w:rPr>
      </w:pPr>
      <w:r>
        <w:rPr>
          <w:rFonts w:hint="eastAsia" w:ascii="仿宋" w:hAnsi="仿宋" w:eastAsia="仿宋" w:cs="仿宋"/>
          <w:sz w:val="28"/>
          <w:szCs w:val="28"/>
        </w:rPr>
        <w:t>1、我单位202</w:t>
      </w:r>
      <w:r>
        <w:rPr>
          <w:rFonts w:hint="eastAsia" w:ascii="仿宋" w:hAnsi="仿宋" w:eastAsia="仿宋" w:cs="仿宋"/>
          <w:sz w:val="28"/>
          <w:szCs w:val="28"/>
          <w:lang w:val="en-US" w:eastAsia="zh-CN"/>
        </w:rPr>
        <w:t>4</w:t>
      </w:r>
      <w:r>
        <w:rPr>
          <w:rFonts w:hint="eastAsia" w:ascii="仿宋" w:hAnsi="仿宋" w:eastAsia="仿宋" w:cs="仿宋"/>
          <w:sz w:val="28"/>
          <w:szCs w:val="28"/>
        </w:rPr>
        <w:t>年的防汛抗旱工作立足于防大汛、防早汛，认真贯彻上级防</w:t>
      </w:r>
      <w:r>
        <w:rPr>
          <w:rFonts w:hint="eastAsia" w:ascii="仿宋" w:hAnsi="仿宋" w:eastAsia="仿宋" w:cs="仿宋"/>
          <w:sz w:val="28"/>
          <w:szCs w:val="28"/>
          <w:lang w:eastAsia="zh-CN"/>
        </w:rPr>
        <w:t>汛</w:t>
      </w:r>
      <w:r>
        <w:rPr>
          <w:rFonts w:hint="eastAsia" w:ascii="仿宋" w:hAnsi="仿宋" w:eastAsia="仿宋" w:cs="仿宋"/>
          <w:sz w:val="28"/>
          <w:szCs w:val="28"/>
        </w:rPr>
        <w:t>的安排部署，管理所高度重视，并将防汛抗旱工作作为管理所的中心工作来抓牢抓实，从</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"http://www.gwyoo.com/lunwen/sxzz/sxzh/" </w:instrText>
      </w:r>
      <w:r>
        <w:rPr>
          <w:rFonts w:hint="eastAsia" w:ascii="仿宋" w:hAnsi="仿宋" w:eastAsia="仿宋" w:cs="仿宋"/>
          <w:sz w:val="28"/>
          <w:szCs w:val="28"/>
        </w:rPr>
        <w:fldChar w:fldCharType="separate"/>
      </w:r>
      <w:r>
        <w:rPr>
          <w:rFonts w:hint="eastAsia" w:ascii="仿宋" w:hAnsi="仿宋" w:eastAsia="仿宋" w:cs="仿宋"/>
          <w:sz w:val="28"/>
          <w:szCs w:val="28"/>
        </w:rPr>
        <w:t>思想</w:t>
      </w:r>
      <w:r>
        <w:rPr>
          <w:rFonts w:hint="eastAsia" w:ascii="仿宋" w:hAnsi="仿宋" w:eastAsia="仿宋" w:cs="仿宋"/>
          <w:sz w:val="28"/>
          <w:szCs w:val="28"/>
        </w:rPr>
        <w:fldChar w:fldCharType="end"/>
      </w:r>
      <w:r>
        <w:rPr>
          <w:rFonts w:hint="eastAsia" w:ascii="仿宋" w:hAnsi="仿宋" w:eastAsia="仿宋" w:cs="仿宋"/>
          <w:sz w:val="28"/>
          <w:szCs w:val="28"/>
        </w:rPr>
        <w:t>、组织、队伍、技术、物资等方面着手，扎实有效的开展了防汛抗旱各项工作。安全饮水方面保证供水质量检测达标，做到枯水季每天调度，保障群众饮水安全稳定。</w:t>
      </w:r>
    </w:p>
    <w:p w14:paraId="710A3F80">
      <w:pPr>
        <w:pStyle w:val="8"/>
        <w:keepNext w:val="0"/>
        <w:keepLines w:val="0"/>
        <w:pageBreakBefore w:val="0"/>
        <w:widowControl/>
        <w:kinsoku/>
        <w:wordWrap/>
        <w:overflowPunct/>
        <w:topLinePunct/>
        <w:autoSpaceDE w:val="0"/>
        <w:autoSpaceDN w:val="0"/>
        <w:bidi w:val="0"/>
        <w:adjustRightInd w:val="0"/>
        <w:snapToGrid w:val="0"/>
        <w:spacing w:line="360" w:lineRule="auto"/>
        <w:ind w:left="0" w:leftChars="0" w:firstLine="560"/>
        <w:jc w:val="left"/>
        <w:textAlignment w:val="baseline"/>
        <w:rPr>
          <w:rFonts w:ascii="仿宋" w:hAnsi="仿宋" w:eastAsia="仿宋" w:cs="仿宋"/>
          <w:sz w:val="28"/>
          <w:szCs w:val="28"/>
        </w:rPr>
      </w:pPr>
      <w:r>
        <w:rPr>
          <w:rFonts w:hint="eastAsia" w:ascii="仿宋" w:hAnsi="仿宋" w:eastAsia="仿宋" w:cs="仿宋"/>
          <w:sz w:val="28"/>
          <w:szCs w:val="28"/>
        </w:rPr>
        <w:t>2、我单位在改进文风会风，加强经费及资产管理，推动水利事业发展，供水用水等社会效益方面效果良好。</w:t>
      </w:r>
    </w:p>
    <w:p w14:paraId="022B5361">
      <w:pPr>
        <w:pStyle w:val="8"/>
        <w:keepNext w:val="0"/>
        <w:keepLines w:val="0"/>
        <w:pageBreakBefore w:val="0"/>
        <w:widowControl/>
        <w:kinsoku/>
        <w:wordWrap/>
        <w:overflowPunct/>
        <w:topLinePunct/>
        <w:autoSpaceDE w:val="0"/>
        <w:autoSpaceDN w:val="0"/>
        <w:bidi w:val="0"/>
        <w:adjustRightInd w:val="0"/>
        <w:snapToGrid w:val="0"/>
        <w:spacing w:line="360" w:lineRule="auto"/>
        <w:ind w:left="0" w:leftChars="0" w:firstLine="560"/>
        <w:jc w:val="left"/>
        <w:textAlignment w:val="baseline"/>
        <w:rPr>
          <w:rFonts w:ascii="仿宋" w:hAnsi="仿宋" w:eastAsia="仿宋" w:cs="仿宋"/>
          <w:sz w:val="28"/>
          <w:szCs w:val="28"/>
        </w:rPr>
      </w:pPr>
      <w:r>
        <w:rPr>
          <w:rFonts w:hint="eastAsia" w:ascii="仿宋" w:hAnsi="仿宋" w:eastAsia="仿宋" w:cs="仿宋"/>
          <w:sz w:val="28"/>
          <w:szCs w:val="28"/>
        </w:rPr>
        <w:t>3、本年度本单位严格认真执行预算，社会反映良好，灌溉质量明显改善，服务群众力量提升。</w:t>
      </w:r>
    </w:p>
    <w:p w14:paraId="5D770298">
      <w:pPr>
        <w:pStyle w:val="8"/>
        <w:keepNext w:val="0"/>
        <w:keepLines w:val="0"/>
        <w:pageBreakBefore w:val="0"/>
        <w:widowControl/>
        <w:kinsoku/>
        <w:wordWrap/>
        <w:overflowPunct/>
        <w:topLinePunct/>
        <w:autoSpaceDE w:val="0"/>
        <w:autoSpaceDN w:val="0"/>
        <w:bidi w:val="0"/>
        <w:adjustRightInd w:val="0"/>
        <w:snapToGrid w:val="0"/>
        <w:spacing w:line="360" w:lineRule="auto"/>
        <w:ind w:left="0" w:leftChars="0" w:firstLine="560"/>
        <w:jc w:val="left"/>
        <w:textAlignment w:val="baseline"/>
        <w:rPr>
          <w:rFonts w:hint="eastAsia" w:ascii="仿宋" w:hAnsi="仿宋" w:eastAsia="仿宋" w:cs="仿宋"/>
          <w:b/>
          <w:bCs/>
          <w:sz w:val="28"/>
          <w:szCs w:val="28"/>
          <w:lang w:eastAsia="zh-CN"/>
        </w:rPr>
      </w:pPr>
      <w:r>
        <w:rPr>
          <w:rFonts w:hint="eastAsia" w:ascii="仿宋" w:hAnsi="仿宋" w:eastAsia="仿宋" w:cs="仿宋"/>
          <w:b/>
          <w:bCs/>
          <w:sz w:val="28"/>
          <w:szCs w:val="28"/>
        </w:rPr>
        <w:t>（四）可持续性</w:t>
      </w:r>
      <w:r>
        <w:rPr>
          <w:rFonts w:hint="eastAsia" w:ascii="仿宋" w:hAnsi="仿宋" w:eastAsia="仿宋" w:cs="仿宋"/>
          <w:b/>
          <w:bCs/>
          <w:sz w:val="28"/>
          <w:szCs w:val="28"/>
          <w:lang w:eastAsia="zh-CN"/>
        </w:rPr>
        <w:t>发展</w:t>
      </w:r>
    </w:p>
    <w:p w14:paraId="25B1069A">
      <w:pPr>
        <w:pStyle w:val="8"/>
        <w:keepNext w:val="0"/>
        <w:keepLines w:val="0"/>
        <w:pageBreakBefore w:val="0"/>
        <w:widowControl/>
        <w:kinsoku/>
        <w:wordWrap/>
        <w:overflowPunct/>
        <w:topLinePunct/>
        <w:autoSpaceDE w:val="0"/>
        <w:autoSpaceDN w:val="0"/>
        <w:bidi w:val="0"/>
        <w:adjustRightInd w:val="0"/>
        <w:snapToGrid w:val="0"/>
        <w:spacing w:line="360" w:lineRule="auto"/>
        <w:ind w:left="0" w:leftChars="0" w:firstLine="560"/>
        <w:jc w:val="left"/>
        <w:textAlignment w:val="baseline"/>
        <w:rPr>
          <w:rFonts w:ascii="仿宋" w:hAnsi="仿宋" w:eastAsia="仿宋" w:cs="仿宋"/>
          <w:sz w:val="28"/>
          <w:szCs w:val="28"/>
        </w:rPr>
      </w:pPr>
      <w:r>
        <w:rPr>
          <w:rFonts w:hint="eastAsia" w:ascii="仿宋" w:hAnsi="仿宋" w:eastAsia="仿宋" w:cs="仿宋"/>
          <w:sz w:val="28"/>
          <w:szCs w:val="28"/>
        </w:rPr>
        <w:t>1、我单位实施绩效目标管理后，我单位各部门的工作积极性大有提高，只要政策上有保障，我单位水利事业的健康发展、持续发展就有了政策依据。</w:t>
      </w:r>
    </w:p>
    <w:p w14:paraId="7F1A5BE6">
      <w:pPr>
        <w:pStyle w:val="8"/>
        <w:keepNext w:val="0"/>
        <w:keepLines w:val="0"/>
        <w:pageBreakBefore w:val="0"/>
        <w:widowControl/>
        <w:kinsoku/>
        <w:wordWrap/>
        <w:overflowPunct/>
        <w:topLinePunct/>
        <w:autoSpaceDE w:val="0"/>
        <w:autoSpaceDN w:val="0"/>
        <w:bidi w:val="0"/>
        <w:adjustRightInd w:val="0"/>
        <w:snapToGrid w:val="0"/>
        <w:spacing w:line="360" w:lineRule="auto"/>
        <w:ind w:left="0" w:leftChars="0" w:firstLine="560"/>
        <w:jc w:val="left"/>
        <w:textAlignment w:val="baseline"/>
        <w:rPr>
          <w:rFonts w:ascii="仿宋" w:hAnsi="仿宋" w:eastAsia="仿宋" w:cs="仿宋"/>
          <w:sz w:val="28"/>
          <w:szCs w:val="28"/>
        </w:rPr>
      </w:pPr>
      <w:r>
        <w:rPr>
          <w:rFonts w:hint="eastAsia" w:ascii="仿宋" w:hAnsi="仿宋" w:eastAsia="仿宋" w:cs="仿宋"/>
          <w:sz w:val="28"/>
          <w:szCs w:val="28"/>
        </w:rPr>
        <w:t>2、水利事业的持续发展离不开经济，经济发展为水利事业的持续发展提供了强有力的经济保障，只要资金能够及时到位，我单位就能按照年度工作计划及时完成党和政府及上级主管部门布置的各项工作。</w:t>
      </w:r>
    </w:p>
    <w:p w14:paraId="40AF53CB">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3、水利事业的持续发展最关键有是人，单位的可持续发展才有实施的主体，如果采取的实施措施详细，目标明确，方法得当，单位的可持续发展就会取得更加喜人的成绩，就能交一份党和人民都能满意的答卷。</w:t>
      </w:r>
    </w:p>
    <w:p w14:paraId="1D23FE80">
      <w:pPr>
        <w:keepNext w:val="0"/>
        <w:keepLines w:val="0"/>
        <w:pageBreakBefore w:val="0"/>
        <w:kinsoku/>
        <w:wordWrap/>
        <w:overflowPunct/>
        <w:topLinePunct/>
        <w:bidi w:val="0"/>
        <w:adjustRightInd w:val="0"/>
        <w:snapToGrid w:val="0"/>
        <w:spacing w:line="600" w:lineRule="exact"/>
        <w:ind w:left="480" w:hanging="480"/>
        <w:textAlignment w:val="baseline"/>
        <w:rPr>
          <w:rFonts w:hint="eastAsia" w:ascii="仿宋" w:hAnsi="仿宋" w:eastAsia="仿宋" w:cs="仿宋"/>
          <w:sz w:val="28"/>
          <w:szCs w:val="28"/>
        </w:rPr>
      </w:pPr>
      <w:r>
        <w:rPr>
          <w:rFonts w:hint="eastAsia" w:ascii="仿宋" w:hAnsi="仿宋" w:eastAsia="仿宋" w:cs="仿宋"/>
          <w:sz w:val="28"/>
          <w:szCs w:val="28"/>
        </w:rPr>
        <w:t>（五）社会公众满意度</w:t>
      </w:r>
    </w:p>
    <w:p w14:paraId="361C1A02">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通过灌区管理建设，农业生产条件明显改善，为农业持续发展奠定了基础。拓宽了群众收入渠道，群众满意度非常好。</w:t>
      </w:r>
    </w:p>
    <w:p w14:paraId="159E04FA">
      <w:pPr>
        <w:keepNext w:val="0"/>
        <w:keepLines w:val="0"/>
        <w:pageBreakBefore w:val="0"/>
        <w:kinsoku/>
        <w:wordWrap/>
        <w:overflowPunct/>
        <w:topLinePunct/>
        <w:bidi w:val="0"/>
        <w:adjustRightInd w:val="0"/>
        <w:snapToGrid w:val="0"/>
        <w:spacing w:line="600" w:lineRule="exact"/>
        <w:ind w:left="480" w:hanging="480"/>
        <w:textAlignment w:val="baseline"/>
        <w:rPr>
          <w:rFonts w:hint="eastAsia" w:ascii="仿宋" w:hAnsi="仿宋" w:eastAsia="仿宋" w:cs="仿宋"/>
          <w:sz w:val="28"/>
          <w:szCs w:val="28"/>
        </w:rPr>
      </w:pPr>
      <w:r>
        <w:rPr>
          <w:rFonts w:hint="eastAsia" w:ascii="仿宋" w:hAnsi="仿宋" w:eastAsia="仿宋" w:cs="仿宋"/>
          <w:sz w:val="28"/>
          <w:szCs w:val="28"/>
        </w:rPr>
        <w:t>（六）部门整体绩效得分</w:t>
      </w:r>
    </w:p>
    <w:p w14:paraId="15238EE2">
      <w:pPr>
        <w:keepNext w:val="0"/>
        <w:keepLines w:val="0"/>
        <w:pageBreakBefore w:val="0"/>
        <w:kinsoku/>
        <w:wordWrap/>
        <w:overflowPunct/>
        <w:topLinePunct/>
        <w:bidi w:val="0"/>
        <w:adjustRightInd w:val="0"/>
        <w:snapToGrid w:val="0"/>
        <w:spacing w:line="600" w:lineRule="exact"/>
        <w:ind w:left="718" w:leftChars="342" w:firstLine="204" w:firstLineChars="73"/>
        <w:textAlignment w:val="baseline"/>
        <w:rPr>
          <w:rFonts w:ascii="宋体" w:hAnsi="宋体"/>
          <w:sz w:val="32"/>
          <w:szCs w:val="32"/>
        </w:rPr>
      </w:pPr>
      <w:r>
        <w:rPr>
          <w:rFonts w:hint="eastAsia" w:ascii="仿宋" w:hAnsi="仿宋" w:eastAsia="仿宋" w:cs="仿宋"/>
          <w:sz w:val="28"/>
          <w:szCs w:val="28"/>
        </w:rPr>
        <w:t>通过自评，我所</w:t>
      </w:r>
      <w:r>
        <w:rPr>
          <w:rFonts w:hint="eastAsia" w:ascii="仿宋" w:hAnsi="仿宋" w:eastAsia="仿宋" w:cs="仿宋"/>
          <w:sz w:val="28"/>
          <w:szCs w:val="28"/>
          <w:lang w:eastAsia="zh-CN"/>
        </w:rPr>
        <w:t>2024</w:t>
      </w:r>
      <w:r>
        <w:rPr>
          <w:rFonts w:hint="eastAsia" w:ascii="仿宋" w:hAnsi="仿宋" w:eastAsia="仿宋" w:cs="仿宋"/>
          <w:sz w:val="28"/>
          <w:szCs w:val="28"/>
        </w:rPr>
        <w:t>年度部门整体绩效得分为98分。</w:t>
      </w:r>
    </w:p>
    <w:p w14:paraId="7EAB9639">
      <w:pPr>
        <w:pStyle w:val="3"/>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outlineLvl w:val="2"/>
        <w:rPr>
          <w:rFonts w:hint="eastAsia" w:ascii="方正黑体_GBK" w:hAnsi="方正黑体_GBK" w:eastAsia="方正黑体_GBK" w:cs="方正黑体_GBK"/>
          <w:b w:val="0"/>
          <w:bCs w:val="0"/>
          <w:spacing w:val="0"/>
          <w:sz w:val="32"/>
          <w:szCs w:val="32"/>
        </w:rPr>
      </w:pPr>
      <w:r>
        <w:rPr>
          <w:rFonts w:hint="eastAsia" w:ascii="方正黑体_GBK" w:hAnsi="方正黑体_GBK" w:eastAsia="方正黑体_GBK" w:cs="方正黑体_GBK"/>
          <w:b w:val="0"/>
          <w:bCs w:val="0"/>
          <w:spacing w:val="0"/>
          <w:sz w:val="32"/>
          <w:szCs w:val="32"/>
        </w:rPr>
        <w:t>八、存在的问题</w:t>
      </w:r>
    </w:p>
    <w:p w14:paraId="3582499D">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w:t>
      </w:r>
      <w:r>
        <w:rPr>
          <w:rFonts w:hint="eastAsia" w:ascii="仿宋" w:hAnsi="仿宋" w:eastAsia="仿宋" w:cs="仿宋"/>
          <w:sz w:val="28"/>
          <w:szCs w:val="28"/>
        </w:rPr>
        <w:t>预算编制方面存在的问题</w:t>
      </w:r>
    </w:p>
    <w:p w14:paraId="574DC1C1">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1、预算编制不严谨。</w:t>
      </w:r>
    </w:p>
    <w:p w14:paraId="3A2CCF13">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在预算编制的过程中，总是凭借历年的经验，缺乏对现有政策或文件精神的钻研，导致预算口径性质发生了变化没有及时调整。</w:t>
      </w:r>
    </w:p>
    <w:p w14:paraId="2EF4C2C3">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2、对预决算的重视程度不够。</w:t>
      </w:r>
    </w:p>
    <w:p w14:paraId="3521B656">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一是在预算编制中欠缺认真分析和认证，导致预算</w:t>
      </w:r>
      <w:r>
        <w:rPr>
          <w:rFonts w:hint="eastAsia" w:ascii="仿宋" w:hAnsi="仿宋" w:eastAsia="仿宋" w:cs="仿宋"/>
          <w:sz w:val="28"/>
          <w:szCs w:val="28"/>
          <w:highlight w:val="none"/>
          <w:lang w:eastAsia="zh-CN"/>
        </w:rPr>
        <w:t>不够准确全面</w:t>
      </w:r>
      <w:r>
        <w:rPr>
          <w:rFonts w:hint="eastAsia" w:ascii="仿宋" w:hAnsi="仿宋" w:eastAsia="仿宋" w:cs="仿宋"/>
          <w:sz w:val="28"/>
          <w:szCs w:val="28"/>
          <w:highlight w:val="none"/>
        </w:rPr>
        <w:t>；</w:t>
      </w:r>
      <w:r>
        <w:rPr>
          <w:rFonts w:hint="eastAsia" w:ascii="仿宋" w:hAnsi="仿宋" w:eastAsia="仿宋" w:cs="仿宋"/>
          <w:sz w:val="28"/>
          <w:szCs w:val="28"/>
        </w:rPr>
        <w:t>二是没有对财务报表及预算完成情况做完整的分析，使存在于预算管理中的问题无法及时被发现，在下一年的预算编制中这些问题依旧存在，</w:t>
      </w:r>
      <w:r>
        <w:rPr>
          <w:rFonts w:hint="eastAsia" w:ascii="仿宋" w:hAnsi="仿宋" w:eastAsia="仿宋" w:cs="仿宋"/>
          <w:sz w:val="28"/>
          <w:szCs w:val="28"/>
          <w:lang w:eastAsia="zh-CN"/>
        </w:rPr>
        <w:t>妨碍了</w:t>
      </w:r>
      <w:r>
        <w:rPr>
          <w:rFonts w:hint="eastAsia" w:ascii="仿宋" w:hAnsi="仿宋" w:eastAsia="仿宋" w:cs="仿宋"/>
          <w:sz w:val="28"/>
          <w:szCs w:val="28"/>
        </w:rPr>
        <w:t>单位工作</w:t>
      </w:r>
      <w:r>
        <w:rPr>
          <w:rFonts w:hint="eastAsia" w:ascii="仿宋" w:hAnsi="仿宋" w:eastAsia="仿宋" w:cs="仿宋"/>
          <w:sz w:val="28"/>
          <w:szCs w:val="28"/>
          <w:lang w:eastAsia="zh-CN"/>
        </w:rPr>
        <w:t>顺利地开展</w:t>
      </w:r>
      <w:r>
        <w:rPr>
          <w:rFonts w:hint="eastAsia" w:ascii="仿宋" w:hAnsi="仿宋" w:eastAsia="仿宋" w:cs="仿宋"/>
          <w:sz w:val="28"/>
          <w:szCs w:val="28"/>
        </w:rPr>
        <w:t>。</w:t>
      </w:r>
    </w:p>
    <w:p w14:paraId="5E637F63">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（二）预算执行方面存在的问题</w:t>
      </w:r>
    </w:p>
    <w:p w14:paraId="4B2D7D25">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1、预算执行约束性不很强。</w:t>
      </w:r>
    </w:p>
    <w:p w14:paraId="22FA595E">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一是预算安排</w:t>
      </w:r>
      <w:r>
        <w:rPr>
          <w:rFonts w:hint="eastAsia" w:ascii="仿宋" w:hAnsi="仿宋" w:eastAsia="仿宋" w:cs="仿宋"/>
          <w:sz w:val="28"/>
          <w:szCs w:val="28"/>
          <w:lang w:eastAsia="zh-CN"/>
        </w:rPr>
        <w:t>资金</w:t>
      </w:r>
      <w:r>
        <w:rPr>
          <w:rFonts w:hint="eastAsia" w:ascii="仿宋" w:hAnsi="仿宋" w:eastAsia="仿宋" w:cs="仿宋"/>
          <w:sz w:val="28"/>
          <w:szCs w:val="28"/>
          <w:highlight w:val="none"/>
          <w:lang w:eastAsia="zh-CN"/>
        </w:rPr>
        <w:t>不够准确全面</w:t>
      </w:r>
      <w:r>
        <w:rPr>
          <w:rFonts w:hint="eastAsia" w:ascii="仿宋" w:hAnsi="仿宋" w:eastAsia="仿宋" w:cs="仿宋"/>
          <w:sz w:val="28"/>
          <w:szCs w:val="28"/>
          <w:highlight w:val="none"/>
        </w:rPr>
        <w:t>带</w:t>
      </w:r>
      <w:r>
        <w:rPr>
          <w:rFonts w:hint="eastAsia" w:ascii="仿宋" w:hAnsi="仿宋" w:eastAsia="仿宋" w:cs="仿宋"/>
          <w:sz w:val="28"/>
          <w:szCs w:val="28"/>
        </w:rPr>
        <w:t>来预算执行方面的约束性不很强，导致经费支出不能有效对应，部分资金使用不很规范；二是部分预算指标下达较晚，存在一定滞后性，当单位出现紧急用款时，就会挪用其他项目的资金，导致单位原有部分预算与实际用途之间出现分歧。</w:t>
      </w:r>
    </w:p>
    <w:p w14:paraId="5613D8B6">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2、预算执行监督部分滞后。</w:t>
      </w:r>
    </w:p>
    <w:p w14:paraId="2D3E8267">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一是预算执行约束力不够，受政策非连续性与预算执行等不协调的因素影响，预算在执行过程中部分缺乏有效的监督机制；二是预算执行审核缺乏常态性，由于部门专业监督人员缺乏，很难做到对财政预算资金进行全覆盖跟踪监督，同时，审核监督独立性不够充分也限制了监督职责的发挥。</w:t>
      </w:r>
    </w:p>
    <w:p w14:paraId="17C7A27B">
      <w:pPr>
        <w:pStyle w:val="3"/>
        <w:keepNext w:val="0"/>
        <w:keepLines w:val="0"/>
        <w:pageBreakBefore w:val="0"/>
        <w:widowControl w:val="0"/>
        <w:kinsoku/>
        <w:wordWrap/>
        <w:overflowPunct/>
        <w:topLinePunct/>
        <w:autoSpaceDE/>
        <w:autoSpaceDN/>
        <w:bidi w:val="0"/>
        <w:adjustRightInd w:val="0"/>
        <w:snapToGrid w:val="0"/>
        <w:spacing w:line="360" w:lineRule="auto"/>
        <w:ind w:left="0" w:right="0" w:firstLine="640" w:firstLineChars="200"/>
        <w:jc w:val="both"/>
        <w:textAlignment w:val="baseline"/>
        <w:outlineLvl w:val="2"/>
        <w:rPr>
          <w:rFonts w:hint="eastAsia" w:ascii="方正黑体_GBK" w:hAnsi="方正黑体_GBK" w:eastAsia="方正黑体_GBK" w:cs="方正黑体_GBK"/>
          <w:b w:val="0"/>
          <w:bCs w:val="0"/>
          <w:spacing w:val="0"/>
          <w:sz w:val="32"/>
          <w:szCs w:val="32"/>
        </w:rPr>
      </w:pPr>
      <w:r>
        <w:rPr>
          <w:rFonts w:hint="eastAsia" w:ascii="方正黑体_GBK" w:hAnsi="方正黑体_GBK" w:eastAsia="方正黑体_GBK" w:cs="方正黑体_GBK"/>
          <w:b w:val="0"/>
          <w:bCs w:val="0"/>
          <w:spacing w:val="0"/>
          <w:sz w:val="32"/>
          <w:szCs w:val="32"/>
        </w:rPr>
        <w:t>九、改进措施和有关建议</w:t>
      </w:r>
    </w:p>
    <w:p w14:paraId="7863AEE6">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w:t>
      </w:r>
      <w:r>
        <w:rPr>
          <w:rFonts w:hint="eastAsia" w:ascii="仿宋" w:hAnsi="仿宋" w:eastAsia="仿宋" w:cs="仿宋"/>
          <w:sz w:val="28"/>
          <w:szCs w:val="28"/>
        </w:rPr>
        <w:t>预算编制方面</w:t>
      </w:r>
    </w:p>
    <w:p w14:paraId="1BE9DF68">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一是加强政策学习，组织单位人员认真学习《预算法》等相关法规、制度，提高单位领导对全面预算管理的重视程度，增强财务人员的预算意识，科学编制部门预算。</w:t>
      </w:r>
    </w:p>
    <w:p w14:paraId="52256BB4">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二是细化预算指标，提高预算科学性，预算编制前根据年度内单位可预见的工作任务，确定单位年度预算目标，细化预算指标，科学合理编制部门预算，推进预算编制科学化、准确化。</w:t>
      </w:r>
    </w:p>
    <w:p w14:paraId="5DF82379">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三是年度预算编制后，根据实际情况，定期做好预算执行分析，掌握预算执行进度，及时找出预算实际执行情况与预算目标之间存在的差距，纠正偏差，为科学、准确地编制部门预算积累经验。</w:t>
      </w:r>
    </w:p>
    <w:p w14:paraId="33D8D1DB">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四是按照预算规定的项目和用途严格财务审计，经费支出严格按预算规定项目的财务支出内容进行财务预算，在预算金额内严格控制费用的支出。</w:t>
      </w:r>
    </w:p>
    <w:p w14:paraId="3A25C2A7">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五是预算财务分析常态化，定期做好预算支出财务分析，做好部门整体支出预算评价工作。</w:t>
      </w:r>
    </w:p>
    <w:p w14:paraId="41FA6FE1">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（二）预算执行方面</w:t>
      </w:r>
    </w:p>
    <w:p w14:paraId="5B153C80">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加快预算执行进度。部门预算批复后，应结合单位实际情况进行预算执行进度分析，科学合理安排支出，降低预算支出的波动幅度。严格执行项目支出预算，积极组织项目的实施，通过加强对项目支出预算执行的管理，杜绝单位虚报项目支出或不进行充分科学论证导致项目支出无法实施的现象，提高财政资金使用绩效。 </w:t>
      </w:r>
    </w:p>
    <w:p w14:paraId="0326EF7E">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加强对预算执行过程的控制和结果的反馈。重视预算执行过程的控制，统一部门预算口径与会计核算口径，对预算收入完成情况，预算支出情况，预算调整情况进行监控，采取措施纠正执行偏差，不断完善事前计划、事中控制、事后总结反馈的管理体系。同时，单位应当加强决算管理工作，确保决算真实、完整、准确、及时，加强决算分析工作，强化决算分析结果的运用。 </w:t>
      </w:r>
    </w:p>
    <w:p w14:paraId="0176610E">
      <w:pPr>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3、加强财政预算执行的监督。应建立财政预算资金使用的跟踪回访、责任追究制度，完善预算项目的调整变更、追加、取消的审批规范制度，用规范、机制和制度全方位、全过程检查监督预算资金的运行，确保预算资金的有效使用，预防避免发生违法违纪行为，严惩预算执行中出现的违法违规问题。</w:t>
      </w:r>
    </w:p>
    <w:p w14:paraId="17E7DF69">
      <w:pPr>
        <w:pStyle w:val="2"/>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p>
    <w:p w14:paraId="7E5A4CF6">
      <w:pPr>
        <w:pStyle w:val="2"/>
        <w:keepNext w:val="0"/>
        <w:keepLines w:val="0"/>
        <w:pageBreakBefore w:val="0"/>
        <w:widowControl/>
        <w:kinsoku/>
        <w:wordWrap/>
        <w:overflowPunct/>
        <w:topLinePunct/>
        <w:autoSpaceDE w:val="0"/>
        <w:autoSpaceDN w:val="0"/>
        <w:bidi w:val="0"/>
        <w:adjustRightInd w:val="0"/>
        <w:snapToGrid w:val="0"/>
        <w:spacing w:line="360" w:lineRule="auto"/>
        <w:ind w:firstLine="560" w:firstLineChars="200"/>
        <w:jc w:val="right"/>
        <w:textAlignment w:val="baseline"/>
        <w:rPr>
          <w:rFonts w:hint="eastAsia" w:ascii="仿宋" w:hAnsi="仿宋" w:eastAsia="仿宋" w:cs="仿宋"/>
          <w:sz w:val="28"/>
          <w:szCs w:val="28"/>
        </w:rPr>
      </w:pPr>
    </w:p>
    <w:p w14:paraId="427025B9">
      <w:pPr>
        <w:keepNext w:val="0"/>
        <w:keepLines w:val="0"/>
        <w:pageBreakBefore w:val="0"/>
        <w:widowControl/>
        <w:kinsoku/>
        <w:wordWrap/>
        <w:overflowPunct/>
        <w:topLinePunct w:val="0"/>
        <w:autoSpaceDE w:val="0"/>
        <w:autoSpaceDN w:val="0"/>
        <w:bidi w:val="0"/>
        <w:adjustRightInd w:val="0"/>
        <w:snapToGrid w:val="0"/>
        <w:spacing w:line="360" w:lineRule="auto"/>
        <w:ind w:right="641"/>
        <w:jc w:val="righ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eastAsia="zh-CN"/>
        </w:rPr>
        <w:t>新邵县颜岭水库管理所</w:t>
      </w:r>
      <w:r>
        <w:rPr>
          <w:rFonts w:hint="eastAsia" w:ascii="仿宋" w:hAnsi="仿宋" w:eastAsia="仿宋" w:cs="仿宋"/>
          <w:sz w:val="28"/>
          <w:szCs w:val="28"/>
          <w:lang w:val="en-US" w:eastAsia="zh-CN"/>
        </w:rPr>
        <w:t xml:space="preserve"> </w:t>
      </w:r>
    </w:p>
    <w:p w14:paraId="48CBFB43">
      <w:pPr>
        <w:keepNext w:val="0"/>
        <w:keepLines w:val="0"/>
        <w:pageBreakBefore w:val="0"/>
        <w:widowControl/>
        <w:kinsoku/>
        <w:wordWrap/>
        <w:overflowPunct/>
        <w:topLinePunct w:val="0"/>
        <w:autoSpaceDE w:val="0"/>
        <w:autoSpaceDN w:val="0"/>
        <w:bidi w:val="0"/>
        <w:adjustRightInd w:val="0"/>
        <w:snapToGrid w:val="0"/>
        <w:spacing w:line="360" w:lineRule="auto"/>
        <w:ind w:right="641"/>
        <w:jc w:val="right"/>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2025年4月28日</w:t>
      </w:r>
    </w:p>
    <w:p w14:paraId="2D83D6FC">
      <w:pPr>
        <w:pStyle w:val="2"/>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pPr>
    </w:p>
    <w:p w14:paraId="5BD09C14">
      <w:pPr>
        <w:keepNext w:val="0"/>
        <w:keepLines w:val="0"/>
        <w:pageBreakBefore w:val="0"/>
        <w:kinsoku/>
        <w:wordWrap/>
        <w:overflowPunct/>
        <w:bidi w:val="0"/>
        <w:adjustRightInd w:val="0"/>
        <w:snapToGrid w:val="0"/>
        <w:textAlignment w:val="baseline"/>
        <w:rPr>
          <w:b/>
          <w:bCs/>
          <w:spacing w:val="0"/>
          <w:sz w:val="29"/>
          <w:szCs w:val="29"/>
        </w:rPr>
      </w:pPr>
    </w:p>
    <w:p w14:paraId="18E87D1E">
      <w:pPr>
        <w:rPr>
          <w:rFonts w:hint="eastAsia" w:ascii="仿宋_GB2312" w:hAnsi="仿宋_GB2312" w:eastAsia="仿宋_GB2312" w:cs="仿宋_GB2312"/>
          <w:spacing w:val="0"/>
          <w:sz w:val="32"/>
          <w:szCs w:val="32"/>
        </w:rPr>
      </w:pPr>
    </w:p>
    <w:sectPr>
      <w:pgSz w:w="11905" w:h="16838"/>
      <w:pgMar w:top="1587" w:right="1531" w:bottom="1587" w:left="1531" w:header="850" w:footer="113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F995B">
    <w:pPr>
      <w:pStyle w:val="5"/>
      <w:ind w:left="270" w:hanging="27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457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0500" cy="457200"/>
                      </a:xfrm>
                      <a:prstGeom prst="rect">
                        <a:avLst/>
                      </a:prstGeom>
                      <a:noFill/>
                      <a:ln>
                        <a:noFill/>
                      </a:ln>
                    </wps:spPr>
                    <wps:txbx>
                      <w:txbxContent>
                        <w:p w14:paraId="646954EC">
                          <w:pPr>
                            <w:pStyle w:val="5"/>
                            <w:ind w:left="270" w:hanging="270"/>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36pt;width:15pt;mso-position-horizontal:center;mso-position-horizontal-relative:margin;mso-wrap-style:none;z-index:251659264;mso-width-relative:page;mso-height-relative:page;" filled="f" stroked="f" coordsize="21600,21600" o:gfxdata="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DegeHPAAAAAwEAAA8AAAAAAAAAAQAgAAAAIgAAAGRycy9kb3ducmV2&#10;LnhtbFBLAQIUABQAAAAIAIdO4kDNTplOzAEAAJcDAAAOAAAAAAAAAAEAIAAAAB4BAABkcnMvZTJv&#10;RG9jLnhtbFBLBQYAAAAABgAGAFkBAABcBQAAAAA=&#10;">
              <v:fill on="f" focussize="0,0"/>
              <v:stroke on="f"/>
              <v:imagedata o:title=""/>
              <o:lock v:ext="edit" aspectratio="f"/>
              <v:textbox inset="0mm,0mm,0mm,0mm" style="mso-fit-shape-to-text:t;">
                <w:txbxContent>
                  <w:p w14:paraId="646954EC">
                    <w:pPr>
                      <w:pStyle w:val="5"/>
                      <w:ind w:left="270" w:hanging="27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3AA2">
    <w:pPr>
      <w:ind w:left="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71B1F"/>
    <w:multiLevelType w:val="singleLevel"/>
    <w:tmpl w:val="3B471B1F"/>
    <w:lvl w:ilvl="0" w:tentative="0">
      <w:start w:val="5"/>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ODJmY2IwODI5MTc1YjZmZGRhNWExOTM1NTBlODBlZjUifQ=="/>
    <w:docVar w:name="KSO_WPS_MARK_KEY" w:val="6e90041f-c6a5-430d-8729-d246a27aa8be"/>
  </w:docVars>
  <w:rsids>
    <w:rsidRoot w:val="00000000"/>
    <w:rsid w:val="01B446F6"/>
    <w:rsid w:val="03232102"/>
    <w:rsid w:val="04587470"/>
    <w:rsid w:val="05B7410F"/>
    <w:rsid w:val="062F266C"/>
    <w:rsid w:val="06604C4F"/>
    <w:rsid w:val="07852DBD"/>
    <w:rsid w:val="0A2D14EA"/>
    <w:rsid w:val="0BBC7CD2"/>
    <w:rsid w:val="0BC02C20"/>
    <w:rsid w:val="0BC47C2C"/>
    <w:rsid w:val="0C2A30CB"/>
    <w:rsid w:val="0CC7197A"/>
    <w:rsid w:val="10FD1C16"/>
    <w:rsid w:val="14467430"/>
    <w:rsid w:val="16315EBE"/>
    <w:rsid w:val="1CD2498C"/>
    <w:rsid w:val="1FAB6BA6"/>
    <w:rsid w:val="20A90EDA"/>
    <w:rsid w:val="23571659"/>
    <w:rsid w:val="260C0AE4"/>
    <w:rsid w:val="27ED67D2"/>
    <w:rsid w:val="2A2453F2"/>
    <w:rsid w:val="2A2A73E1"/>
    <w:rsid w:val="2C530A3B"/>
    <w:rsid w:val="2DFD2991"/>
    <w:rsid w:val="2F0F21C4"/>
    <w:rsid w:val="305875FE"/>
    <w:rsid w:val="313F54DB"/>
    <w:rsid w:val="32B332E4"/>
    <w:rsid w:val="36A13F83"/>
    <w:rsid w:val="37CB1876"/>
    <w:rsid w:val="3857135C"/>
    <w:rsid w:val="3BCF77BE"/>
    <w:rsid w:val="3C526CEF"/>
    <w:rsid w:val="3CFB49AC"/>
    <w:rsid w:val="3F5B4BD0"/>
    <w:rsid w:val="3F7FF1C3"/>
    <w:rsid w:val="3FE779E5"/>
    <w:rsid w:val="3FFF4945"/>
    <w:rsid w:val="42F11BFD"/>
    <w:rsid w:val="435968D0"/>
    <w:rsid w:val="43C26223"/>
    <w:rsid w:val="46DA5803"/>
    <w:rsid w:val="489E2A01"/>
    <w:rsid w:val="48FA7BF0"/>
    <w:rsid w:val="4AC14284"/>
    <w:rsid w:val="4B1B1A3F"/>
    <w:rsid w:val="4CBB5045"/>
    <w:rsid w:val="4D030667"/>
    <w:rsid w:val="4D0A4797"/>
    <w:rsid w:val="4DDA060D"/>
    <w:rsid w:val="5073660D"/>
    <w:rsid w:val="51FE13A6"/>
    <w:rsid w:val="521B1C93"/>
    <w:rsid w:val="564D3635"/>
    <w:rsid w:val="57E47A9A"/>
    <w:rsid w:val="5A34505B"/>
    <w:rsid w:val="5C245548"/>
    <w:rsid w:val="5D706898"/>
    <w:rsid w:val="5EE41016"/>
    <w:rsid w:val="5FB213EA"/>
    <w:rsid w:val="5FEB2AA9"/>
    <w:rsid w:val="60623AEF"/>
    <w:rsid w:val="609D4E6C"/>
    <w:rsid w:val="64E2007C"/>
    <w:rsid w:val="651E3C18"/>
    <w:rsid w:val="660B1655"/>
    <w:rsid w:val="67135CAA"/>
    <w:rsid w:val="693B5FAC"/>
    <w:rsid w:val="6B87197D"/>
    <w:rsid w:val="6E2673A7"/>
    <w:rsid w:val="6F3620D6"/>
    <w:rsid w:val="6F675849"/>
    <w:rsid w:val="71995F66"/>
    <w:rsid w:val="72220C00"/>
    <w:rsid w:val="732B7092"/>
    <w:rsid w:val="765E32DA"/>
    <w:rsid w:val="765F79FA"/>
    <w:rsid w:val="77AD62AF"/>
    <w:rsid w:val="77B79B2F"/>
    <w:rsid w:val="78B96EEE"/>
    <w:rsid w:val="79393E81"/>
    <w:rsid w:val="7A2465E9"/>
    <w:rsid w:val="7A5E7DBB"/>
    <w:rsid w:val="7AEFB5EB"/>
    <w:rsid w:val="7B5C1F75"/>
    <w:rsid w:val="7BC71922"/>
    <w:rsid w:val="7BF070CA"/>
    <w:rsid w:val="7DFFB7FE"/>
    <w:rsid w:val="7FCA655F"/>
    <w:rsid w:val="B1BD6CA0"/>
    <w:rsid w:val="DFF640FA"/>
    <w:rsid w:val="EFF393DB"/>
    <w:rsid w:val="FDBAEEFC"/>
    <w:rsid w:val="FE7F0986"/>
    <w:rsid w:val="FEFEA6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rFonts w:ascii="Times New Roman" w:hAnsi="Times New Roman" w:eastAsia="宋体" w:cs="Times New Roman"/>
      <w:sz w:val="18"/>
      <w:szCs w:val="18"/>
    </w:rPr>
  </w:style>
  <w:style w:type="paragraph" w:styleId="8">
    <w:name w:val="Body Text First Indent 2"/>
    <w:basedOn w:val="4"/>
    <w:qFormat/>
    <w:uiPriority w:val="0"/>
    <w:pPr>
      <w:spacing w:after="0"/>
      <w:ind w:firstLine="420" w:firstLine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2994</Words>
  <Characters>3348</Characters>
  <TotalTime>137</TotalTime>
  <ScaleCrop>false</ScaleCrop>
  <LinksUpToDate>false</LinksUpToDate>
  <CharactersWithSpaces>3450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2025-04-02T02:08:00Z</dcterms:created>
  <dc:creator>xs007</dc:creator>
  <cp:lastModifiedBy>喜欢树叶的小女孩</cp:lastModifiedBy>
  <cp:lastPrinted>2025-11-27T07:27:18Z</cp:lastPrinted>
  <dcterms:modified xsi:type="dcterms:W3CDTF">2025-11-27T07:33:38Z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2025-03-31T10:08:01Z</vt:filetime>
  </property>
  <property fmtid="{D5CDD505-2E9C-101B-9397-08002B2CF9AE}" pid="4" name="UsrData">
    <vt:lpwstr>67e9f8fc12ecda001fc7abbbwl</vt:lpwstr>
  </property>
  <property fmtid="{D5CDD505-2E9C-101B-9397-08002B2CF9AE}" pid="5" name="KSOProductBuildVer">
    <vt:lpwstr>2052-12.1.0.23542</vt:lpwstr>
  </property>
  <property fmtid="{D5CDD505-2E9C-101B-9397-08002B2CF9AE}" pid="6" name="ICV">
    <vt:lpwstr>B2B68B62ADEB4476BA2F4D2D2189A8A2_13</vt:lpwstr>
  </property>
  <property fmtid="{D5CDD505-2E9C-101B-9397-08002B2CF9AE}" pid="7" name="KSOTemplateDocerSaveRecord">
    <vt:lpwstr>eyJoZGlkIjoiMDNlM2E2NDMwODhlYTRhODk3YzAzMmRmOTFlNWQxOGEiLCJ1c2VySWQiOiIxMTI4NTYzNjc5In0=</vt:lpwstr>
  </property>
</Properties>
</file>