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72"/>
          <w:szCs w:val="72"/>
        </w:rPr>
      </w:pPr>
    </w:p>
    <w:p>
      <w:pPr>
        <w:pStyle w:val="13"/>
        <w:jc w:val="center"/>
        <w:rPr>
          <w:sz w:val="72"/>
          <w:szCs w:val="72"/>
        </w:rPr>
      </w:pPr>
    </w:p>
    <w:p>
      <w:pPr>
        <w:rPr>
          <w:rFonts w:ascii="方正小标宋_GBK" w:hAnsi="方正小标宋_GBK" w:eastAsia="方正小标宋_GBK" w:cs="方正小标宋_GBK"/>
          <w:sz w:val="72"/>
          <w:szCs w:val="72"/>
        </w:rPr>
      </w:pPr>
    </w:p>
    <w:p>
      <w:pPr>
        <w:spacing w:line="600" w:lineRule="exact"/>
        <w:rPr>
          <w:rFonts w:eastAsia="黑体"/>
          <w:kern w:val="0"/>
          <w:sz w:val="32"/>
          <w:szCs w:val="32"/>
        </w:rPr>
      </w:pPr>
      <w:bookmarkStart w:id="0" w:name="_GoBack"/>
      <w:bookmarkEnd w:id="0"/>
    </w:p>
    <w:p>
      <w:pPr>
        <w:jc w:val="center"/>
        <w:rPr>
          <w:rFonts w:ascii="Times New Roman" w:hAnsi="Times New Roman" w:eastAsia="方正小标宋_GBK" w:cs="Times New Roman"/>
          <w:b/>
          <w:bCs/>
          <w:sz w:val="48"/>
          <w:szCs w:val="48"/>
        </w:rPr>
      </w:pPr>
      <w:r>
        <w:rPr>
          <w:rFonts w:hint="eastAsia" w:ascii="Times New Roman" w:hAnsi="Times New Roman" w:eastAsia="方正小标宋_GBK" w:cs="Times New Roman"/>
          <w:b/>
          <w:bCs/>
          <w:sz w:val="48"/>
          <w:szCs w:val="48"/>
          <w:lang w:val="en-US" w:eastAsia="zh-CN"/>
        </w:rPr>
        <w:t>2024</w:t>
      </w:r>
      <w:r>
        <w:rPr>
          <w:rFonts w:ascii="Times New Roman" w:hAnsi="Times New Roman" w:eastAsia="方正小标宋_GBK" w:cs="Times New Roman"/>
          <w:b/>
          <w:bCs/>
          <w:sz w:val="48"/>
          <w:szCs w:val="48"/>
        </w:rPr>
        <w:t>年度</w:t>
      </w:r>
      <w:r>
        <w:rPr>
          <w:rFonts w:hint="eastAsia" w:ascii="Times New Roman" w:hAnsi="Times New Roman" w:eastAsia="方正小标宋_GBK" w:cs="Times New Roman"/>
          <w:b/>
          <w:bCs/>
          <w:sz w:val="48"/>
          <w:szCs w:val="48"/>
          <w:lang w:val="en-US" w:eastAsia="zh-CN"/>
        </w:rPr>
        <w:t>新邵县应急管理局</w:t>
      </w:r>
      <w:r>
        <w:rPr>
          <w:rFonts w:ascii="Times New Roman" w:hAnsi="Times New Roman" w:eastAsia="方正小标宋_GBK" w:cs="Times New Roman"/>
          <w:b/>
          <w:bCs/>
          <w:sz w:val="48"/>
          <w:szCs w:val="48"/>
        </w:rPr>
        <w:t>整体支出</w:t>
      </w:r>
    </w:p>
    <w:p>
      <w:pPr>
        <w:jc w:val="center"/>
        <w:rPr>
          <w:rFonts w:eastAsia="方正小标宋_GBK"/>
          <w:b/>
          <w:bCs/>
          <w:sz w:val="48"/>
          <w:szCs w:val="48"/>
        </w:rPr>
      </w:pPr>
      <w:r>
        <w:rPr>
          <w:rFonts w:eastAsia="方正小标宋_GBK"/>
          <w:b/>
          <w:bCs/>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360" w:firstLineChars="100"/>
        <w:jc w:val="center"/>
        <w:rPr>
          <w:rFonts w:hint="default" w:ascii="Times New Roman" w:hAnsi="Times New Roman" w:eastAsia="黑体" w:cs="Times New Roman"/>
          <w:sz w:val="36"/>
          <w:szCs w:val="36"/>
          <w:lang w:val="en-US"/>
        </w:rPr>
      </w:pPr>
      <w:r>
        <w:rPr>
          <w:rFonts w:eastAsia="黑体"/>
          <w:sz w:val="36"/>
          <w:szCs w:val="36"/>
        </w:rPr>
        <w:t>单位名称（盖章）：</w:t>
      </w:r>
      <w:r>
        <w:rPr>
          <w:rFonts w:hint="eastAsia" w:ascii="Times New Roman" w:hAnsi="Times New Roman" w:eastAsia="黑体" w:cs="Times New Roman"/>
          <w:sz w:val="36"/>
          <w:szCs w:val="36"/>
          <w:lang w:val="en-US" w:eastAsia="zh-CN"/>
        </w:rPr>
        <w:t>新邵县应急管理局</w:t>
      </w: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both"/>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（一）机构设置情况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hAnsi="Times New Roman"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新邵县应急管理局内设股室分别为办公室（加挂规划财务股牌子）、应急指挥中心（加挂救援协调和预案管理股牌子）、救灾减灾和物资保障股、防汛抗旱和火灾防治管理股、矿山（地震）管理股、工贸行业安全监督管理股、危险化学品和烟花爆竹安全监督管理股、安全生产综合协调和调查评估股、政策法规股。二级机构分别是县应急管理综合行政执法大队和应急救援中心。</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人员编制情况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新邵县应急管理局人员编制</w:t>
      </w:r>
      <w:r>
        <w:rPr>
          <w:rFonts w:hint="eastAsia" w:ascii="仿宋_GB2312" w:eastAsia="仿宋_GB2312" w:cs="仿宋_GB2312"/>
          <w:i w:val="0"/>
          <w:iCs w:val="0"/>
          <w:caps w:val="0"/>
          <w:color w:val="000000"/>
          <w:spacing w:val="0"/>
          <w:sz w:val="32"/>
          <w:szCs w:val="32"/>
          <w:shd w:val="clear" w:color="auto" w:fill="FFFFFF"/>
          <w:lang w:val="en-US" w:eastAsia="zh-CN"/>
        </w:rPr>
        <w:t>38</w:t>
      </w:r>
      <w:r>
        <w:rPr>
          <w:rFonts w:hint="eastAsia" w:ascii="仿宋_GB2312" w:eastAsia="仿宋_GB2312" w:cs="仿宋_GB2312"/>
          <w:i w:val="0"/>
          <w:iCs w:val="0"/>
          <w:caps w:val="0"/>
          <w:color w:val="000000"/>
          <w:spacing w:val="0"/>
          <w:sz w:val="32"/>
          <w:szCs w:val="32"/>
          <w:shd w:val="clear" w:color="auto" w:fill="FFFFFF"/>
          <w:lang w:eastAsia="zh-CN"/>
        </w:rPr>
        <w:t>人，截止202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eastAsia" w:ascii="仿宋_GB2312" w:eastAsia="仿宋_GB2312" w:cs="仿宋_GB2312"/>
          <w:i w:val="0"/>
          <w:iCs w:val="0"/>
          <w:caps w:val="0"/>
          <w:color w:val="000000"/>
          <w:spacing w:val="0"/>
          <w:sz w:val="32"/>
          <w:szCs w:val="32"/>
          <w:shd w:val="clear" w:color="auto" w:fill="FFFFFF"/>
          <w:lang w:eastAsia="zh-CN"/>
        </w:rPr>
        <w:t>年12月份在职人员</w:t>
      </w:r>
      <w:r>
        <w:rPr>
          <w:rFonts w:hint="eastAsia" w:ascii="仿宋_GB2312" w:eastAsia="仿宋_GB2312" w:cs="仿宋_GB2312"/>
          <w:i w:val="0"/>
          <w:iCs w:val="0"/>
          <w:caps w:val="0"/>
          <w:color w:val="000000"/>
          <w:spacing w:val="0"/>
          <w:sz w:val="32"/>
          <w:szCs w:val="32"/>
          <w:shd w:val="clear" w:color="auto" w:fill="FFFFFF"/>
          <w:lang w:val="en-US" w:eastAsia="zh-CN"/>
        </w:rPr>
        <w:t>33</w:t>
      </w:r>
      <w:r>
        <w:rPr>
          <w:rFonts w:hint="eastAsia" w:ascii="仿宋_GB2312" w:eastAsia="仿宋_GB2312" w:cs="仿宋_GB2312"/>
          <w:i w:val="0"/>
          <w:iCs w:val="0"/>
          <w:caps w:val="0"/>
          <w:color w:val="000000"/>
          <w:spacing w:val="0"/>
          <w:sz w:val="32"/>
          <w:szCs w:val="32"/>
          <w:shd w:val="clear" w:color="auto" w:fill="FFFFFF"/>
          <w:lang w:eastAsia="zh-CN"/>
        </w:rPr>
        <w:t>人</w:t>
      </w:r>
      <w:r>
        <w:rPr>
          <w:rFonts w:hint="default" w:ascii="仿宋_GB2312" w:eastAsia="仿宋_GB2312" w:cs="仿宋_GB2312"/>
          <w:i w:val="0"/>
          <w:iCs w:val="0"/>
          <w:caps w:val="0"/>
          <w:color w:val="000000"/>
          <w:spacing w:val="0"/>
          <w:sz w:val="32"/>
          <w:szCs w:val="32"/>
          <w:shd w:val="clear" w:color="auto" w:fill="FFFFFF"/>
        </w:rPr>
        <w:t>。</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主要职能职责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eastAsia="仿宋_GB2312" w:cs="仿宋_GB2312"/>
          <w:i w:val="0"/>
          <w:iCs w:val="0"/>
          <w:caps w:val="0"/>
          <w:color w:val="000000"/>
          <w:spacing w:val="0"/>
          <w:sz w:val="32"/>
          <w:szCs w:val="32"/>
          <w:shd w:val="clear" w:color="auto" w:fill="FFFFFF"/>
          <w:lang w:eastAsia="zh-CN"/>
        </w:rPr>
      </w:pPr>
      <w:r>
        <w:rPr>
          <w:rFonts w:hint="eastAsia" w:ascii="仿宋_GB2312" w:eastAsia="仿宋_GB2312" w:cs="仿宋_GB2312"/>
          <w:i w:val="0"/>
          <w:iCs w:val="0"/>
          <w:caps w:val="0"/>
          <w:color w:val="000000"/>
          <w:spacing w:val="0"/>
          <w:sz w:val="32"/>
          <w:szCs w:val="32"/>
          <w:shd w:val="clear" w:color="auto" w:fill="FFFFFF"/>
          <w:lang w:eastAsia="zh-CN"/>
        </w:rPr>
        <w:t>新邵县应急管理局贯彻落实党中央、省委、市委关于应急工作的方针政策和决策部署，全面落实县委对应急工作的部署要求，在履行职责过程中坚持和加强党对应急工作的集中统一领导，担负着全县应急管理工作，指导全县各乡镇各部门应对安全生产、综合防灾减灾救灾、防汛抗旱指挥等工作和协调指挥各类应急专业队伍参与消防、森林和草地火灾扑救、抗洪抢险、地震和地质灾害救援、生产安全事故救援等突发性事件应急救援工作，同时承担县安全生产委员会日常工作。</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绩效目标设定情况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eastAsia="zh-CN"/>
        </w:rPr>
        <w:t>新邵县应急管理局绩效目标：1.强化安全生产责任落实。继续实行“目标管理”和“一岗双责”。分析研判事故形势，召开全县安全生产工作会议，强化巡查督导和问责。2.强化安全生产隐患治理。突出春节、节后复工、全国两会、国庆等重点时期，牵头抓好安全生产领域治理工作，全面细化分解责任，严格落实信息报送机制，推进安全隐患的有序治理，同时推进县领导重点领域节前督查，切实保障了重点时段全县安全生产形势的稳定。3.加大“强监管、严执法”工作力度。一是加强对矿山、工贸行业的安全管理，推进危险化学品综合治理工作；二是持续开展烟花爆竹打非治违行动，规范市场经营秩序，有效防范安全事故的发生。4.强化安全生产专项整治。深入开展安全生产专项整治，建立工作情况报送机制，及时掌握行动进展情况，督促各部门严格按照目标要求和时间节点推进整治。5.进一步加大安全生产知识、防灾减灾知识的宣传教育。积极开展安全生产宣传教育“幸福敲门，安全到家”活动，采取多种形式宣传安全生产法律法规、安全生产知识、防灾减灾知识，切实增强全民安全生产意识，提升公众安全素质，推动基层和企业加强安全管理，落实安全生产责任。6.继续抓好防汛抗旱、森林防灭火、防灾救灾等各项应急管理工作。7.做好县委、县政府及上级主管部门交办的其他工作。</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pPr>
        <w:pStyle w:val="1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4"/>
        <w:spacing w:line="600" w:lineRule="exact"/>
        <w:ind w:firstLine="643"/>
        <w:rPr>
          <w:rFonts w:ascii="Times New Roman" w:hAnsi="Times New Roman" w:eastAsia="楷体_GB2312"/>
          <w:b w:val="0"/>
          <w:bCs/>
          <w:sz w:val="32"/>
          <w:szCs w:val="32"/>
        </w:rPr>
      </w:pPr>
      <w:r>
        <w:rPr>
          <w:rFonts w:ascii="Times New Roman" w:hAnsi="Times New Roman" w:eastAsia="楷体_GB2312"/>
          <w:b w:val="0"/>
          <w:bCs/>
          <w:sz w:val="32"/>
          <w:szCs w:val="32"/>
        </w:rPr>
        <w:t>（一）基本支出情况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pPr>
        <w:pStyle w:val="14"/>
        <w:spacing w:line="600" w:lineRule="exact"/>
        <w:ind w:firstLine="643"/>
        <w:rPr>
          <w:rFonts w:ascii="Times New Roman" w:hAnsi="Times New Roman" w:eastAsia="楷体_GB2312"/>
          <w:b w:val="0"/>
          <w:bCs/>
          <w:sz w:val="32"/>
          <w:szCs w:val="32"/>
        </w:rPr>
      </w:pPr>
      <w:r>
        <w:rPr>
          <w:rFonts w:hint="eastAsia" w:ascii="仿宋_GB2312" w:eastAsia="仿宋_GB2312" w:cs="仿宋_GB2312"/>
          <w:i w:val="0"/>
          <w:iCs w:val="0"/>
          <w:caps w:val="0"/>
          <w:color w:val="000000"/>
          <w:spacing w:val="0"/>
          <w:sz w:val="32"/>
          <w:szCs w:val="32"/>
          <w:shd w:val="clear" w:color="auto" w:fill="FFFFFF"/>
          <w:lang w:val="en-US" w:eastAsia="zh-CN"/>
        </w:rPr>
        <w:t>2024年度部门决算基本支出919.66万元，其中：人员经费771.04万元，公用经费148.62万元。</w:t>
      </w:r>
    </w:p>
    <w:p>
      <w:pPr>
        <w:pStyle w:val="14"/>
        <w:spacing w:line="600" w:lineRule="exact"/>
        <w:ind w:firstLine="643"/>
        <w:rPr>
          <w:rFonts w:ascii="Times New Roman" w:hAnsi="Times New Roman" w:eastAsia="楷体_GB2312"/>
          <w:b w:val="0"/>
          <w:bCs/>
          <w:sz w:val="32"/>
          <w:szCs w:val="32"/>
        </w:rPr>
      </w:pPr>
      <w:r>
        <w:rPr>
          <w:rFonts w:ascii="Times New Roman" w:hAnsi="Times New Roman" w:eastAsia="楷体_GB2312"/>
          <w:b w:val="0"/>
          <w:bCs/>
          <w:sz w:val="32"/>
          <w:szCs w:val="32"/>
        </w:rPr>
        <w:t>（二）项目支出情况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2024年度部门决算项目支出749.60万元。包括：新邵县救灾物资储备库、安全生产举报奖、防汛分控平台租赁、维护费、应急局国债预警指挥项目资金、森林防灭火应急物质装备、年初预算安排安全专项解决安委会办公室专项经费、应急局应急能力建设（防汛）、2023年应急管理工作经费、（新邵县管理局应急）年初预算安排乡镇应急能力建设、应急局烟花爆竹“打非治违”销毁工作经费、智慧安监平台租赁、新邵县应急管理局自然灾害应急能力提升工程预警指挥项目、非税安排业务工作经费、防灾减灾及防汛抢险演练费、应急局宣传、安全生产专项、执法工作经费、应急局2023年倒房重建救灾资金、应急局国债基层防灾项目资金、新邵县应急管理局自然灾害应急能力提升工程基层防灾项目、应急局2023年冬春临时生活救助、应急局抗旱专项经费、预算安排解决全县森林消防队伍设备采购经费（应急管理局）、森林火灾一次性补助、应急局自然灾害风险普查、应急局2023年洪涝灾害资金、2020年中央自然灾害防治体系建设补助资金（新邵县天通一号卫星通讯设备30万、新邵县备灾点救灾物资200万、新邵县备灾点防汛物资50万）（直达资金）等。</w:t>
      </w:r>
    </w:p>
    <w:p>
      <w:pPr>
        <w:pStyle w:val="14"/>
        <w:numPr>
          <w:ilvl w:val="0"/>
          <w:numId w:val="2"/>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pPr>
        <w:pStyle w:val="14"/>
        <w:numPr>
          <w:ilvl w:val="0"/>
          <w:numId w:val="2"/>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无。</w:t>
      </w:r>
    </w:p>
    <w:p>
      <w:pPr>
        <w:pStyle w:val="14"/>
        <w:numPr>
          <w:ilvl w:val="0"/>
          <w:numId w:val="2"/>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无。</w:t>
      </w:r>
    </w:p>
    <w:p>
      <w:pPr>
        <w:spacing w:line="600" w:lineRule="exact"/>
        <w:ind w:firstLine="640" w:firstLineChars="200"/>
        <w:rPr>
          <w:rFonts w:eastAsia="黑体"/>
          <w:sz w:val="32"/>
          <w:szCs w:val="32"/>
        </w:rPr>
      </w:pPr>
      <w:r>
        <w:rPr>
          <w:rFonts w:eastAsia="黑体"/>
          <w:sz w:val="32"/>
          <w:szCs w:val="32"/>
        </w:rPr>
        <w:t>六、部门整体支出绩效情况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（一）综合评价结论。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 xml:space="preserve">   2024年，在县委县政府的正确领导下，我局深入贯彻习近平总书记关于应急管理重要论述和重要指示批示精神，始终坚持人民至上、生命至上，突出防救一体、防重于救，全力防范化解各类安全风险，扎实开展安全守底和安全生产治本攻坚三年行动及防范遏制安全事故专项攻坚行动，取得了较好成效。未发生较大及以上生产安全事故和非生产经营性人员伤亡事故，安全生产形势稳定向好。低温雨雪冰冻灾害防范、防汛抗灾、森林防灭火、安全生产等工作成效明显，多次被《人民日报》《湖南日报》头条、《邵阳日报》头版头条予以报道和《中国应急管理》《湖南应急管理》《邵阳应急管理》《湖南卫视》《新湖南》《邵阳工作》等专题推介；烟花爆竹等“打非治违”扎实推进，多次作为“打非治违”典型案例予以推广。</w:t>
      </w:r>
    </w:p>
    <w:p>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评价指标分析（或综合评价情况）。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w:t>
      </w:r>
      <w:r>
        <w:rPr>
          <w:rFonts w:hint="eastAsia" w:ascii="仿宋_GB2312" w:eastAsia="仿宋_GB2312" w:cs="仿宋_GB2312"/>
          <w:i w:val="0"/>
          <w:iCs w:val="0"/>
          <w:caps w:val="0"/>
          <w:color w:val="000000"/>
          <w:spacing w:val="0"/>
          <w:sz w:val="32"/>
          <w:szCs w:val="32"/>
          <w:shd w:val="clear" w:color="auto" w:fill="FFFFFF"/>
          <w:lang w:val="en-US" w:eastAsia="zh-CN"/>
        </w:rPr>
        <w:t>在县委县政府的正确领导下</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一、突出压实责任，完善工作机制，全力守牢安全生产底线</w:t>
      </w:r>
    </w:p>
    <w:p>
      <w:pPr>
        <w:ind w:firstLine="640" w:firstLineChars="200"/>
        <w:rPr>
          <w:rFonts w:hint="eastAsia" w:ascii="仿宋_GB2312" w:hAnsi="仿宋_GB2312" w:eastAsia="仿宋_GB2312" w:cs="仿宋_GB2312"/>
          <w:color w:val="auto"/>
          <w:spacing w:val="0"/>
          <w:sz w:val="32"/>
          <w:szCs w:val="32"/>
        </w:rPr>
      </w:pPr>
      <w:r>
        <w:rPr>
          <w:rFonts w:hint="eastAsia" w:ascii="仿宋" w:hAnsi="仿宋" w:eastAsia="仿宋" w:cs="仿宋"/>
          <w:sz w:val="32"/>
          <w:szCs w:val="32"/>
          <w:lang w:val="en-US" w:eastAsia="zh-CN"/>
        </w:rPr>
        <w:t>我局牢固树立“底线思维”，强化“红线意识”，坚决推动安全生产责任不折不扣落到实处。</w:t>
      </w:r>
      <w:r>
        <w:rPr>
          <w:rFonts w:hint="eastAsia" w:ascii="仿宋" w:hAnsi="仿宋" w:eastAsia="仿宋" w:cs="仿宋"/>
          <w:b/>
          <w:bCs/>
          <w:sz w:val="32"/>
          <w:szCs w:val="32"/>
          <w:lang w:val="en-US" w:eastAsia="zh-CN"/>
        </w:rPr>
        <w:t>一是强化组织领导</w:t>
      </w:r>
      <w:r>
        <w:rPr>
          <w:rFonts w:hint="eastAsia" w:ascii="仿宋" w:hAnsi="仿宋" w:eastAsia="仿宋" w:cs="仿宋"/>
          <w:sz w:val="32"/>
          <w:szCs w:val="32"/>
          <w:lang w:val="en-US" w:eastAsia="zh-CN"/>
        </w:rPr>
        <w:t>。提请县委县政府成立了由县委书记、县长任双指挥长的社会治理重点工作攻坚行动指挥部和县长任组长的安全生产治本攻坚“三年行动”和“安全守底行动”工作专班，县委常委会、县政府常务会、县安委会全会、安全生产专业委员会、安全防范等各类会议60余次研究部署安全生产工作。</w:t>
      </w:r>
      <w:r>
        <w:rPr>
          <w:rFonts w:hint="eastAsia" w:ascii="仿宋" w:hAnsi="仿宋" w:eastAsia="仿宋" w:cs="仿宋"/>
          <w:b/>
          <w:bCs/>
          <w:sz w:val="32"/>
          <w:szCs w:val="32"/>
          <w:lang w:val="en-US" w:eastAsia="zh-CN"/>
        </w:rPr>
        <w:t>二是</w:t>
      </w:r>
      <w:r>
        <w:rPr>
          <w:rFonts w:hint="eastAsia" w:ascii="仿宋_GB2312" w:hAnsi="仿宋_GB2312" w:eastAsia="仿宋_GB2312" w:cs="仿宋_GB2312"/>
          <w:b/>
          <w:bCs/>
          <w:color w:val="auto"/>
          <w:spacing w:val="0"/>
          <w:sz w:val="32"/>
          <w:szCs w:val="32"/>
          <w:lang w:eastAsia="zh-CN"/>
        </w:rPr>
        <w:t>强化压力传导</w:t>
      </w:r>
      <w:r>
        <w:rPr>
          <w:rFonts w:hint="eastAsia" w:ascii="仿宋_GB2312" w:hAnsi="仿宋_GB2312" w:eastAsia="仿宋_GB2312" w:cs="仿宋_GB2312"/>
          <w:color w:val="auto"/>
          <w:spacing w:val="0"/>
          <w:sz w:val="32"/>
          <w:szCs w:val="32"/>
          <w:lang w:eastAsia="zh-CN"/>
        </w:rPr>
        <w:t>。及时起草</w:t>
      </w:r>
      <w:r>
        <w:rPr>
          <w:rFonts w:hint="eastAsia" w:ascii="仿宋_GB2312" w:hAnsi="仿宋_GB2312" w:eastAsia="仿宋_GB2312" w:cs="仿宋_GB2312"/>
          <w:color w:val="auto"/>
          <w:spacing w:val="0"/>
          <w:sz w:val="32"/>
          <w:szCs w:val="32"/>
        </w:rPr>
        <w:t>更新完善县委县政府领导班子2024年度安全生产和消防工作职责清单、任务清单，</w:t>
      </w:r>
      <w:r>
        <w:rPr>
          <w:rFonts w:hint="eastAsia" w:ascii="仿宋_GB2312" w:hAnsi="仿宋_GB2312" w:eastAsia="仿宋_GB2312" w:cs="仿宋_GB2312"/>
          <w:color w:val="auto"/>
          <w:spacing w:val="0"/>
          <w:sz w:val="32"/>
          <w:szCs w:val="32"/>
          <w:lang w:eastAsia="zh-CN"/>
        </w:rPr>
        <w:t>报县政府常务会研究通过，</w:t>
      </w:r>
      <w:r>
        <w:rPr>
          <w:rFonts w:hint="eastAsia" w:ascii="仿宋_GB2312" w:hAnsi="仿宋_GB2312" w:eastAsia="仿宋_GB2312" w:cs="仿宋_GB2312"/>
          <w:color w:val="auto"/>
          <w:spacing w:val="0"/>
          <w:sz w:val="32"/>
          <w:szCs w:val="32"/>
        </w:rPr>
        <w:t>进一步细化明确新行业、新业态和职能交叉等行业领域安全生产监管职责，制定“安全守底”和治本攻坚“三年行动”专班工作规则，为压实工作责任提供有力制度保障。</w:t>
      </w:r>
      <w:r>
        <w:rPr>
          <w:rFonts w:hint="eastAsia" w:ascii="仿宋_GB2312" w:hAnsi="仿宋_GB2312" w:eastAsia="仿宋_GB2312" w:cs="仿宋_GB2312"/>
          <w:b/>
          <w:bCs/>
          <w:color w:val="auto"/>
          <w:spacing w:val="0"/>
          <w:sz w:val="32"/>
          <w:szCs w:val="32"/>
          <w:lang w:val="en-US" w:eastAsia="zh-CN"/>
        </w:rPr>
        <w:t>三是</w:t>
      </w:r>
      <w:r>
        <w:rPr>
          <w:rFonts w:hint="eastAsia" w:ascii="仿宋_GB2312" w:hAnsi="仿宋_GB2312" w:eastAsia="仿宋_GB2312" w:cs="仿宋_GB2312"/>
          <w:b/>
          <w:bCs/>
          <w:color w:val="auto"/>
          <w:spacing w:val="0"/>
          <w:sz w:val="32"/>
          <w:szCs w:val="32"/>
        </w:rPr>
        <w:t>强化精准督导。</w:t>
      </w:r>
      <w:r>
        <w:rPr>
          <w:rFonts w:hint="eastAsia" w:ascii="仿宋_GB2312" w:hAnsi="仿宋_GB2312" w:eastAsia="仿宋_GB2312" w:cs="仿宋_GB2312"/>
          <w:color w:val="auto"/>
          <w:spacing w:val="0"/>
          <w:sz w:val="32"/>
          <w:szCs w:val="32"/>
        </w:rPr>
        <w:t>严格落</w:t>
      </w:r>
      <w:r>
        <w:rPr>
          <w:rFonts w:hint="eastAsia" w:ascii="仿宋_GB2312" w:hAnsi="仿宋_GB2312" w:eastAsia="仿宋_GB2312" w:cs="仿宋_GB2312"/>
          <w:color w:val="auto"/>
          <w:spacing w:val="0"/>
          <w:sz w:val="32"/>
          <w:szCs w:val="32"/>
          <w:lang w:eastAsia="zh-CN"/>
        </w:rPr>
        <w:t>实县级领导开展安全生产专项督导</w:t>
      </w:r>
      <w:r>
        <w:rPr>
          <w:rFonts w:hint="eastAsia" w:ascii="仿宋_GB2312" w:hAnsi="仿宋_GB2312" w:eastAsia="仿宋_GB2312" w:cs="仿宋_GB2312"/>
          <w:color w:val="auto"/>
          <w:spacing w:val="0"/>
          <w:sz w:val="32"/>
          <w:szCs w:val="32"/>
        </w:rPr>
        <w:t>制度，组织15个安委会成员单位“一对一”重点联系督导乡镇安全生产工作，</w:t>
      </w:r>
      <w:r>
        <w:rPr>
          <w:rFonts w:hint="eastAsia" w:ascii="仿宋_GB2312" w:hAnsi="仿宋_GB2312" w:eastAsia="仿宋_GB2312" w:cs="仿宋_GB2312"/>
          <w:color w:val="auto"/>
          <w:spacing w:val="0"/>
          <w:sz w:val="32"/>
          <w:szCs w:val="32"/>
          <w:lang w:val="en-US" w:eastAsia="zh-CN"/>
        </w:rPr>
        <w:t>有</w:t>
      </w:r>
      <w:r>
        <w:rPr>
          <w:rFonts w:hint="eastAsia" w:ascii="仿宋_GB2312" w:hAnsi="仿宋_GB2312" w:eastAsia="仿宋_GB2312" w:cs="仿宋_GB2312"/>
          <w:color w:val="auto"/>
          <w:spacing w:val="0"/>
          <w:sz w:val="32"/>
          <w:szCs w:val="32"/>
        </w:rPr>
        <w:t>针对性开展春节、国庆等重点时段安全生产专项督查，</w:t>
      </w:r>
      <w:r>
        <w:rPr>
          <w:rFonts w:hint="eastAsia" w:ascii="仿宋_GB2312" w:hAnsi="仿宋_GB2312" w:eastAsia="仿宋_GB2312" w:cs="仿宋_GB2312"/>
          <w:color w:val="auto"/>
          <w:spacing w:val="0"/>
          <w:sz w:val="32"/>
          <w:szCs w:val="32"/>
          <w:lang w:eastAsia="zh-CN"/>
        </w:rPr>
        <w:t>印</w:t>
      </w:r>
      <w:r>
        <w:rPr>
          <w:rFonts w:hint="eastAsia" w:ascii="仿宋_GB2312" w:hAnsi="仿宋_GB2312" w:eastAsia="仿宋_GB2312" w:cs="仿宋_GB2312"/>
          <w:color w:val="auto"/>
          <w:spacing w:val="0"/>
          <w:sz w:val="32"/>
          <w:szCs w:val="32"/>
        </w:rPr>
        <w:t>发县级领导工作提示函3期、安全防范提示函9份、事故风险提示3份，问题隐患交办函12份，点对点交办问题207个，确保安全生产各项工作有序推进。</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突出工作重点，加强安全防范，强化重点领域隐患治理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未雨绸缪，强化工作措施，聚焦重点行业领域，扎实开展隐患排查治理。深入开展专项整治。非煤矿山领域，建立地下矿山和尾矿库安全包保责任制度，明确各层级包保责任人、工作职责和检查次数；指导和督促新龙矿业开展隐蔽致灾因素普查治理工作，并落实顶板管理“八不作业”、机电设备安全“七化”。烟花爆竹领域，推动多部门同向发力、联防联控，持续抓好烟花爆竹安全监管，牵头组织各乡镇及相关部门开展烟花爆竹生产经营企业“双百日”攻坚专项整治行动、烟花爆竹产品质量整治行动和烟花爆竹“打非治违”专项行动等，出动执法人员1012人次，排查重点场所380个，检查烟花爆竹经营单位48家次，收缴非法烟花爆竹产品1798箱，疑似火药粉29.45公斤，响中王成品24400个，鱼雷成品2772个，鱼雷半成品8440个，警示约谈烟花爆竹批发企业5家次，行政拘留9人，刑事拘留2人。工贸领域，开展机械行业专项整治和违规违章行为专项治理，聚焦机械伤害、车辆伤害、物体打击等风险，检查企业38家，整改问题隐患90项。开展电气焊、安全出口专项检查，对18家工贸企业进行电气焊和安全出口专项检查，排查整治问题隐患42项。其他重点行业领域，协调组织各级各部门围绕交通运输、消防、建筑施工、燃气、地质灾害、电动自行车停放充电等重点行业领域，扎实推进安全生产治本攻坚“三年行动”、“安全守底”、消防安全集中除患攻坚、“三查一曝光”、防范遏制安全事故专项攻坚等专项整治行动，全面排查“九小场所”、多业态混合生产经营场所、人员密集场所等场所的突出风险隐患。共组织检查组123个，组织专项巡查组167个，责令限期整改751家，停产停业整顿68家，排查整治重大事故隐患826条。</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突出学习培训，广泛宣传教育，着力增强安全防范意识</w:t>
      </w:r>
    </w:p>
    <w:p>
      <w:pPr>
        <w:keepNext w:val="0"/>
        <w:keepLines w:val="0"/>
        <w:pageBreakBefore w:val="0"/>
        <w:kinsoku/>
        <w:topLinePunct w:val="0"/>
        <w:bidi w:val="0"/>
        <w:adjustRightInd w:val="0"/>
        <w:snapToGrid w:val="0"/>
        <w:spacing w:line="560" w:lineRule="exact"/>
        <w:ind w:firstLine="640" w:firstLineChars="200"/>
        <w:jc w:val="left"/>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围绕理论</w:t>
      </w:r>
      <w:r>
        <w:rPr>
          <w:rFonts w:hint="eastAsia" w:ascii="仿宋_GB2312" w:hAnsi="仿宋_GB2312" w:eastAsia="仿宋_GB2312" w:cs="仿宋_GB2312"/>
          <w:color w:val="auto"/>
          <w:spacing w:val="0"/>
          <w:sz w:val="32"/>
          <w:szCs w:val="32"/>
        </w:rPr>
        <w:t>学习、</w:t>
      </w:r>
      <w:r>
        <w:rPr>
          <w:rFonts w:hint="eastAsia" w:ascii="仿宋_GB2312" w:hAnsi="仿宋_GB2312" w:eastAsia="仿宋_GB2312" w:cs="仿宋_GB2312"/>
          <w:color w:val="auto"/>
          <w:spacing w:val="0"/>
          <w:sz w:val="32"/>
          <w:szCs w:val="32"/>
          <w:lang w:val="en-US" w:eastAsia="zh-CN"/>
        </w:rPr>
        <w:t>业务</w:t>
      </w:r>
      <w:r>
        <w:rPr>
          <w:rFonts w:hint="eastAsia" w:ascii="仿宋_GB2312" w:hAnsi="仿宋_GB2312" w:eastAsia="仿宋_GB2312" w:cs="仿宋_GB2312"/>
          <w:color w:val="auto"/>
          <w:spacing w:val="0"/>
          <w:sz w:val="32"/>
          <w:szCs w:val="32"/>
        </w:rPr>
        <w:t>培训、宣传</w:t>
      </w:r>
      <w:r>
        <w:rPr>
          <w:rFonts w:hint="eastAsia" w:ascii="仿宋_GB2312" w:hAnsi="仿宋_GB2312" w:eastAsia="仿宋_GB2312" w:cs="仿宋_GB2312"/>
          <w:color w:val="auto"/>
          <w:spacing w:val="0"/>
          <w:sz w:val="32"/>
          <w:szCs w:val="32"/>
          <w:lang w:val="en-US" w:eastAsia="zh-CN"/>
        </w:rPr>
        <w:t>教育多措并举</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全面提升干部、企业、群众</w:t>
      </w:r>
      <w:r>
        <w:rPr>
          <w:rFonts w:hint="eastAsia" w:ascii="仿宋_GB2312" w:hAnsi="仿宋_GB2312" w:eastAsia="仿宋_GB2312" w:cs="仿宋_GB2312"/>
          <w:color w:val="auto"/>
          <w:spacing w:val="0"/>
          <w:sz w:val="32"/>
          <w:szCs w:val="32"/>
        </w:rPr>
        <w:t>安全</w:t>
      </w:r>
      <w:r>
        <w:rPr>
          <w:rFonts w:hint="eastAsia" w:ascii="仿宋_GB2312" w:hAnsi="仿宋_GB2312" w:eastAsia="仿宋_GB2312" w:cs="仿宋_GB2312"/>
          <w:color w:val="auto"/>
          <w:spacing w:val="0"/>
          <w:sz w:val="32"/>
          <w:szCs w:val="32"/>
          <w:lang w:val="en-US" w:eastAsia="zh-CN"/>
        </w:rPr>
        <w:t>防范意识</w:t>
      </w:r>
      <w:r>
        <w:rPr>
          <w:rFonts w:hint="eastAsia" w:ascii="仿宋_GB2312" w:hAnsi="仿宋_GB2312" w:eastAsia="仿宋_GB2312" w:cs="仿宋_GB2312"/>
          <w:color w:val="auto"/>
          <w:spacing w:val="0"/>
          <w:sz w:val="32"/>
          <w:szCs w:val="32"/>
        </w:rPr>
        <w:t>。</w:t>
      </w:r>
      <w:r>
        <w:rPr>
          <w:rFonts w:hint="eastAsia" w:ascii="仿宋" w:hAnsi="仿宋" w:eastAsia="仿宋" w:cs="仿宋"/>
          <w:b w:val="0"/>
          <w:bCs w:val="0"/>
          <w:color w:val="auto"/>
          <w:spacing w:val="0"/>
          <w:sz w:val="32"/>
          <w:szCs w:val="32"/>
          <w:lang w:eastAsia="zh-CN"/>
        </w:rPr>
        <w:t>推动各乡镇及县安委会成员单位</w:t>
      </w:r>
      <w:r>
        <w:rPr>
          <w:rFonts w:hint="eastAsia" w:ascii="仿宋_GB2312" w:hAnsi="仿宋_GB2312" w:eastAsia="仿宋_GB2312" w:cs="仿宋_GB2312"/>
          <w:b w:val="0"/>
          <w:bCs w:val="0"/>
          <w:color w:val="auto"/>
          <w:spacing w:val="0"/>
          <w:sz w:val="32"/>
          <w:szCs w:val="32"/>
        </w:rPr>
        <w:t>将习</w:t>
      </w:r>
      <w:r>
        <w:rPr>
          <w:rFonts w:hint="eastAsia" w:ascii="仿宋_GB2312" w:hAnsi="仿宋_GB2312" w:eastAsia="仿宋_GB2312" w:cs="仿宋_GB2312"/>
          <w:color w:val="auto"/>
          <w:spacing w:val="0"/>
          <w:sz w:val="32"/>
          <w:szCs w:val="32"/>
        </w:rPr>
        <w:t>近平总书记关于安全生产</w:t>
      </w:r>
      <w:r>
        <w:rPr>
          <w:rFonts w:hint="eastAsia" w:ascii="仿宋_GB2312" w:hAnsi="仿宋_GB2312" w:eastAsia="仿宋_GB2312" w:cs="仿宋_GB2312"/>
          <w:color w:val="auto"/>
          <w:spacing w:val="0"/>
          <w:sz w:val="32"/>
          <w:szCs w:val="32"/>
          <w:lang w:eastAsia="zh-CN"/>
        </w:rPr>
        <w:t>和应急管理</w:t>
      </w:r>
      <w:r>
        <w:rPr>
          <w:rFonts w:hint="eastAsia" w:ascii="仿宋_GB2312" w:hAnsi="仿宋_GB2312" w:eastAsia="仿宋_GB2312" w:cs="仿宋_GB2312"/>
          <w:color w:val="auto"/>
          <w:spacing w:val="0"/>
          <w:sz w:val="32"/>
          <w:szCs w:val="32"/>
        </w:rPr>
        <w:t>的重要论述</w:t>
      </w:r>
      <w:r>
        <w:rPr>
          <w:rFonts w:hint="eastAsia" w:ascii="仿宋_GB2312" w:hAnsi="仿宋_GB2312" w:eastAsia="仿宋_GB2312" w:cs="仿宋_GB2312"/>
          <w:color w:val="auto"/>
          <w:spacing w:val="0"/>
          <w:sz w:val="32"/>
          <w:szCs w:val="32"/>
          <w:lang w:val="en-US" w:eastAsia="zh-CN"/>
        </w:rPr>
        <w:t>和重要讲话</w:t>
      </w:r>
      <w:r>
        <w:rPr>
          <w:rFonts w:hint="eastAsia" w:ascii="仿宋_GB2312" w:hAnsi="仿宋_GB2312" w:eastAsia="仿宋_GB2312" w:cs="仿宋_GB2312"/>
          <w:color w:val="auto"/>
          <w:spacing w:val="0"/>
          <w:sz w:val="32"/>
          <w:szCs w:val="32"/>
        </w:rPr>
        <w:t>重要指示批示精神纳入干部理论学习必学内容，</w:t>
      </w:r>
      <w:r>
        <w:rPr>
          <w:rFonts w:hint="eastAsia" w:ascii="仿宋_GB2312" w:hAnsi="仿宋_GB2312" w:eastAsia="仿宋_GB2312" w:cs="仿宋_GB2312"/>
          <w:color w:val="auto"/>
          <w:spacing w:val="0"/>
          <w:sz w:val="32"/>
          <w:szCs w:val="32"/>
          <w:lang w:eastAsia="zh-CN"/>
        </w:rPr>
        <w:t>提请</w:t>
      </w:r>
      <w:r>
        <w:rPr>
          <w:rFonts w:hint="eastAsia" w:ascii="仿宋_GB2312" w:hAnsi="仿宋_GB2312" w:eastAsia="仿宋_GB2312" w:cs="仿宋_GB2312"/>
          <w:color w:val="auto"/>
          <w:spacing w:val="0"/>
          <w:sz w:val="32"/>
          <w:szCs w:val="32"/>
        </w:rPr>
        <w:t>县委常委会、县委理论学习中心组、县政府常务会、县安委会全会先后2</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次</w:t>
      </w:r>
      <w:r>
        <w:rPr>
          <w:rFonts w:hint="eastAsia" w:ascii="仿宋_GB2312" w:hAnsi="仿宋_GB2312" w:eastAsia="仿宋_GB2312" w:cs="仿宋_GB2312"/>
          <w:color w:val="auto"/>
          <w:spacing w:val="0"/>
          <w:sz w:val="32"/>
          <w:szCs w:val="32"/>
          <w:lang w:val="en-US" w:eastAsia="zh-CN"/>
        </w:rPr>
        <w:t>组织</w:t>
      </w:r>
      <w:r>
        <w:rPr>
          <w:rFonts w:hint="eastAsia" w:ascii="仿宋_GB2312" w:hAnsi="仿宋_GB2312" w:eastAsia="仿宋_GB2312" w:cs="仿宋_GB2312"/>
          <w:color w:val="auto"/>
          <w:spacing w:val="0"/>
          <w:sz w:val="32"/>
          <w:szCs w:val="32"/>
        </w:rPr>
        <w:t>干部学习安全生产</w:t>
      </w:r>
      <w:r>
        <w:rPr>
          <w:rFonts w:hint="eastAsia" w:ascii="仿宋_GB2312" w:hAnsi="仿宋_GB2312" w:eastAsia="仿宋_GB2312" w:cs="仿宋_GB2312"/>
          <w:color w:val="auto"/>
          <w:spacing w:val="0"/>
          <w:sz w:val="32"/>
          <w:szCs w:val="32"/>
          <w:lang w:eastAsia="zh-CN"/>
        </w:rPr>
        <w:t>和应急管理</w:t>
      </w:r>
      <w:r>
        <w:rPr>
          <w:rFonts w:hint="eastAsia" w:ascii="仿宋_GB2312" w:hAnsi="仿宋_GB2312" w:eastAsia="仿宋_GB2312" w:cs="仿宋_GB2312"/>
          <w:color w:val="auto"/>
          <w:spacing w:val="0"/>
          <w:sz w:val="32"/>
          <w:szCs w:val="32"/>
        </w:rPr>
        <w:t>法律法规、领导指示批示及安全生产相关文件精神，不断提升干部抓安全生产的能力水平。深入开展“安全生产月”活动和安全生产宣传“五进”“幸福敲门、安全到家”行动，制作宣传资料34万份、《51个行业领域重大事故隐患判定标准和重点检查事项汇编》5000本，发送安全短信286万条</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设置视频投放区域21个、公共场所投放网点132个，组织开展深入学习贯彻习近平关于应急管理的重要论述专题研讨143场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集中宣讲106场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“安全生产大家谈”“班前会”“以案说法”活动184场，安全科普宣教和体验基地“开放日”活动12场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组织</w:t>
      </w:r>
      <w:r>
        <w:rPr>
          <w:rFonts w:hint="eastAsia" w:ascii="仿宋_GB2312" w:hAnsi="仿宋_GB2312" w:eastAsia="仿宋_GB2312" w:cs="仿宋_GB2312"/>
          <w:color w:val="auto"/>
          <w:spacing w:val="0"/>
          <w:sz w:val="32"/>
          <w:szCs w:val="32"/>
        </w:rPr>
        <w:t>观看警示教育片103场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《新邵发布》《新新邵》等县内主流媒体发布安全提示26期，</w:t>
      </w:r>
      <w:r>
        <w:rPr>
          <w:rFonts w:hint="eastAsia" w:ascii="仿宋_GB2312" w:hAnsi="仿宋_GB2312" w:eastAsia="仿宋_GB2312" w:cs="仿宋_GB2312"/>
          <w:color w:val="auto"/>
          <w:spacing w:val="0"/>
          <w:sz w:val="32"/>
          <w:szCs w:val="32"/>
          <w:lang w:val="en-US" w:eastAsia="zh-CN"/>
        </w:rPr>
        <w:t>群众</w:t>
      </w:r>
      <w:r>
        <w:rPr>
          <w:rFonts w:hint="eastAsia" w:ascii="仿宋_GB2312" w:hAnsi="仿宋_GB2312" w:eastAsia="仿宋_GB2312" w:cs="仿宋_GB2312"/>
          <w:color w:val="auto"/>
          <w:spacing w:val="0"/>
          <w:sz w:val="32"/>
          <w:szCs w:val="32"/>
        </w:rPr>
        <w:t>安全防范常识</w:t>
      </w:r>
      <w:r>
        <w:rPr>
          <w:rFonts w:hint="eastAsia" w:ascii="仿宋_GB2312" w:hAnsi="仿宋_GB2312" w:eastAsia="仿宋_GB2312" w:cs="仿宋_GB2312"/>
          <w:color w:val="auto"/>
          <w:spacing w:val="0"/>
          <w:sz w:val="32"/>
          <w:szCs w:val="32"/>
          <w:lang w:val="en-US" w:eastAsia="zh-CN"/>
        </w:rPr>
        <w:t>得到进一步提升</w:t>
      </w:r>
      <w:r>
        <w:rPr>
          <w:rFonts w:hint="eastAsia" w:ascii="仿宋_GB2312" w:hAnsi="仿宋_GB2312" w:eastAsia="仿宋_GB2312" w:cs="仿宋_GB2312"/>
          <w:color w:val="auto"/>
          <w:spacing w:val="0"/>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突出夯实基础，积极预警响应</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聚力做好</w:t>
      </w:r>
      <w:r>
        <w:rPr>
          <w:rFonts w:hint="eastAsia" w:ascii="仿宋_GB2312" w:hAnsi="仿宋_GB2312" w:eastAsia="仿宋_GB2312" w:cs="仿宋_GB2312"/>
          <w:color w:val="auto"/>
          <w:spacing w:val="0"/>
          <w:sz w:val="32"/>
          <w:szCs w:val="32"/>
        </w:rPr>
        <w:t>应急处置</w:t>
      </w:r>
      <w:r>
        <w:rPr>
          <w:rFonts w:hint="eastAsia" w:ascii="仿宋_GB2312" w:hAnsi="仿宋_GB2312" w:eastAsia="仿宋_GB2312" w:cs="仿宋_GB2312"/>
          <w:color w:val="auto"/>
          <w:spacing w:val="0"/>
          <w:sz w:val="32"/>
          <w:szCs w:val="32"/>
          <w:lang w:val="en-US" w:eastAsia="zh-CN"/>
        </w:rPr>
        <w:t>工作</w:t>
      </w:r>
    </w:p>
    <w:p>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坚持防范为主，防救结合，全面筑牢安全防线。</w:t>
      </w:r>
      <w:r>
        <w:rPr>
          <w:rFonts w:hint="eastAsia" w:ascii="仿宋" w:hAnsi="仿宋" w:eastAsia="仿宋" w:cs="仿宋"/>
          <w:b/>
          <w:bCs/>
          <w:color w:val="auto"/>
          <w:spacing w:val="0"/>
          <w:sz w:val="32"/>
          <w:szCs w:val="32"/>
          <w:lang w:val="en-US" w:eastAsia="zh-CN"/>
        </w:rPr>
        <w:t>一是完善配齐应急设施。</w:t>
      </w:r>
      <w:r>
        <w:rPr>
          <w:rFonts w:hint="eastAsia" w:ascii="仿宋_GB2312" w:hAnsi="仿宋_GB2312" w:eastAsia="仿宋_GB2312" w:cs="仿宋_GB2312"/>
          <w:b w:val="0"/>
          <w:bCs w:val="0"/>
          <w:color w:val="auto"/>
          <w:kern w:val="2"/>
          <w:sz w:val="32"/>
          <w:szCs w:val="32"/>
          <w:lang w:val="en-US" w:eastAsia="zh-CN" w:bidi="ar-SA"/>
        </w:rPr>
        <w:t>林火预警监测系统目前已建成168个监测点位，实现重点林区火情自动探测和自动报警。</w:t>
      </w:r>
      <w:r>
        <w:rPr>
          <w:rFonts w:hint="eastAsia" w:ascii="仿宋_GB2312" w:hAnsi="仿宋_GB2312" w:eastAsia="仿宋_GB2312" w:cs="仿宋_GB2312"/>
          <w:b w:val="0"/>
          <w:bCs w:val="0"/>
          <w:color w:val="auto"/>
          <w:sz w:val="32"/>
          <w:szCs w:val="32"/>
          <w:lang w:val="en-US" w:eastAsia="zh-CN"/>
        </w:rPr>
        <w:t>5个森林火险因子综合监测站已完成全部建设任务，等待验收交付，将进一步加强我县森林火灾预警能力。</w:t>
      </w:r>
      <w:r>
        <w:rPr>
          <w:rFonts w:hint="eastAsia" w:ascii="仿宋_GB2312" w:hAnsi="仿宋_GB2312" w:eastAsia="仿宋_GB2312" w:cs="仿宋_GB2312"/>
          <w:color w:val="auto"/>
          <w:spacing w:val="0"/>
          <w:sz w:val="32"/>
          <w:szCs w:val="32"/>
        </w:rPr>
        <w:t>县综合应急救援大队配备2架救援无人机和1台消防车，各乡镇（林场）配齐巡查无人机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投资201万元</w:t>
      </w:r>
      <w:r>
        <w:rPr>
          <w:rFonts w:hint="eastAsia" w:ascii="仿宋_GB2312" w:hAnsi="仿宋_GB2312" w:eastAsia="仿宋_GB2312" w:cs="仿宋_GB2312"/>
          <w:color w:val="auto"/>
          <w:spacing w:val="0"/>
          <w:sz w:val="32"/>
          <w:szCs w:val="32"/>
          <w:lang w:val="en-US" w:eastAsia="zh-CN"/>
        </w:rPr>
        <w:t>建设</w:t>
      </w:r>
      <w:r>
        <w:rPr>
          <w:rFonts w:hint="eastAsia" w:ascii="仿宋_GB2312" w:hAnsi="仿宋_GB2312" w:eastAsia="仿宋_GB2312" w:cs="仿宋_GB2312"/>
          <w:color w:val="auto"/>
          <w:spacing w:val="0"/>
          <w:sz w:val="32"/>
          <w:szCs w:val="32"/>
        </w:rPr>
        <w:t>防火隔离带80.4公里，投资100万元</w:t>
      </w:r>
      <w:r>
        <w:rPr>
          <w:rFonts w:hint="eastAsia" w:ascii="仿宋_GB2312" w:hAnsi="仿宋_GB2312" w:eastAsia="仿宋_GB2312" w:cs="仿宋_GB2312"/>
          <w:color w:val="auto"/>
          <w:spacing w:val="0"/>
          <w:sz w:val="32"/>
          <w:szCs w:val="32"/>
          <w:lang w:val="en-US" w:eastAsia="zh-CN"/>
        </w:rPr>
        <w:t>建设</w:t>
      </w:r>
      <w:r>
        <w:rPr>
          <w:rFonts w:hint="eastAsia" w:ascii="仿宋_GB2312" w:hAnsi="仿宋_GB2312" w:eastAsia="仿宋_GB2312" w:cs="仿宋_GB2312"/>
          <w:color w:val="auto"/>
          <w:spacing w:val="0"/>
          <w:sz w:val="32"/>
          <w:szCs w:val="32"/>
        </w:rPr>
        <w:t>防火通道20公里，投资244.6万元建设蓄水池2038立方米，森林防</w:t>
      </w:r>
      <w:r>
        <w:rPr>
          <w:rFonts w:hint="eastAsia" w:ascii="仿宋_GB2312" w:hAnsi="仿宋_GB2312" w:eastAsia="仿宋_GB2312" w:cs="仿宋_GB2312"/>
          <w:color w:val="auto"/>
          <w:spacing w:val="0"/>
          <w:sz w:val="32"/>
          <w:szCs w:val="32"/>
          <w:lang w:val="en-US" w:eastAsia="zh-CN"/>
        </w:rPr>
        <w:t>灭</w:t>
      </w:r>
      <w:r>
        <w:rPr>
          <w:rFonts w:hint="eastAsia" w:ascii="仿宋_GB2312" w:hAnsi="仿宋_GB2312" w:eastAsia="仿宋_GB2312" w:cs="仿宋_GB2312"/>
          <w:color w:val="auto"/>
          <w:spacing w:val="0"/>
          <w:sz w:val="32"/>
          <w:szCs w:val="32"/>
        </w:rPr>
        <w:t>火</w:t>
      </w:r>
      <w:r>
        <w:rPr>
          <w:rFonts w:hint="eastAsia" w:ascii="仿宋_GB2312" w:hAnsi="仿宋_GB2312" w:eastAsia="仿宋_GB2312" w:cs="仿宋_GB2312"/>
          <w:color w:val="auto"/>
          <w:spacing w:val="0"/>
          <w:sz w:val="32"/>
          <w:szCs w:val="32"/>
          <w:lang w:val="en-US" w:eastAsia="zh-CN"/>
        </w:rPr>
        <w:t>预警监测、快速扑救</w:t>
      </w:r>
      <w:r>
        <w:rPr>
          <w:rFonts w:hint="eastAsia" w:ascii="仿宋_GB2312" w:hAnsi="仿宋_GB2312" w:eastAsia="仿宋_GB2312" w:cs="仿宋_GB2312"/>
          <w:color w:val="auto"/>
          <w:spacing w:val="0"/>
          <w:sz w:val="32"/>
          <w:szCs w:val="32"/>
        </w:rPr>
        <w:t>能力</w:t>
      </w:r>
      <w:r>
        <w:rPr>
          <w:rFonts w:hint="eastAsia" w:ascii="仿宋_GB2312" w:hAnsi="仿宋_GB2312" w:eastAsia="仿宋_GB2312" w:cs="仿宋_GB2312"/>
          <w:color w:val="auto"/>
          <w:spacing w:val="0"/>
          <w:sz w:val="32"/>
          <w:szCs w:val="32"/>
          <w:lang w:val="en-US" w:eastAsia="zh-CN"/>
        </w:rPr>
        <w:t>得到明显</w:t>
      </w:r>
      <w:r>
        <w:rPr>
          <w:rFonts w:hint="eastAsia" w:ascii="仿宋_GB2312" w:hAnsi="仿宋_GB2312" w:eastAsia="仿宋_GB2312" w:cs="仿宋_GB2312"/>
          <w:color w:val="auto"/>
          <w:spacing w:val="0"/>
          <w:sz w:val="32"/>
          <w:szCs w:val="32"/>
        </w:rPr>
        <w:t>提升。</w:t>
      </w:r>
      <w:r>
        <w:rPr>
          <w:rFonts w:hint="eastAsia" w:ascii="仿宋" w:hAnsi="仿宋" w:eastAsia="仿宋" w:cs="仿宋"/>
          <w:b/>
          <w:bCs/>
          <w:color w:val="auto"/>
          <w:spacing w:val="0"/>
          <w:sz w:val="32"/>
          <w:szCs w:val="32"/>
          <w:lang w:val="en-US" w:eastAsia="zh-CN"/>
        </w:rPr>
        <w:t>二是建强练好应急队伍</w:t>
      </w:r>
      <w:r>
        <w:rPr>
          <w:rFonts w:hint="eastAsia" w:ascii="仿宋" w:hAnsi="仿宋" w:eastAsia="仿宋" w:cs="仿宋"/>
          <w:b/>
          <w:bCs/>
          <w:color w:val="auto"/>
          <w:spacing w:val="0"/>
          <w:sz w:val="32"/>
          <w:szCs w:val="32"/>
        </w:rPr>
        <w:t>。</w:t>
      </w:r>
      <w:r>
        <w:rPr>
          <w:rFonts w:hint="eastAsia" w:ascii="仿宋_GB2312" w:hAnsi="仿宋_GB2312" w:eastAsia="仿宋_GB2312" w:cs="仿宋_GB2312"/>
          <w:color w:val="auto"/>
          <w:spacing w:val="0"/>
          <w:sz w:val="32"/>
          <w:szCs w:val="32"/>
          <w:lang w:val="en-US" w:eastAsia="zh-CN"/>
        </w:rPr>
        <w:t>深刻总结实战经验，结合我县火情灾情特点，</w:t>
      </w:r>
      <w:r>
        <w:rPr>
          <w:rFonts w:hint="eastAsia" w:ascii="仿宋_GB2312" w:hAnsi="仿宋_GB2312" w:eastAsia="仿宋_GB2312" w:cs="仿宋_GB2312"/>
          <w:color w:val="auto"/>
          <w:spacing w:val="0"/>
          <w:sz w:val="32"/>
          <w:szCs w:val="32"/>
        </w:rPr>
        <w:t>积极探索“以线为主、条块结合、专常协同”森林火灾新型</w:t>
      </w:r>
      <w:r>
        <w:rPr>
          <w:rFonts w:hint="eastAsia" w:ascii="仿宋_GB2312" w:hAnsi="仿宋_GB2312" w:eastAsia="仿宋_GB2312" w:cs="仿宋_GB2312"/>
          <w:color w:val="auto"/>
          <w:spacing w:val="0"/>
          <w:sz w:val="32"/>
          <w:szCs w:val="32"/>
          <w:lang w:val="en-US" w:eastAsia="zh-CN"/>
        </w:rPr>
        <w:t>应急救援</w:t>
      </w:r>
      <w:r>
        <w:rPr>
          <w:rFonts w:hint="eastAsia" w:ascii="仿宋_GB2312" w:hAnsi="仿宋_GB2312" w:eastAsia="仿宋_GB2312" w:cs="仿宋_GB2312"/>
          <w:color w:val="auto"/>
          <w:spacing w:val="0"/>
          <w:sz w:val="32"/>
          <w:szCs w:val="32"/>
        </w:rPr>
        <w:t>模式，建强19支森林消防专业、半专业应急救援队伍，组建潭府片区、寸石片区、龙溪铺片区3支森林火灾扑救应急小分队，</w:t>
      </w:r>
      <w:r>
        <w:rPr>
          <w:rFonts w:hint="eastAsia" w:ascii="仿宋_GB2312" w:hAnsi="仿宋_GB2312" w:eastAsia="仿宋_GB2312" w:cs="仿宋_GB2312"/>
          <w:color w:val="auto"/>
          <w:spacing w:val="0"/>
          <w:sz w:val="32"/>
          <w:szCs w:val="32"/>
          <w:lang w:val="en-US" w:eastAsia="zh-CN"/>
        </w:rPr>
        <w:t>充实应急救援力量</w:t>
      </w:r>
      <w:r>
        <w:rPr>
          <w:rFonts w:hint="eastAsia" w:ascii="仿宋_GB2312" w:hAnsi="仿宋_GB2312" w:eastAsia="仿宋_GB2312" w:cs="仿宋_GB2312"/>
          <w:color w:val="auto"/>
          <w:spacing w:val="0"/>
          <w:sz w:val="32"/>
          <w:szCs w:val="32"/>
        </w:rPr>
        <w:t>。同时，坚持以练促战，全县共开展防汛抢险军地联合演练、防汛抢险应急演练、应急疏散演练、森林防火演练等各类应急演练207次，群众安全防范意识、自救互救能力及</w:t>
      </w:r>
      <w:r>
        <w:rPr>
          <w:rFonts w:hint="eastAsia" w:ascii="仿宋_GB2312" w:hAnsi="仿宋_GB2312" w:eastAsia="仿宋_GB2312" w:cs="仿宋_GB2312"/>
          <w:color w:val="auto"/>
          <w:spacing w:val="0"/>
          <w:sz w:val="32"/>
          <w:szCs w:val="32"/>
          <w:lang w:val="en-US" w:eastAsia="zh-CN"/>
        </w:rPr>
        <w:t>各类</w:t>
      </w:r>
      <w:r>
        <w:rPr>
          <w:rFonts w:hint="eastAsia" w:ascii="仿宋_GB2312" w:hAnsi="仿宋_GB2312" w:eastAsia="仿宋_GB2312" w:cs="仿宋_GB2312"/>
          <w:color w:val="auto"/>
          <w:spacing w:val="0"/>
          <w:sz w:val="32"/>
          <w:szCs w:val="32"/>
        </w:rPr>
        <w:t>应急队伍应急处置、实战救援能力</w:t>
      </w:r>
      <w:r>
        <w:rPr>
          <w:rFonts w:hint="eastAsia" w:ascii="仿宋_GB2312" w:hAnsi="仿宋_GB2312" w:eastAsia="仿宋_GB2312" w:cs="仿宋_GB2312"/>
          <w:color w:val="auto"/>
          <w:spacing w:val="0"/>
          <w:sz w:val="32"/>
          <w:szCs w:val="32"/>
          <w:lang w:val="en-US" w:eastAsia="zh-CN"/>
        </w:rPr>
        <w:t>得到</w:t>
      </w:r>
      <w:r>
        <w:rPr>
          <w:rFonts w:hint="eastAsia" w:ascii="仿宋_GB2312" w:hAnsi="仿宋_GB2312" w:eastAsia="仿宋_GB2312" w:cs="仿宋_GB2312"/>
          <w:color w:val="auto"/>
          <w:spacing w:val="0"/>
          <w:sz w:val="32"/>
          <w:szCs w:val="32"/>
        </w:rPr>
        <w:t>明显提升。</w:t>
      </w:r>
      <w:r>
        <w:rPr>
          <w:rFonts w:hint="eastAsia" w:ascii="仿宋" w:hAnsi="仿宋" w:eastAsia="仿宋" w:cs="仿宋"/>
          <w:b/>
          <w:bCs/>
          <w:color w:val="auto"/>
          <w:spacing w:val="0"/>
          <w:sz w:val="32"/>
          <w:szCs w:val="32"/>
          <w:lang w:val="en-US" w:eastAsia="zh-CN"/>
        </w:rPr>
        <w:t>三是有力处置应急事件。</w:t>
      </w:r>
      <w:r>
        <w:rPr>
          <w:rFonts w:hint="eastAsia" w:ascii="仿宋_GB2312" w:hAnsi="仿宋_GB2312" w:eastAsia="仿宋_GB2312" w:cs="仿宋_GB2312"/>
          <w:color w:val="auto"/>
          <w:spacing w:val="0"/>
          <w:sz w:val="32"/>
          <w:szCs w:val="32"/>
          <w:lang w:val="en-US" w:eastAsia="zh-CN"/>
        </w:rPr>
        <w:t>打赢防汛救灾硬仗，面对连续12轮强降雨特别是“5·26”“7·28”特大暴雨考验，切实加强值班值守、预警监测、物资保障和地质灾害高风险区域、河流、水库的巡查防守、隐患排查整改，紧急避险转移2285人，实现“未因灾伤亡一人、未垮一堤一库一坝”目标。同时，统筹安排资金1600万元开展灾后重建，加快恢复水毁道路、通讯设施和农业生产复垦复种，竭尽全力减少灾害损失。打好森林防灭火主动仗，持续推进“宣、巡、建、联、罚、查”森林防灭火六字诀，全力推进火情热点快速核查处置“131”机制，确保实现“打早打小打了”，</w:t>
      </w:r>
      <w:r>
        <w:rPr>
          <w:rFonts w:hint="eastAsia" w:ascii="仿宋_GB2312" w:hAnsi="仿宋_GB2312" w:eastAsia="仿宋_GB2312" w:cs="仿宋_GB2312"/>
          <w:color w:val="auto"/>
          <w:spacing w:val="0"/>
          <w:sz w:val="32"/>
          <w:szCs w:val="32"/>
          <w:highlight w:val="none"/>
          <w:lang w:val="en-US" w:eastAsia="zh-CN"/>
        </w:rPr>
        <w:t>今年森林火情火警同比下降46%</w:t>
      </w:r>
      <w:r>
        <w:rPr>
          <w:rFonts w:hint="eastAsia" w:ascii="仿宋_GB2312" w:hAnsi="仿宋_GB2312" w:eastAsia="仿宋_GB2312" w:cs="仿宋_GB2312"/>
          <w:color w:val="auto"/>
          <w:spacing w:val="0"/>
          <w:sz w:val="32"/>
          <w:szCs w:val="32"/>
          <w:lang w:val="en-US" w:eastAsia="zh-CN"/>
        </w:rPr>
        <w:t>。从严加强野外用火管控，共</w:t>
      </w:r>
      <w:r>
        <w:rPr>
          <w:rFonts w:hint="eastAsia" w:ascii="仿宋_GB2312" w:hAnsi="仿宋_GB2312" w:eastAsia="仿宋_GB2312" w:cs="仿宋_GB2312"/>
          <w:color w:val="auto"/>
          <w:spacing w:val="0"/>
          <w:sz w:val="32"/>
          <w:szCs w:val="32"/>
        </w:rPr>
        <w:t>立案查处野外用火行政案件15起，治安拘留</w:t>
      </w:r>
      <w:r>
        <w:rPr>
          <w:rFonts w:hint="eastAsia" w:ascii="仿宋_GB2312" w:hAnsi="仿宋_GB2312" w:eastAsia="仿宋_GB2312" w:cs="仿宋_GB2312"/>
          <w:color w:val="auto"/>
          <w:spacing w:val="0"/>
          <w:sz w:val="32"/>
          <w:szCs w:val="32"/>
          <w:highlight w:val="none"/>
          <w:lang w:val="en-US" w:eastAsia="zh-CN"/>
        </w:rPr>
        <w:t>7人，治安处罚7人，行政警告2人，处罚违规用火人员60人次，张贴警情通报3万余张，严抓严管的高压态势持续巩固。</w:t>
      </w:r>
      <w:r>
        <w:rPr>
          <w:rFonts w:hint="eastAsia" w:ascii="仿宋_GB2312" w:hAnsi="仿宋_GB2312" w:eastAsia="仿宋_GB2312" w:cs="仿宋_GB2312"/>
          <w:b/>
          <w:bCs/>
          <w:color w:val="auto"/>
          <w:spacing w:val="0"/>
          <w:sz w:val="32"/>
          <w:szCs w:val="32"/>
          <w:lang w:eastAsia="zh-CN"/>
        </w:rPr>
        <w:t>四是全力救助受灾群众。</w:t>
      </w:r>
      <w:r>
        <w:rPr>
          <w:rFonts w:hint="eastAsia" w:ascii="仿宋_GB2312" w:hAnsi="仿宋_GB2312" w:eastAsia="仿宋_GB2312" w:cs="仿宋_GB2312"/>
          <w:color w:val="auto"/>
          <w:spacing w:val="0"/>
          <w:sz w:val="32"/>
          <w:szCs w:val="32"/>
        </w:rPr>
        <w:t>今年我县冬春救助共计5</w:t>
      </w:r>
      <w:r>
        <w:rPr>
          <w:rFonts w:hint="eastAsia" w:ascii="仿宋_GB2312" w:hAnsi="仿宋_GB2312" w:eastAsia="仿宋_GB2312" w:cs="仿宋_GB2312"/>
          <w:color w:val="auto"/>
          <w:spacing w:val="0"/>
          <w:sz w:val="32"/>
          <w:szCs w:val="32"/>
          <w:lang w:val="en-US" w:eastAsia="zh-CN"/>
        </w:rPr>
        <w:t>1325</w:t>
      </w:r>
      <w:r>
        <w:rPr>
          <w:rFonts w:hint="eastAsia" w:ascii="仿宋_GB2312" w:hAnsi="仿宋_GB2312" w:eastAsia="仿宋_GB2312" w:cs="仿宋_GB2312"/>
          <w:color w:val="auto"/>
          <w:spacing w:val="0"/>
          <w:sz w:val="32"/>
          <w:szCs w:val="32"/>
        </w:rPr>
        <w:t>人，倒房</w:t>
      </w:r>
      <w:r>
        <w:rPr>
          <w:rFonts w:hint="eastAsia" w:ascii="仿宋_GB2312" w:hAnsi="仿宋_GB2312" w:eastAsia="仿宋_GB2312" w:cs="仿宋_GB2312"/>
          <w:color w:val="auto"/>
          <w:spacing w:val="0"/>
          <w:sz w:val="32"/>
          <w:szCs w:val="32"/>
          <w:lang w:val="en-US" w:eastAsia="zh-CN"/>
        </w:rPr>
        <w:t>24</w:t>
      </w:r>
      <w:r>
        <w:rPr>
          <w:rFonts w:hint="eastAsia" w:ascii="仿宋_GB2312" w:hAnsi="仿宋_GB2312" w:eastAsia="仿宋_GB2312" w:cs="仿宋_GB2312"/>
          <w:color w:val="auto"/>
          <w:spacing w:val="0"/>
          <w:sz w:val="32"/>
          <w:szCs w:val="32"/>
        </w:rPr>
        <w:t>户、维修7</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户、过渡期生活救助</w:t>
      </w:r>
      <w:r>
        <w:rPr>
          <w:rFonts w:hint="eastAsia" w:ascii="仿宋_GB2312" w:hAnsi="仿宋_GB2312" w:eastAsia="仿宋_GB2312" w:cs="仿宋_GB2312"/>
          <w:color w:val="auto"/>
          <w:spacing w:val="0"/>
          <w:sz w:val="32"/>
          <w:szCs w:val="32"/>
          <w:lang w:val="en-US" w:eastAsia="zh-CN"/>
        </w:rPr>
        <w:t>9</w:t>
      </w:r>
      <w:r>
        <w:rPr>
          <w:rFonts w:hint="eastAsia" w:ascii="仿宋_GB2312" w:hAnsi="仿宋_GB2312" w:eastAsia="仿宋_GB2312" w:cs="仿宋_GB2312"/>
          <w:color w:val="auto"/>
          <w:spacing w:val="0"/>
          <w:sz w:val="32"/>
          <w:szCs w:val="32"/>
        </w:rPr>
        <w:t>户</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4人，紧急转移安置6</w:t>
      </w:r>
      <w:r>
        <w:rPr>
          <w:rFonts w:hint="eastAsia" w:ascii="仿宋_GB2312" w:hAnsi="仿宋_GB2312" w:eastAsia="仿宋_GB2312" w:cs="仿宋_GB2312"/>
          <w:color w:val="auto"/>
          <w:spacing w:val="0"/>
          <w:sz w:val="32"/>
          <w:szCs w:val="32"/>
          <w:lang w:val="en-US" w:eastAsia="zh-CN"/>
        </w:rPr>
        <w:t>05</w:t>
      </w:r>
      <w:r>
        <w:rPr>
          <w:rFonts w:hint="eastAsia" w:ascii="仿宋_GB2312" w:hAnsi="仿宋_GB2312" w:eastAsia="仿宋_GB2312" w:cs="仿宋_GB2312"/>
          <w:color w:val="auto"/>
          <w:spacing w:val="0"/>
          <w:sz w:val="32"/>
          <w:szCs w:val="32"/>
        </w:rPr>
        <w:t>人，紧急生活救助60人，</w:t>
      </w:r>
      <w:r>
        <w:rPr>
          <w:rFonts w:hint="eastAsia" w:ascii="仿宋_GB2312" w:hAnsi="仿宋_GB2312" w:eastAsia="仿宋_GB2312" w:cs="仿宋_GB2312"/>
          <w:color w:val="auto"/>
          <w:spacing w:val="0"/>
          <w:sz w:val="32"/>
          <w:szCs w:val="32"/>
          <w:lang w:eastAsia="zh-CN"/>
        </w:rPr>
        <w:t>严格</w:t>
      </w:r>
      <w:r>
        <w:rPr>
          <w:rFonts w:hint="eastAsia" w:ascii="仿宋_GB2312" w:hAnsi="仿宋_GB2312" w:eastAsia="仿宋_GB2312" w:cs="仿宋_GB2312"/>
          <w:color w:val="auto"/>
          <w:spacing w:val="0"/>
          <w:sz w:val="32"/>
          <w:szCs w:val="32"/>
        </w:rPr>
        <w:t>按照上级要求的时间截点完成受灾群众的救助工作。</w:t>
      </w:r>
    </w:p>
    <w:p>
      <w:pPr>
        <w:pStyle w:val="1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ind w:firstLine="640" w:firstLineChars="200"/>
        <w:rPr>
          <w:rFonts w:hint="default" w:asci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eastAsia="仿宋_GB2312" w:cs="仿宋_GB2312"/>
          <w:b w:val="0"/>
          <w:bCs w:val="0"/>
          <w:i w:val="0"/>
          <w:iCs w:val="0"/>
          <w:caps w:val="0"/>
          <w:color w:val="000000"/>
          <w:spacing w:val="0"/>
          <w:sz w:val="32"/>
          <w:szCs w:val="32"/>
          <w:shd w:val="clear" w:color="auto" w:fill="FFFFFF"/>
          <w:lang w:val="en-US" w:eastAsia="zh-CN"/>
        </w:rPr>
        <w:t>一是基层基础仍然较薄弱。隐患排查整治的广度深度不够，在日常隐患排查整治过程中部分县直部门、乡镇和企业排查整治不认真，对重大事故隐患识别不精准，隐患上报不及时，整治效果不佳以及</w:t>
      </w:r>
      <w:r>
        <w:rPr>
          <w:rFonts w:hint="eastAsia" w:ascii="仿宋_GB2312" w:hAnsi="仿宋_GB2312" w:eastAsia="仿宋_GB2312" w:cs="仿宋_GB2312"/>
          <w:b w:val="0"/>
          <w:bCs w:val="0"/>
          <w:color w:val="auto"/>
          <w:sz w:val="32"/>
          <w:szCs w:val="32"/>
          <w:lang w:eastAsia="zh-CN"/>
        </w:rPr>
        <w:t>部分</w:t>
      </w:r>
      <w:r>
        <w:rPr>
          <w:rFonts w:hint="default" w:ascii="Times New Roman" w:hAnsi="Times New Roman" w:eastAsia="仿宋_GB2312" w:cs="Times New Roman"/>
          <w:color w:val="auto"/>
          <w:sz w:val="32"/>
          <w:szCs w:val="32"/>
        </w:rPr>
        <w:t>企业负责人、安全管理人员和从业人员</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安全素质</w:t>
      </w:r>
      <w:r>
        <w:rPr>
          <w:rFonts w:hint="eastAsia"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能力</w:t>
      </w:r>
      <w:r>
        <w:rPr>
          <w:rFonts w:hint="eastAsia" w:ascii="Times New Roman" w:hAnsi="Times New Roman" w:eastAsia="仿宋_GB2312" w:cs="Times New Roman"/>
          <w:color w:val="auto"/>
          <w:sz w:val="32"/>
          <w:szCs w:val="32"/>
          <w:lang w:eastAsia="zh-CN"/>
        </w:rPr>
        <w:t>距</w:t>
      </w:r>
      <w:r>
        <w:rPr>
          <w:rFonts w:hint="default" w:ascii="Times New Roman" w:hAnsi="Times New Roman" w:eastAsia="仿宋_GB2312" w:cs="Times New Roman"/>
          <w:color w:val="auto"/>
          <w:sz w:val="32"/>
          <w:szCs w:val="32"/>
        </w:rPr>
        <w:t>国家相关法律法规的要求和工作需要还有一定距离。</w:t>
      </w:r>
      <w:r>
        <w:rPr>
          <w:rFonts w:hint="eastAsia" w:ascii="仿宋_GB2312" w:hAnsi="仿宋_GB2312" w:eastAsia="仿宋_GB2312" w:cs="仿宋_GB2312"/>
          <w:color w:val="auto"/>
          <w:sz w:val="32"/>
          <w:szCs w:val="32"/>
          <w:lang w:val="en-US" w:eastAsia="zh-CN"/>
        </w:rPr>
        <w:t>部分企业员工文化程度偏低，</w:t>
      </w:r>
      <w:r>
        <w:rPr>
          <w:rFonts w:hint="eastAsia" w:ascii="仿宋_GB2312" w:hAnsi="仿宋_GB2312" w:eastAsia="仿宋_GB2312" w:cs="仿宋_GB2312"/>
          <w:color w:val="auto"/>
          <w:sz w:val="32"/>
          <w:szCs w:val="32"/>
          <w:lang w:eastAsia="zh-CN"/>
        </w:rPr>
        <w:t>个人</w:t>
      </w:r>
      <w:r>
        <w:rPr>
          <w:rFonts w:ascii="仿宋_GB2312" w:hAnsi="仿宋_GB2312" w:eastAsia="仿宋_GB2312" w:cs="仿宋_GB2312"/>
          <w:color w:val="auto"/>
          <w:sz w:val="32"/>
          <w:szCs w:val="32"/>
        </w:rPr>
        <w:t>素质不高，安全意识较为薄弱，安全生产相关知识</w:t>
      </w:r>
      <w:r>
        <w:rPr>
          <w:rFonts w:hint="eastAsia" w:ascii="仿宋_GB2312" w:hAnsi="仿宋_GB2312" w:eastAsia="仿宋_GB2312" w:cs="仿宋_GB2312"/>
          <w:color w:val="auto"/>
          <w:sz w:val="32"/>
          <w:szCs w:val="32"/>
          <w:lang w:eastAsia="zh-CN"/>
        </w:rPr>
        <w:t>不够全面，</w:t>
      </w:r>
      <w:r>
        <w:rPr>
          <w:rFonts w:ascii="仿宋_GB2312" w:hAnsi="仿宋_GB2312" w:eastAsia="仿宋_GB2312" w:cs="仿宋_GB2312"/>
          <w:color w:val="auto"/>
          <w:sz w:val="32"/>
          <w:szCs w:val="32"/>
        </w:rPr>
        <w:t>安全生产相关规章制度和操作规程不</w:t>
      </w:r>
      <w:r>
        <w:rPr>
          <w:rFonts w:hint="eastAsia" w:ascii="仿宋_GB2312" w:hAnsi="仿宋_GB2312" w:eastAsia="仿宋_GB2312" w:cs="仿宋_GB2312"/>
          <w:color w:val="auto"/>
          <w:sz w:val="32"/>
          <w:szCs w:val="32"/>
          <w:lang w:eastAsia="zh-CN"/>
        </w:rPr>
        <w:t>够</w:t>
      </w:r>
      <w:r>
        <w:rPr>
          <w:rFonts w:ascii="仿宋_GB2312" w:hAnsi="仿宋_GB2312" w:eastAsia="仿宋_GB2312" w:cs="仿宋_GB2312"/>
          <w:color w:val="auto"/>
          <w:sz w:val="32"/>
          <w:szCs w:val="32"/>
        </w:rPr>
        <w:t>熟悉，本岗位的安全操作技能</w:t>
      </w:r>
      <w:r>
        <w:rPr>
          <w:rFonts w:hint="eastAsia" w:ascii="仿宋_GB2312" w:hAnsi="仿宋_GB2312" w:eastAsia="仿宋_GB2312" w:cs="仿宋_GB2312"/>
          <w:color w:val="auto"/>
          <w:sz w:val="32"/>
          <w:szCs w:val="32"/>
          <w:lang w:eastAsia="zh-CN"/>
        </w:rPr>
        <w:t>没有完全掌握</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对事故防范抱有侥幸心理、思想</w:t>
      </w:r>
      <w:r>
        <w:rPr>
          <w:rFonts w:ascii="仿宋_GB2312" w:hAnsi="仿宋_GB2312" w:eastAsia="仿宋_GB2312" w:cs="仿宋_GB2312"/>
          <w:color w:val="auto"/>
          <w:sz w:val="32"/>
          <w:szCs w:val="32"/>
        </w:rPr>
        <w:t>松懈。</w:t>
      </w:r>
    </w:p>
    <w:p>
      <w:pPr>
        <w:ind w:firstLine="640" w:firstLineChars="200"/>
        <w:rPr>
          <w:rFonts w:hint="eastAsia" w:asci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eastAsia="仿宋_GB2312" w:cs="仿宋_GB2312"/>
          <w:b w:val="0"/>
          <w:bCs w:val="0"/>
          <w:i w:val="0"/>
          <w:iCs w:val="0"/>
          <w:caps w:val="0"/>
          <w:color w:val="000000"/>
          <w:spacing w:val="0"/>
          <w:sz w:val="32"/>
          <w:szCs w:val="32"/>
          <w:shd w:val="clear" w:color="auto" w:fill="FFFFFF"/>
          <w:lang w:val="en-US" w:eastAsia="zh-CN"/>
        </w:rPr>
        <w:t>二是安全防控压力较大。近年来，极端天气事件频发，如强降雨、暴雨、台风、干旱等，这些极端天气事件往往引发洪水对防汛抗洪和工作构成巨大挑战。我县河流水系复杂，上游降雨可能在短时间内造成下游洪水泛滥，尤其是山区河流，由于地形陡峭，洪水来势迅猛，给预警和应急响应带来困难。受冰冻雨雪极端天气影响，我县森林防灭火基础设施和林木损失较严重，大量雪压材、枯落物等可燃物在林内持续堆积，部分区域林内可燃物已超过发生山林大火的临界值，火险等级居高不下。山边、田边杂草丛生，各村未有效开展“四边”可燃物的清理，导致火险隐患较多。</w:t>
      </w:r>
    </w:p>
    <w:p>
      <w:pPr>
        <w:ind w:firstLine="640" w:firstLineChars="200"/>
        <w:rPr>
          <w:rFonts w:hint="eastAsia" w:asci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eastAsia="仿宋_GB2312" w:cs="仿宋_GB2312"/>
          <w:b w:val="0"/>
          <w:bCs w:val="0"/>
          <w:i w:val="0"/>
          <w:iCs w:val="0"/>
          <w:caps w:val="0"/>
          <w:color w:val="000000"/>
          <w:spacing w:val="0"/>
          <w:sz w:val="32"/>
          <w:szCs w:val="32"/>
          <w:shd w:val="clear" w:color="auto" w:fill="FFFFFF"/>
          <w:lang w:val="en-US" w:eastAsia="zh-CN"/>
        </w:rPr>
        <w:t>三是应急能力还有待提升。全县救灾物资储备无整体规划，各单位各部门储备物资未整合，储备量少，应急物资储备、调运和部门之间的协同保障机制不够完善，需要建立健全“天－空－地”一体应急通信网络。全县范围内无专业防洪抢险应急救援队伍，防汛抢险主要由乡镇干部、各有关单位兼职队伍参与，救援队伍专业性不高、救援能力弱。短期还不能满足防大汛、抗大旱、抢大险、救大灾的工作要求。以县里现有财力，也难以储备大量的防汛抢险物资。</w:t>
      </w:r>
    </w:p>
    <w:p>
      <w:pPr>
        <w:spacing w:line="600" w:lineRule="exact"/>
        <w:ind w:firstLine="640" w:firstLineChars="200"/>
        <w:rPr>
          <w:rFonts w:eastAsia="黑体"/>
          <w:sz w:val="32"/>
          <w:szCs w:val="32"/>
        </w:rPr>
      </w:pPr>
      <w:r>
        <w:rPr>
          <w:rFonts w:eastAsia="黑体"/>
          <w:sz w:val="32"/>
          <w:szCs w:val="32"/>
        </w:rPr>
        <w:t>八、下一步改进措施</w:t>
      </w:r>
    </w:p>
    <w:p>
      <w:pPr>
        <w:ind w:firstLine="640" w:firstLineChars="200"/>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防汛和森林火灾工作确保不发生因灾死亡事件，实现汛期不垮一坝一库，不发生一起重大及以上森林火灾的工作目标，力争不发生较大及以上森林火灾。确保森林火灾受害率控制在0.9‰以内，森林火灾数量同比去年减少30%以上。坚决杜绝较大及以上生产安全事故发生，坚决防范遏制一般生产安全事故发生。</w:t>
      </w:r>
    </w:p>
    <w:p>
      <w:pPr>
        <w:numPr>
          <w:ilvl w:val="0"/>
          <w:numId w:val="5"/>
        </w:numPr>
        <w:ind w:firstLine="640" w:firstLineChars="200"/>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持续抓好安全生产工作。持续深入推进安全生产治本攻坚三年行动。按照治本攻坚三年行动部署，有序推进安全生产各项专项整治行动，促进全县安全生产形势持续稳定好转。</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2.持续抓好应急队伍建设。</w:t>
      </w:r>
      <w:r>
        <w:rPr>
          <w:rFonts w:hint="default" w:ascii="仿宋_GB2312" w:hAnsi="Times New Roman" w:eastAsia="仿宋_GB2312" w:cs="仿宋_GB2312"/>
          <w:b w:val="0"/>
          <w:bCs w:val="0"/>
          <w:i w:val="0"/>
          <w:iCs w:val="0"/>
          <w:caps w:val="0"/>
          <w:color w:val="000000"/>
          <w:spacing w:val="0"/>
          <w:sz w:val="32"/>
          <w:szCs w:val="32"/>
          <w:shd w:val="clear" w:color="auto" w:fill="FFFFFF"/>
          <w:lang w:val="en-US" w:eastAsia="zh-CN"/>
        </w:rPr>
        <w:t>确保</w:t>
      </w: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我县</w:t>
      </w:r>
      <w:r>
        <w:rPr>
          <w:rFonts w:hint="default" w:ascii="仿宋_GB2312" w:hAnsi="Times New Roman" w:eastAsia="仿宋_GB2312" w:cs="仿宋_GB2312"/>
          <w:b w:val="0"/>
          <w:bCs w:val="0"/>
          <w:i w:val="0"/>
          <w:iCs w:val="0"/>
          <w:caps w:val="0"/>
          <w:color w:val="000000"/>
          <w:spacing w:val="0"/>
          <w:sz w:val="32"/>
          <w:szCs w:val="32"/>
          <w:shd w:val="clear" w:color="auto" w:fill="FFFFFF"/>
          <w:lang w:val="en-US" w:eastAsia="zh-CN"/>
        </w:rPr>
        <w:t>森林消防</w:t>
      </w: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专业</w:t>
      </w:r>
      <w:r>
        <w:rPr>
          <w:rFonts w:hint="default" w:ascii="仿宋_GB2312" w:hAnsi="Times New Roman" w:eastAsia="仿宋_GB2312" w:cs="仿宋_GB2312"/>
          <w:b w:val="0"/>
          <w:bCs w:val="0"/>
          <w:i w:val="0"/>
          <w:iCs w:val="0"/>
          <w:caps w:val="0"/>
          <w:color w:val="000000"/>
          <w:spacing w:val="0"/>
          <w:sz w:val="32"/>
          <w:szCs w:val="32"/>
          <w:shd w:val="clear" w:color="auto" w:fill="FFFFFF"/>
          <w:lang w:val="en-US" w:eastAsia="zh-CN"/>
        </w:rPr>
        <w:t>队伍能力建设项目如期保质保量完成，建设成全市一流的应急救援基地</w:t>
      </w: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，打造一支</w:t>
      </w:r>
      <w:r>
        <w:rPr>
          <w:rFonts w:hint="default" w:ascii="仿宋_GB2312" w:hAnsi="Times New Roman" w:eastAsia="仿宋_GB2312" w:cs="仿宋_GB2312"/>
          <w:b w:val="0"/>
          <w:bCs w:val="0"/>
          <w:i w:val="0"/>
          <w:iCs w:val="0"/>
          <w:caps w:val="0"/>
          <w:color w:val="000000"/>
          <w:spacing w:val="0"/>
          <w:sz w:val="32"/>
          <w:szCs w:val="32"/>
          <w:shd w:val="clear" w:color="auto" w:fill="FFFFFF"/>
          <w:lang w:val="en-US" w:eastAsia="zh-CN"/>
        </w:rPr>
        <w:t>能胜任森林防灭火、水上救援、抗洪抢险、地灾救援等多种自然灾害应急救援的专业化队伍。</w:t>
      </w: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经常性地在全县组织</w:t>
      </w:r>
      <w:r>
        <w:rPr>
          <w:rFonts w:hint="default" w:ascii="仿宋_GB2312" w:hAnsi="Times New Roman" w:eastAsia="仿宋_GB2312" w:cs="仿宋_GB2312"/>
          <w:b w:val="0"/>
          <w:bCs w:val="0"/>
          <w:i w:val="0"/>
          <w:iCs w:val="0"/>
          <w:caps w:val="0"/>
          <w:color w:val="000000"/>
          <w:spacing w:val="0"/>
          <w:sz w:val="32"/>
          <w:szCs w:val="32"/>
          <w:shd w:val="clear" w:color="auto" w:fill="FFFFFF"/>
          <w:lang w:val="en-US" w:eastAsia="zh-CN"/>
        </w:rPr>
        <w:t>开展业务培训和应急演练，提高组织指挥能力、实战攻坚能力、紧急避险能力和应急救援能力。</w:t>
      </w:r>
    </w:p>
    <w:p>
      <w:pPr>
        <w:spacing w:line="600" w:lineRule="exact"/>
        <w:ind w:firstLine="640" w:firstLineChars="200"/>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3.持续提升应急救援能力。优化物资储备结构，创新物资储备方式，实现实物储备、协议储备、生产能力储备相结合的救灾物资储备体系。推进应急资源管理平台建设，提高物资调配效率、资源统筹利用水平和协同保障能力。建立应急救援期间社会物资、运输工具、设备装备等征用和补偿机制。加强减灾救灾专业设备配备。配备必要的重大自然灾害监测预警、查灾核灾、防汛抗旱、人员搜救、森林灭火等装备和产品，加强专业抢险救援力量装备配备，提高基层减灾和应急装备保障水平。</w:t>
      </w:r>
    </w:p>
    <w:p>
      <w:pPr>
        <w:spacing w:line="600" w:lineRule="exact"/>
        <w:ind w:firstLine="640" w:firstLineChars="200"/>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4.</w:t>
      </w:r>
      <w:r>
        <w:rPr>
          <w:rFonts w:hint="default" w:ascii="仿宋_GB2312" w:hAnsi="Times New Roman" w:eastAsia="仿宋_GB2312" w:cs="仿宋_GB2312"/>
          <w:b w:val="0"/>
          <w:bCs w:val="0"/>
          <w:i w:val="0"/>
          <w:iCs w:val="0"/>
          <w:caps w:val="0"/>
          <w:color w:val="000000"/>
          <w:spacing w:val="0"/>
          <w:sz w:val="32"/>
          <w:szCs w:val="32"/>
          <w:shd w:val="clear" w:color="auto" w:fill="FFFFFF"/>
          <w:lang w:val="en-US" w:eastAsia="zh-CN"/>
        </w:rPr>
        <w:t>持续强化宣传教育。</w:t>
      </w:r>
      <w:r>
        <w:rPr>
          <w:rFonts w:hint="eastAsia" w:ascii="仿宋_GB2312" w:hAnsi="Times New Roman" w:eastAsia="仿宋_GB2312" w:cs="仿宋_GB2312"/>
          <w:b w:val="0"/>
          <w:bCs w:val="0"/>
          <w:i w:val="0"/>
          <w:iCs w:val="0"/>
          <w:caps w:val="0"/>
          <w:color w:val="000000"/>
          <w:spacing w:val="0"/>
          <w:sz w:val="32"/>
          <w:szCs w:val="32"/>
          <w:shd w:val="clear" w:color="auto" w:fill="FFFFFF"/>
          <w:lang w:val="en-US" w:eastAsia="zh-CN"/>
        </w:rPr>
        <w:t>结</w:t>
      </w:r>
      <w:r>
        <w:rPr>
          <w:rFonts w:hint="eastAsia" w:ascii="仿宋_GB2312" w:hAnsi="仿宋_GB2312" w:eastAsia="仿宋_GB2312" w:cs="仿宋_GB2312"/>
          <w:color w:val="auto"/>
          <w:spacing w:val="0"/>
          <w:sz w:val="32"/>
          <w:szCs w:val="32"/>
          <w:lang w:val="en-US" w:eastAsia="zh-CN"/>
        </w:rPr>
        <w:t>合安全</w:t>
      </w:r>
      <w:r>
        <w:rPr>
          <w:rFonts w:hint="eastAsia" w:ascii="Times New Roman" w:hAnsi="Times New Roman" w:eastAsia="仿宋_GB2312" w:cs="Times New Roman"/>
          <w:color w:val="auto"/>
          <w:sz w:val="32"/>
          <w:szCs w:val="32"/>
          <w:lang w:val="en-US" w:eastAsia="zh-CN"/>
        </w:rPr>
        <w:t>生产宣传月、</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s://www.baidu.com/s?tn=40020637_dg&amp;wd=%E5%85%A8%E5%9B%BD%E9%98%B2%E7%81%BE%E5%87%8F%E7%81%BE%E6%97%A5&amp;usm=2&amp;ie=utf-8&amp;rsv_pq=d324c8e6005c1402&amp;oq=5.12%E6%98%AF%E4%BB%80%E4%B9%88%E8%8A%82%E6%97%A5?&amp;rsv_t=7f95B3xTOUs/N5UR1wZzLCkYPi07F2HPp/rVOU0oGL1fVTcHW5hfzhpdrRCp0dREg0s&amp;sa=re_dqa_generate" \t "/home/xs007/文档\\x/_self"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全国防灾减灾日</w:t>
      </w:r>
      <w:r>
        <w:rPr>
          <w:rFonts w:hint="default" w:ascii="Times New Roman" w:hAnsi="Times New Roman" w:eastAsia="仿宋_GB2312" w:cs="Times New Roman"/>
          <w:color w:val="auto"/>
          <w:sz w:val="32"/>
          <w:szCs w:val="32"/>
        </w:rPr>
        <w:fldChar w:fldCharType="end"/>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国际减灾日等主题活动，常态化开展安全宣传“五进”和“敲门行动”，</w:t>
      </w:r>
      <w:r>
        <w:rPr>
          <w:rFonts w:hint="eastAsia" w:ascii="Times New Roman" w:hAnsi="Times New Roman" w:eastAsia="仿宋_GB2312" w:cs="Times New Roman"/>
          <w:color w:val="auto"/>
          <w:sz w:val="32"/>
          <w:szCs w:val="32"/>
        </w:rPr>
        <w:t>进一步加强</w:t>
      </w:r>
      <w:r>
        <w:rPr>
          <w:rFonts w:hint="eastAsia" w:ascii="Times New Roman" w:hAnsi="Times New Roman" w:eastAsia="仿宋_GB2312" w:cs="Times New Roman"/>
          <w:color w:val="auto"/>
          <w:sz w:val="32"/>
          <w:szCs w:val="32"/>
          <w:lang w:eastAsia="zh-CN"/>
        </w:rPr>
        <w:t>安全常识、应急自救互救及</w:t>
      </w:r>
      <w:r>
        <w:rPr>
          <w:rFonts w:hint="eastAsia" w:ascii="Times New Roman" w:hAnsi="Times New Roman" w:eastAsia="仿宋_GB2312" w:cs="Times New Roman"/>
          <w:color w:val="auto"/>
          <w:sz w:val="32"/>
          <w:szCs w:val="32"/>
        </w:rPr>
        <w:t>防灾减灾救灾宣传教育</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全方位营造“人人讲安全、个个会应急”的浓厚氛围，不断提升群众安全防范意识和自救互救能力。</w:t>
      </w:r>
    </w:p>
    <w:p>
      <w:pPr>
        <w:spacing w:line="600" w:lineRule="exact"/>
        <w:ind w:firstLine="640" w:firstLineChars="200"/>
        <w:rPr>
          <w:rFonts w:eastAsia="黑体"/>
          <w:sz w:val="32"/>
          <w:szCs w:val="32"/>
        </w:rPr>
      </w:pPr>
      <w:r>
        <w:rPr>
          <w:rFonts w:eastAsia="黑体"/>
          <w:sz w:val="32"/>
          <w:szCs w:val="32"/>
        </w:rPr>
        <w:t>九、绩效自评结果拟应用和公开情况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年，我</w:t>
      </w:r>
      <w:r>
        <w:rPr>
          <w:rFonts w:hint="eastAsia" w:ascii="仿宋" w:hAnsi="仿宋" w:eastAsia="仿宋" w:cs="仿宋"/>
          <w:sz w:val="32"/>
          <w:szCs w:val="32"/>
          <w:lang w:val="en-US" w:eastAsia="zh-CN"/>
        </w:rPr>
        <w:t>局</w:t>
      </w:r>
      <w:r>
        <w:rPr>
          <w:rFonts w:hint="eastAsia" w:ascii="仿宋" w:hAnsi="仿宋" w:eastAsia="仿宋" w:cs="仿宋"/>
          <w:sz w:val="32"/>
          <w:szCs w:val="32"/>
        </w:rPr>
        <w:t>通过加强预算收支管理，不断建立健全内部管理制度，梳理内部管理流程，部门整体支出管理水平得到提升。有计划地安排、使用资金，严格财务审批制度，保证资金使用合法合规，同时资金使用无截留、挤占、挪用、虚列支出等情况，确保了单位正常运行，完成了全年目标任务，预算执行情况较好。根据部门整体支出绩效评价指标体系认真开展自评，撰写绩效评价报告，并将按照要求进行信息公开。根据部门整体支出绩效自评表，我中心202</w:t>
      </w:r>
      <w:r>
        <w:rPr>
          <w:rFonts w:hint="eastAsia" w:ascii="仿宋" w:hAnsi="仿宋" w:eastAsia="仿宋" w:cs="仿宋"/>
          <w:sz w:val="32"/>
          <w:szCs w:val="32"/>
          <w:lang w:val="en-US" w:eastAsia="zh-CN"/>
        </w:rPr>
        <w:t>4</w:t>
      </w:r>
      <w:r>
        <w:rPr>
          <w:rFonts w:hint="eastAsia" w:ascii="仿宋" w:hAnsi="仿宋" w:eastAsia="仿宋" w:cs="仿宋"/>
          <w:sz w:val="32"/>
          <w:szCs w:val="32"/>
        </w:rPr>
        <w:t>年度绩效自评评分等级为“优”。</w:t>
      </w:r>
    </w:p>
    <w:p>
      <w:pPr>
        <w:spacing w:line="600" w:lineRule="exact"/>
        <w:ind w:firstLine="640" w:firstLineChars="200"/>
        <w:rPr>
          <w:rFonts w:eastAsia="黑体"/>
          <w:sz w:val="32"/>
          <w:szCs w:val="32"/>
        </w:rPr>
      </w:pPr>
      <w:r>
        <w:rPr>
          <w:rFonts w:hint="eastAsia" w:eastAsia="黑体"/>
          <w:sz w:val="32"/>
          <w:szCs w:val="32"/>
          <w:lang w:val="en-US" w:eastAsia="zh-CN"/>
        </w:rPr>
        <w:t>十、</w:t>
      </w:r>
      <w:r>
        <w:rPr>
          <w:rFonts w:eastAsia="黑体"/>
          <w:sz w:val="32"/>
          <w:szCs w:val="32"/>
        </w:rPr>
        <w:t>其他需要说明的情况</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pPr>
        <w:spacing w:line="600" w:lineRule="exact"/>
        <w:ind w:firstLine="640" w:firstLineChars="200"/>
        <w:rPr>
          <w:rFonts w:eastAsia="仿宋_GB2312"/>
          <w:sz w:val="32"/>
          <w:szCs w:val="32"/>
        </w:rPr>
      </w:pPr>
      <w:r>
        <w:rPr>
          <w:rFonts w:hint="eastAsia" w:eastAsia="仿宋_GB2312"/>
          <w:sz w:val="32"/>
          <w:szCs w:val="32"/>
          <w:lang w:val="en-US" w:eastAsia="zh-CN"/>
        </w:rPr>
        <w:t>整体支出</w:t>
      </w:r>
      <w:r>
        <w:rPr>
          <w:rFonts w:eastAsia="仿宋_GB2312"/>
          <w:sz w:val="32"/>
          <w:szCs w:val="32"/>
        </w:rPr>
        <w:t>报告需要以下附件：</w:t>
      </w:r>
    </w:p>
    <w:p>
      <w:pPr>
        <w:spacing w:line="600" w:lineRule="exact"/>
        <w:ind w:firstLine="640" w:firstLineChars="200"/>
        <w:rPr>
          <w:rFonts w:eastAsia="仿宋_GB2312"/>
          <w:sz w:val="32"/>
          <w:szCs w:val="32"/>
        </w:rPr>
      </w:pPr>
      <w:r>
        <w:rPr>
          <w:rFonts w:eastAsia="仿宋_GB2312"/>
          <w:sz w:val="32"/>
          <w:szCs w:val="32"/>
        </w:rPr>
        <w:t>1、部门整体支出绩效评价基础数据表</w:t>
      </w:r>
    </w:p>
    <w:p>
      <w:pPr>
        <w:spacing w:line="600" w:lineRule="exact"/>
        <w:ind w:firstLine="640" w:firstLineChars="200"/>
        <w:rPr>
          <w:rFonts w:eastAsia="仿宋_GB2312"/>
          <w:sz w:val="32"/>
          <w:szCs w:val="32"/>
        </w:rPr>
      </w:pPr>
      <w:r>
        <w:rPr>
          <w:rFonts w:eastAsia="仿宋_GB2312"/>
          <w:sz w:val="32"/>
          <w:szCs w:val="32"/>
        </w:rPr>
        <w:t>2、部门整体支出绩效自评表</w:t>
      </w:r>
    </w:p>
    <w:p>
      <w:pPr>
        <w:spacing w:line="600" w:lineRule="exact"/>
        <w:ind w:firstLine="640" w:firstLineChars="200"/>
        <w:rPr>
          <w:rFonts w:eastAsia="仿宋_GB2312"/>
          <w:sz w:val="32"/>
          <w:szCs w:val="32"/>
        </w:rPr>
      </w:pPr>
      <w:r>
        <w:rPr>
          <w:rFonts w:eastAsia="仿宋_GB2312"/>
          <w:sz w:val="32"/>
          <w:szCs w:val="32"/>
        </w:rPr>
        <w:t>3、项目支出绩效自评表（每个一级项目支出一张表）</w:t>
      </w:r>
    </w:p>
    <w:p>
      <w:pPr>
        <w:spacing w:line="600" w:lineRule="exact"/>
        <w:ind w:left="-199" w:leftChars="-95" w:firstLine="14" w:firstLineChars="7"/>
        <w:jc w:val="left"/>
        <w:rPr>
          <w:rFonts w:hint="default" w:eastAsia="仿宋_GB2312"/>
          <w:sz w:val="21"/>
          <w:szCs w:val="21"/>
          <w:lang w:val="en-US" w:eastAsia="zh-CN"/>
        </w:rPr>
      </w:pPr>
      <w:r>
        <w:rPr>
          <w:rFonts w:hint="eastAsia" w:eastAsia="仿宋_GB2312"/>
          <w:sz w:val="21"/>
          <w:szCs w:val="21"/>
          <w:lang w:val="en-US" w:eastAsia="zh-CN"/>
        </w:rPr>
        <w:t>附件1：</w:t>
      </w:r>
    </w:p>
    <w:tbl>
      <w:tblPr>
        <w:tblStyle w:val="9"/>
        <w:tblW w:w="10414"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1137"/>
        <w:gridCol w:w="1310"/>
        <w:gridCol w:w="1120"/>
        <w:gridCol w:w="1303"/>
        <w:gridCol w:w="1263"/>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1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8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财政供养人员情况</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编制数</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2023年实际在职人数</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8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33</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经费控制情况(万元)</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2022年决算数</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2023年预算数</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1、公务用车购置和维护经费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其中：公车购置</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公车运行维护</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2、出国经费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3、公务接待</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910.58</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506.06</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1、业务工作经费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910.58</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506.06</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2、运行维护经费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3、本级专项资金（一个专项一行）</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127.15</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其中：办公经费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水费、电费、差旅费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46.47</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会议费、培训费</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政府采购金额</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289.34</w:t>
            </w: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lang w:val="en-US" w:eastAsia="zh-CN"/>
              </w:rPr>
            </w:pP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部门基本支出预算调整 </w:t>
            </w:r>
          </w:p>
        </w:tc>
        <w:tc>
          <w:tcPr>
            <w:tcW w:w="244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42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74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2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楼堂馆所控制情况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（2023年完工项目）</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批复规模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实际规模</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规模控制率</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预算投资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实际投资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厉行节约保障措施</w:t>
            </w:r>
          </w:p>
        </w:tc>
        <w:tc>
          <w:tcPr>
            <w:tcW w:w="761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w:t>
            </w:r>
            <w:r>
              <w:rPr>
                <w:rFonts w:hint="eastAsia" w:ascii="宋体" w:hAnsi="宋体" w:cs="宋体"/>
                <w:i w:val="0"/>
                <w:iCs w:val="0"/>
                <w:color w:val="000000"/>
                <w:kern w:val="0"/>
                <w:sz w:val="18"/>
                <w:szCs w:val="18"/>
                <w:u w:val="none"/>
                <w:lang w:val="en-US" w:eastAsia="zh-CN" w:bidi="ar"/>
              </w:rPr>
              <w:t>局</w:t>
            </w:r>
            <w:r>
              <w:rPr>
                <w:rFonts w:hint="eastAsia" w:ascii="宋体" w:hAnsi="宋体" w:eastAsia="宋体" w:cs="宋体"/>
                <w:i w:val="0"/>
                <w:iCs w:val="0"/>
                <w:color w:val="000000"/>
                <w:kern w:val="0"/>
                <w:sz w:val="18"/>
                <w:szCs w:val="18"/>
                <w:u w:val="none"/>
                <w:lang w:val="en-US" w:eastAsia="zh-CN" w:bidi="ar"/>
              </w:rPr>
              <w:t>根据中央八项规定严控三公经费等支出。</w:t>
            </w:r>
          </w:p>
        </w:tc>
      </w:tr>
    </w:tbl>
    <w:p/>
    <w:p>
      <w:pPr>
        <w:ind w:left="0" w:leftChars="-95" w:hanging="199" w:hangingChars="95"/>
        <w:rPr>
          <w:rFonts w:hint="eastAsia"/>
          <w:lang w:val="en-US" w:eastAsia="zh-CN"/>
        </w:rPr>
      </w:pPr>
      <w:r>
        <w:rPr>
          <w:rFonts w:hint="eastAsia"/>
          <w:lang w:val="en-US" w:eastAsia="zh-CN"/>
        </w:rPr>
        <w:t>附件2：</w:t>
      </w:r>
    </w:p>
    <w:tbl>
      <w:tblPr>
        <w:tblStyle w:val="9"/>
        <w:tblpPr w:leftFromText="180" w:rightFromText="180" w:vertAnchor="text" w:horzAnchor="page" w:tblpX="747" w:tblpY="403"/>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
        <w:gridCol w:w="1044"/>
        <w:gridCol w:w="1430"/>
        <w:gridCol w:w="1125"/>
        <w:gridCol w:w="872"/>
        <w:gridCol w:w="894"/>
        <w:gridCol w:w="850"/>
        <w:gridCol w:w="850"/>
        <w:gridCol w:w="735"/>
        <w:gridCol w:w="861"/>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00" w:type="dxa"/>
            <w:gridSpan w:val="11"/>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预算部门名称</w:t>
            </w:r>
          </w:p>
        </w:tc>
        <w:tc>
          <w:tcPr>
            <w:tcW w:w="8574"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color w:val="000000"/>
                <w:kern w:val="0"/>
                <w:sz w:val="18"/>
                <w:szCs w:val="18"/>
                <w:u w:val="none"/>
                <w:lang w:val="en-US" w:eastAsia="zh-CN" w:bidi="ar"/>
              </w:rPr>
              <w:t>(万元)</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年初预算数</w:t>
            </w:r>
            <w:r>
              <w:rPr>
                <w:rFonts w:hint="default" w:ascii="仿宋_GB2312" w:hAnsi="宋体" w:eastAsia="仿宋_GB2312" w:cs="仿宋_GB2312"/>
                <w:b/>
                <w:bCs/>
                <w:i w:val="0"/>
                <w:iCs w:val="0"/>
                <w:color w:val="000000"/>
                <w:kern w:val="0"/>
                <w:sz w:val="18"/>
                <w:szCs w:val="18"/>
                <w:u w:val="none"/>
                <w:lang w:val="en-US" w:eastAsia="zh-CN" w:bidi="ar"/>
              </w:rPr>
              <w:br w:type="textWrapping"/>
            </w:r>
            <w:r>
              <w:rPr>
                <w:rFonts w:hint="default" w:ascii="仿宋_GB2312" w:hAnsi="宋体" w:eastAsia="仿宋_GB2312" w:cs="仿宋_GB2312"/>
                <w:b/>
                <w:bCs/>
                <w:i w:val="0"/>
                <w:iCs w:val="0"/>
                <w:color w:val="000000"/>
                <w:kern w:val="0"/>
                <w:sz w:val="18"/>
                <w:szCs w:val="18"/>
                <w:u w:val="none"/>
                <w:lang w:val="en-US" w:eastAsia="zh-CN" w:bidi="ar"/>
              </w:rPr>
              <w:t>(万元)</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259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9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年度资金总额：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1225.57</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1696.97</w:t>
            </w:r>
          </w:p>
        </w:tc>
        <w:tc>
          <w:tcPr>
            <w:tcW w:w="25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1669.27</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98.36%</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9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602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按收入性质分：</w:t>
            </w:r>
          </w:p>
        </w:tc>
        <w:tc>
          <w:tcPr>
            <w:tcW w:w="25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9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一般公共预算：</w:t>
            </w:r>
          </w:p>
        </w:tc>
        <w:tc>
          <w:tcPr>
            <w:tcW w:w="459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1661.66</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其中:基本支出：</w:t>
            </w:r>
          </w:p>
        </w:tc>
        <w:tc>
          <w:tcPr>
            <w:tcW w:w="18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9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政府性基金拨款：</w:t>
            </w:r>
          </w:p>
        </w:tc>
        <w:tc>
          <w:tcPr>
            <w:tcW w:w="459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8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9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纳入专户管理的非税收入拨款：</w:t>
            </w:r>
          </w:p>
        </w:tc>
        <w:tc>
          <w:tcPr>
            <w:tcW w:w="459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8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其他资金</w:t>
            </w:r>
          </w:p>
        </w:tc>
        <w:tc>
          <w:tcPr>
            <w:tcW w:w="459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7.61</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8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年度总体目标</w:t>
            </w:r>
          </w:p>
        </w:tc>
        <w:tc>
          <w:tcPr>
            <w:tcW w:w="602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预期目标</w:t>
            </w:r>
          </w:p>
        </w:tc>
        <w:tc>
          <w:tcPr>
            <w:tcW w:w="25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9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18"/>
                <w:szCs w:val="18"/>
                <w:u w:val="none"/>
              </w:rPr>
            </w:pPr>
          </w:p>
        </w:tc>
        <w:tc>
          <w:tcPr>
            <w:tcW w:w="602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在今年收支预算内，确保完成以下整体目标：</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1.强化安全生产责任落实。继续实行“目标管理”和“一岗双责”。分析研判事故形势，召开全县安全生产工作会议，强化巡查督导和问责。</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强化安全生产隐患治理。突出春节、节后复工、全国两会、国庆等重点时期，牵头抓好安全生产领域治理工作，全面细化分解责任，严格落实信息报送机制，推进安全隐患的有序治理，同时推进县领导重点领域节前督查，切实保障了重点时段全县安全生产形势的稳定。3.加大“强监管、严执法”工作力度。一是加强对矿山、工贸行业的安全管理，推进危险化学品综合治理工作；二是持续开展烟花爆竹打非治违行动，规范市场经营秩序，有效防范安全事故的发生。4.强化安全生产专项整治。深入开展安全生产专项整治，建立工作情况报送机制，及时掌握行动进展情况，督促各部门严格按照目标要求和时间节点推进整治。5.进一步加大安全生产知识、防灾减灾知识的宣传教育。积极开展安全生产宣传教育“幸福敲门，安全到家”活动，采取多种形式宣传安全生产法律法规、安全生产知识、防灾减灾知识，切实增强全民安全生产意识，提升公众安全素质，推动基层和企业加强安全管理，落实安全生产责任。6.继续抓好防汛抗旱、森林防灭火、防灾救灾等各项应急管理工作。7.做好县委、县政府及上级主管部门交办的其他工作。</w:t>
            </w:r>
          </w:p>
        </w:tc>
        <w:tc>
          <w:tcPr>
            <w:tcW w:w="25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绩效指标</w:t>
            </w:r>
          </w:p>
        </w:tc>
        <w:tc>
          <w:tcPr>
            <w:tcW w:w="10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一级指标</w:t>
            </w:r>
          </w:p>
        </w:tc>
        <w:tc>
          <w:tcPr>
            <w:tcW w:w="14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三级指标</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年度指标值</w:t>
            </w:r>
          </w:p>
        </w:tc>
        <w:tc>
          <w:tcPr>
            <w:tcW w:w="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评扣分标准</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分值</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c>
          <w:tcPr>
            <w:tcW w:w="2553"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iCs w:val="0"/>
                <w:color w:val="000000"/>
                <w:sz w:val="18"/>
                <w:szCs w:val="18"/>
                <w:u w:val="none"/>
              </w:rPr>
            </w:pPr>
          </w:p>
        </w:tc>
        <w:tc>
          <w:tcPr>
            <w:tcW w:w="255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绩效指标</w:t>
            </w:r>
          </w:p>
        </w:tc>
        <w:tc>
          <w:tcPr>
            <w:tcW w:w="104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产出指标</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效益指标</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完成全县安全津贴发放率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100%发放5分，每下降1%扣0.5分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continue"/>
            <w:tcBorders>
              <w:left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冬春救助人数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≥50000人</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51325人</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超过5万人计5分，否则不得分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continue"/>
            <w:tcBorders>
              <w:left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提高全县人员安全意识率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完成90%计5分，每下降1%扣0.5分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各项培训合格率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完成计5分，每下降1%扣0.5分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continue"/>
            <w:tcBorders>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各项工作完成时间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2024年1-12月</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2024年1-12月</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完成计10分，每延迟一天扣0.1分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restart"/>
            <w:tcBorders>
              <w:top w:val="single" w:color="000000" w:sz="4" w:space="0"/>
              <w:left w:val="single" w:color="000000" w:sz="4" w:space="0"/>
              <w:right w:val="single" w:color="000000" w:sz="4" w:space="0"/>
            </w:tcBorders>
            <w:noWrap w:val="0"/>
            <w:vAlign w:val="center"/>
          </w:tcPr>
          <w:p>
            <w:pP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效益指标</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满意度指标</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厉行节约，提高资金使用效率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逐步提高</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逐步提高</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逐步提高计10分，否则每下降1%分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continue"/>
            <w:tcBorders>
              <w:left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完成全县应急工作的任务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完成计5分，每下降1%扣0.5分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认真贯彻执行国家安全生产工作的方针、政策和安全生产法律、法规及规章。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贯彻到位</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贯彻到位</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贯彻到位计5分，否则不得分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为新邵发展提供支持，改善软环境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持续改善</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持续改善</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持续改善计10分，否则不得分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提升全县应急能力建设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持续提升</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持续提升</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持续提升计10分，否则不得分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满意度指标</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群众满意度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≥95%</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完成计10分，每下降1%扣0.5分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成本指标</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全年执行数不超全年预算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≤1696.97万元</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1669.27万元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完成计5分，每超1%扣0.5分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25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8574"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99.84</w:t>
            </w:r>
          </w:p>
        </w:tc>
      </w:tr>
    </w:tbl>
    <w:p>
      <w:pPr>
        <w:ind w:left="0" w:leftChars="-295" w:hanging="619" w:hangingChars="295"/>
        <w:rPr>
          <w:rFonts w:hint="default"/>
          <w:lang w:val="en-US" w:eastAsia="zh-CN"/>
        </w:rPr>
      </w:pPr>
    </w:p>
    <w:p>
      <w:pPr>
        <w:ind w:left="0" w:leftChars="-95" w:hanging="199" w:hangingChars="95"/>
        <w:rPr>
          <w:rFonts w:hint="eastAsia"/>
          <w:lang w:val="en-US" w:eastAsia="zh-CN"/>
        </w:rPr>
      </w:pPr>
      <w:r>
        <w:rPr>
          <w:rFonts w:hint="eastAsia"/>
          <w:lang w:val="en-US" w:eastAsia="zh-CN"/>
        </w:rPr>
        <w:t>附件3：</w:t>
      </w:r>
    </w:p>
    <w:p>
      <w:pPr>
        <w:ind w:left="0" w:leftChars="-295" w:hanging="619" w:hangingChars="295"/>
        <w:rPr>
          <w:rFonts w:hint="eastAsia"/>
          <w:lang w:val="en-US" w:eastAsia="zh-CN"/>
        </w:rPr>
      </w:pPr>
    </w:p>
    <w:tbl>
      <w:tblPr>
        <w:tblStyle w:val="9"/>
        <w:tblW w:w="10575"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4"/>
        <w:gridCol w:w="955"/>
        <w:gridCol w:w="1319"/>
        <w:gridCol w:w="1532"/>
        <w:gridCol w:w="1201"/>
        <w:gridCol w:w="1844"/>
        <w:gridCol w:w="960"/>
        <w:gridCol w:w="739"/>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9581"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（新邵县管理局应急）年初预算安排防汛分控平台租赁、维护费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94"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9581" w:type="dxa"/>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9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5007"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184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2730" w:type="dxa"/>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9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2274" w:type="dxa"/>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532"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1201"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1844"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96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73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03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74"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532"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201"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844"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3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74"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532"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201"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844"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3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74"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532"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201"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6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73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74"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532"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201"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20.26</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20.11</w:t>
            </w:r>
          </w:p>
        </w:tc>
        <w:tc>
          <w:tcPr>
            <w:tcW w:w="96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73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74"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532"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201"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6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73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74"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532"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201"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20.26</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20.11</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99.00%</w:t>
            </w:r>
          </w:p>
        </w:tc>
        <w:tc>
          <w:tcPr>
            <w:tcW w:w="1031"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99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5007"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4574" w:type="dxa"/>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007" w:type="dxa"/>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确保防汛指挥系统高效运转，为防指决策提供科学依据，及时发布预警信息，免除或减少因洪涝旱灾而可能发生的人民生命财产安全。   </w:t>
            </w:r>
          </w:p>
        </w:tc>
        <w:tc>
          <w:tcPr>
            <w:tcW w:w="4574" w:type="dxa"/>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007" w:type="dxa"/>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574" w:type="dxa"/>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007" w:type="dxa"/>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574" w:type="dxa"/>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9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95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31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532"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1201"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1844"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96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73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0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532"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201"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844"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3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532"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201"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844"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3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31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信息化平台建设</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启动防汛应急响应次数</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 次</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4次</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防汛分控平台稳定运行</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稳定运行</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稳定运行</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防汛分控平台租赁维护时间</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2023年全年</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2023年全年</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厉行节约，提高经费使用效益</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平台实时监控，减少灾害损失</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实时监控</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实时监控</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532" w:type="dxa"/>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1201" w:type="dxa"/>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844" w:type="dxa"/>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6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73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为防汛工作提供有力保障</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保护人民群众生命财产安全</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持续保护</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持续保护</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群众对政府满意度</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53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支出不超过预算安排</w:t>
            </w:r>
          </w:p>
        </w:tc>
        <w:tc>
          <w:tcPr>
            <w:tcW w:w="1201"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≤20.26万元</w:t>
            </w:r>
          </w:p>
        </w:tc>
        <w:tc>
          <w:tcPr>
            <w:tcW w:w="1844"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20.11万元</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532" w:type="dxa"/>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1201" w:type="dxa"/>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844" w:type="dxa"/>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6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73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9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532" w:type="dxa"/>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1201" w:type="dxa"/>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844" w:type="dxa"/>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6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73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45" w:type="dxa"/>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3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99.90</w:t>
            </w:r>
          </w:p>
        </w:tc>
        <w:tc>
          <w:tcPr>
            <w:tcW w:w="1031"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eastAsia"/>
          <w:lang w:val="en-US" w:eastAsia="zh-CN"/>
        </w:rPr>
      </w:pPr>
      <w:r>
        <w:rPr>
          <w:rFonts w:hint="eastAsia"/>
          <w:lang w:val="en-US" w:eastAsia="zh-CN"/>
        </w:rPr>
        <w:t>附件3：</w:t>
      </w:r>
    </w:p>
    <w:p>
      <w:pPr>
        <w:ind w:left="0" w:leftChars="-295" w:hanging="619" w:hangingChars="295"/>
        <w:rPr>
          <w:rFonts w:hint="eastAsia"/>
          <w:lang w:val="en-US" w:eastAsia="zh-CN"/>
        </w:rPr>
      </w:pP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
        <w:gridCol w:w="876"/>
        <w:gridCol w:w="1162"/>
        <w:gridCol w:w="2253"/>
        <w:gridCol w:w="1220"/>
        <w:gridCol w:w="1087"/>
        <w:gridCol w:w="739"/>
        <w:gridCol w:w="130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583"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防汛分控平台租赁、维护费</w:t>
            </w:r>
          </w:p>
          <w:p>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4583" w:type="pct"/>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580" w:type="pct"/>
            <w:gridSpan w:val="4"/>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508" w:type="pc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494" w:type="pct"/>
            <w:gridSpan w:val="3"/>
            <w:tcBorders>
              <w:top w:val="single" w:color="000000" w:sz="8" w:space="0"/>
              <w:left w:val="nil"/>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954" w:type="pct"/>
            <w:gridSpan w:val="2"/>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055" w:type="pct"/>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571" w:type="pct"/>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508" w:type="pct"/>
            <w:vMerge w:val="restart"/>
            <w:tcBorders>
              <w:top w:val="single" w:color="000000" w:sz="8"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346"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609"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538"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54" w:type="pct"/>
            <w:gridSpan w:val="2"/>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055"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71"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8" w:type="pct"/>
            <w:vMerge w:val="continue"/>
            <w:tcBorders>
              <w:top w:val="single" w:color="000000" w:sz="8" w:space="0"/>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09"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3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54" w:type="pct"/>
            <w:gridSpan w:val="2"/>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055"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71"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8" w:type="pct"/>
            <w:vMerge w:val="continue"/>
            <w:tcBorders>
              <w:top w:val="single" w:color="000000" w:sz="8" w:space="0"/>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09"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38"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54"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055"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12.26</w:t>
            </w:r>
          </w:p>
        </w:tc>
        <w:tc>
          <w:tcPr>
            <w:tcW w:w="571"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12.26</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12.26</w:t>
            </w:r>
          </w:p>
        </w:tc>
        <w:tc>
          <w:tcPr>
            <w:tcW w:w="34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54"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055"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71"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12.26</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12.26</w:t>
            </w:r>
          </w:p>
        </w:tc>
        <w:tc>
          <w:tcPr>
            <w:tcW w:w="34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54"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055"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71"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34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54"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055"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12.26</w:t>
            </w:r>
          </w:p>
        </w:tc>
        <w:tc>
          <w:tcPr>
            <w:tcW w:w="571"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24.52</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24.52</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53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580" w:type="pct"/>
            <w:gridSpan w:val="4"/>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2002" w:type="pct"/>
            <w:gridSpan w:val="4"/>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80" w:type="pct"/>
            <w:gridSpan w:val="4"/>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确保防汛指挥系统高效运转，为防指决策提供科学依据，及时发布预警信息，免除或减少因洪涝旱灾而可能发生的人民生命财产安全。</w:t>
            </w:r>
          </w:p>
        </w:tc>
        <w:tc>
          <w:tcPr>
            <w:tcW w:w="2002" w:type="pct"/>
            <w:gridSpan w:val="4"/>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80" w:type="pct"/>
            <w:gridSpan w:val="4"/>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002" w:type="pct"/>
            <w:gridSpan w:val="4"/>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80" w:type="pct"/>
            <w:gridSpan w:val="4"/>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002" w:type="pct"/>
            <w:gridSpan w:val="4"/>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410"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544"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055"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571" w:type="pct"/>
            <w:vMerge w:val="restar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508" w:type="pct"/>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346"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609"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538"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44"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05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71" w:type="pct"/>
            <w:vMerge w:val="continue"/>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8"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09"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38"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44"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05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71" w:type="pct"/>
            <w:vMerge w:val="continue"/>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8"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09"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38"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544"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信息化平台建设</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44"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面对连续12轮强降雨紧急避险人数</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≥2000人</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2285人</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防汛分控平台稳定运行</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稳定运行</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稳定运行</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及时发布预警信息</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及时发布</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及时发布</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厉行节约，提高经费使用效益</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平台实时监控，减少灾害损失</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实时监控</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实时监控</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保护人民群众生命财产安全</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持续保护</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持续保护</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确保系统高效运转，为防汛决策提供科学依据</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05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支出不超过预算安排</w:t>
            </w:r>
          </w:p>
        </w:tc>
        <w:tc>
          <w:tcPr>
            <w:tcW w:w="571"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≤24.52万元</w:t>
            </w:r>
          </w:p>
        </w:tc>
        <w:tc>
          <w:tcPr>
            <w:tcW w:w="50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24.52万元</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055"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571"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8"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4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41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4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055"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571"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8"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4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05" w:type="pct"/>
            <w:gridSpan w:val="6"/>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34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0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3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
        <w:gridCol w:w="767"/>
        <w:gridCol w:w="985"/>
        <w:gridCol w:w="2593"/>
        <w:gridCol w:w="1104"/>
        <w:gridCol w:w="1109"/>
        <w:gridCol w:w="739"/>
        <w:gridCol w:w="1301"/>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577"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安全生产举报奖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4577" w:type="pct"/>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551"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518"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507" w:type="pct"/>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820" w:type="pct"/>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214"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517"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518" w:type="pct"/>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346"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609"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551"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20" w:type="pct"/>
            <w:gridSpan w:val="2"/>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214"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17"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18" w:type="pct"/>
            <w:vMerge w:val="continue"/>
            <w:tcBorders>
              <w:top w:val="single" w:color="000000" w:sz="8" w:space="0"/>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09"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1"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20" w:type="pct"/>
            <w:gridSpan w:val="2"/>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214"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17"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18" w:type="pct"/>
            <w:vMerge w:val="continue"/>
            <w:tcBorders>
              <w:top w:val="single" w:color="000000" w:sz="8" w:space="0"/>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09"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1"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20"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214"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1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1.2</w:t>
            </w:r>
          </w:p>
        </w:tc>
        <w:tc>
          <w:tcPr>
            <w:tcW w:w="34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20"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214"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1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34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20"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214"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1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34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20"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214"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1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1.2</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1.2</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5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551"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2025"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551"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实行2024年安全生产举报奖励，保障全县安全生产社会环境。</w:t>
            </w:r>
          </w:p>
        </w:tc>
        <w:tc>
          <w:tcPr>
            <w:tcW w:w="2025"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551"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025"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551"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025"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5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46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21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517" w:type="pct"/>
            <w:vMerge w:val="restar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518"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346"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60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55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21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17"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18"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0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21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17"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18"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0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46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组织干部学习安全生产法律法规</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≥20次</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22次</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制作安全生产宣传资料</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≥34万份</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34万份</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举报案件合格率</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及时审核以及发放举报奖励</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按时发放</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按时发放</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厉行节约，提高经费使用效益</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提升安全生产环境</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稳步提升</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稳步提升</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214"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17"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18"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34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通过安全举报奖，减少安全生产事故发生，推动全县安全生产形势持续稳定向好</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有效提升</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有效提升</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21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支出不超过预算安排</w:t>
            </w:r>
          </w:p>
        </w:tc>
        <w:tc>
          <w:tcPr>
            <w:tcW w:w="517"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≤1.2万元</w:t>
            </w:r>
          </w:p>
        </w:tc>
        <w:tc>
          <w:tcPr>
            <w:tcW w:w="5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1.2万元</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214"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17"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18"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34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5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6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214"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17"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18"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34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0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92" w:type="pct"/>
            <w:gridSpan w:val="6"/>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0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5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1"/>
        <w:gridCol w:w="794"/>
        <w:gridCol w:w="1021"/>
        <w:gridCol w:w="1845"/>
        <w:gridCol w:w="1563"/>
        <w:gridCol w:w="1414"/>
        <w:gridCol w:w="739"/>
        <w:gridCol w:w="1155"/>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08"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591"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新邵县应急管理局自然灾害应急能力提升工程基层防灾项目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08"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4591" w:type="pct"/>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40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446"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6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485" w:type="pct"/>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850" w:type="pct"/>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864"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730"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659" w:type="pct"/>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346"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541"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59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50" w:type="pct"/>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64" w:type="pct"/>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30" w:type="pct"/>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659" w:type="pct"/>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41"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9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50" w:type="pct"/>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64" w:type="pct"/>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30" w:type="pct"/>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659" w:type="pct"/>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41"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9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50"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864"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30"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959.56</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206.54</w:t>
            </w:r>
          </w:p>
        </w:tc>
        <w:tc>
          <w:tcPr>
            <w:tcW w:w="346"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41"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50"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864"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30"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346"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41"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50"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864"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30"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346"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41"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50"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864"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30"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959.56</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206.54</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21.00%</w:t>
            </w:r>
          </w:p>
        </w:tc>
        <w:tc>
          <w:tcPr>
            <w:tcW w:w="59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0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446"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2145"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2446"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加强基层综合性应急救援能力建设，为县、镇两级救援队伍补充加强救援装备，大力推动基层应急管理能力快速提升。</w:t>
            </w:r>
          </w:p>
        </w:tc>
        <w:tc>
          <w:tcPr>
            <w:tcW w:w="2145"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2446" w:type="pct"/>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45" w:type="pct"/>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2446" w:type="pct"/>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45" w:type="pct"/>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0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7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47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86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730" w:type="pct"/>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659"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346"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54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597"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47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64"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30" w:type="pct"/>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659" w:type="pct"/>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41"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97"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47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864"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730" w:type="pct"/>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659" w:type="pct"/>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346"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41"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97"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47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应急救援队伍</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16支</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16支</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7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购置专业救援设备</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≤959.56万元</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206.54万元</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设备验收合格率</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加强基层综合性应急救援能力建设</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逐步加强</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逐步加强</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864" w:type="pct"/>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730" w:type="pct"/>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59" w:type="pct"/>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346"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41"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大力推动基层应急管理能力快速提升</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持续推动</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持续推动</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86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730"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≤959.56万元</w:t>
            </w:r>
          </w:p>
        </w:tc>
        <w:tc>
          <w:tcPr>
            <w:tcW w:w="659" w:type="pc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206.54万元</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864" w:type="pct"/>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730" w:type="pct"/>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59" w:type="pct"/>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346"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41"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8"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37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7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864" w:type="pct"/>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730" w:type="pct"/>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59" w:type="pct"/>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346"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41"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4" w:type="pct"/>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34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4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92.10</w:t>
            </w:r>
          </w:p>
        </w:tc>
        <w:tc>
          <w:tcPr>
            <w:tcW w:w="597" w:type="pct"/>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5"/>
        <w:gridCol w:w="760"/>
        <w:gridCol w:w="1091"/>
        <w:gridCol w:w="2108"/>
        <w:gridCol w:w="1293"/>
        <w:gridCol w:w="1293"/>
        <w:gridCol w:w="594"/>
        <w:gridCol w:w="1004"/>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应急局2023年冬春临时生活救助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切实保障受灾群众基本生活，确保受灾苦难群众安全 温暖过冬和灾区社会大局和谐稳定。</w:t>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冬春救助人数</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≥50000人</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51325人</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做到应助尽助</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按时完成</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按时完成</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冬春物资发放率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资金到达发放时间</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2024年12月底之前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2024年12月底之前</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厉行节约，提高资金使用效率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改善受灾群众冬春生活问题</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逐步改善</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逐步改善</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确保冬春救助群众全年救助到位</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为经济持续健康发展和社会稳定提供安全保障</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持续发展</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持续发展</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受灾群众满意度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全年执行数不超预算</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22万元</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rPr>
          <w:rFonts w:hint="default"/>
          <w:lang w:val="en-US" w:eastAsia="zh-CN"/>
        </w:rPr>
      </w:pPr>
    </w:p>
    <w:p>
      <w:pPr>
        <w:ind w:left="0" w:leftChars="-295" w:hanging="619" w:hangingChars="295"/>
        <w:rPr>
          <w:rFonts w:hint="default"/>
          <w:lang w:val="en-US" w:eastAsia="zh-CN"/>
        </w:rPr>
      </w:pPr>
    </w:p>
    <w:tbl>
      <w:tblPr>
        <w:tblStyle w:val="9"/>
        <w:tblW w:w="1068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9"/>
        <w:gridCol w:w="731"/>
        <w:gridCol w:w="1477"/>
        <w:gridCol w:w="2075"/>
        <w:gridCol w:w="1136"/>
        <w:gridCol w:w="1239"/>
        <w:gridCol w:w="584"/>
        <w:gridCol w:w="912"/>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55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9130"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应急局国债预警指挥项目资金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55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9130" w:type="dxa"/>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5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5419"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123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2472" w:type="dxa"/>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5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2208" w:type="dxa"/>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2075"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1136"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1239" w:type="dxa"/>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58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912"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97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08"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2075"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136"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239"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4"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1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7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08" w:type="dxa"/>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2075"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136"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239" w:type="dxa"/>
            <w:vMerge w:val="continue"/>
            <w:tcBorders>
              <w:top w:val="single" w:color="000000" w:sz="8" w:space="0"/>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4"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1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7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08"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207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36"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72.45</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39.83</w:t>
            </w:r>
          </w:p>
        </w:tc>
        <w:tc>
          <w:tcPr>
            <w:tcW w:w="584"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12"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08"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207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36"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84"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12"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08"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207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36"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84"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12"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208"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2075"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36"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72.45</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39.83</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54.00%</w:t>
            </w:r>
          </w:p>
        </w:tc>
        <w:tc>
          <w:tcPr>
            <w:tcW w:w="976"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55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5419"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3711" w:type="dxa"/>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419" w:type="dxa"/>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通过整合应急管理部统建系统和地方自建系统，推动系统深度融合应用，提升自然灾害综合风险监测预警能力.</w:t>
            </w:r>
          </w:p>
        </w:tc>
        <w:tc>
          <w:tcPr>
            <w:tcW w:w="3711" w:type="dxa"/>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419" w:type="dxa"/>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3711" w:type="dxa"/>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419" w:type="dxa"/>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3711" w:type="dxa"/>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55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7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47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207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1136"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1239" w:type="dxa"/>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58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912"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976"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4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207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136"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239"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12"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7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4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207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136" w:type="dxa"/>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239" w:type="dxa"/>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12"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97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47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购置协同调度终端数量</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1套</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1套</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其他配套设备以及通信装备</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67件</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67件</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LED小拼接屏面积</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7.29平方米</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7.29平方米</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设备验收合格率</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设备调试以及运行时效</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增强自然灾害综合风险感知能力，提高灾害风险研判、预警提醒和应急救援能力</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逐步增强</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逐步增强</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2075" w:type="dxa"/>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1136" w:type="dxa"/>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239" w:type="dxa"/>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4"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12"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进一步建强各级应急指挥体系，提升指挥系统抗灾能力和网络安全感知能力以及科技支撑保障能力</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持续提升</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持续提升</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207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全年执行数不超过指标值</w:t>
            </w:r>
          </w:p>
        </w:tc>
        <w:tc>
          <w:tcPr>
            <w:tcW w:w="113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≤72.45万元</w:t>
            </w:r>
          </w:p>
        </w:tc>
        <w:tc>
          <w:tcPr>
            <w:tcW w:w="1239"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39.83万元</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2075" w:type="dxa"/>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1136" w:type="dxa"/>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239" w:type="dxa"/>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4"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12"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5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731"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47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2075" w:type="dxa"/>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1136" w:type="dxa"/>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239" w:type="dxa"/>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4"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12"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217" w:type="dxa"/>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58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1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95.40</w:t>
            </w:r>
          </w:p>
        </w:tc>
        <w:tc>
          <w:tcPr>
            <w:tcW w:w="976"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7"/>
        <w:gridCol w:w="790"/>
        <w:gridCol w:w="1040"/>
        <w:gridCol w:w="1709"/>
        <w:gridCol w:w="1555"/>
        <w:gridCol w:w="1389"/>
        <w:gridCol w:w="735"/>
        <w:gridCol w:w="1143"/>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565"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智慧安监平台租赁费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4565" w:type="pct"/>
            <w:gridSpan w:val="8"/>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385"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648"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531" w:type="pct"/>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857" w:type="pct"/>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800"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728"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648" w:type="pct"/>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344"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535"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651"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57" w:type="pct"/>
            <w:gridSpan w:val="2"/>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800"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28"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48" w:type="pct"/>
            <w:vMerge w:val="continue"/>
            <w:tcBorders>
              <w:top w:val="single" w:color="000000" w:sz="8" w:space="0"/>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344"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5"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51"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57" w:type="pct"/>
            <w:gridSpan w:val="2"/>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800"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28"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48" w:type="pct"/>
            <w:vMerge w:val="continue"/>
            <w:tcBorders>
              <w:top w:val="single" w:color="000000" w:sz="8" w:space="0"/>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344"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5"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51" w:type="pct"/>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5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800"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57.8</w:t>
            </w:r>
          </w:p>
        </w:tc>
        <w:tc>
          <w:tcPr>
            <w:tcW w:w="72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57.8</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34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5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800"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2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85.34</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27.54</w:t>
            </w:r>
          </w:p>
        </w:tc>
        <w:tc>
          <w:tcPr>
            <w:tcW w:w="34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5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800"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2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34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85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800"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57.8</w:t>
            </w:r>
          </w:p>
        </w:tc>
        <w:tc>
          <w:tcPr>
            <w:tcW w:w="72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143.14</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27.54</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19.00%</w:t>
            </w:r>
          </w:p>
        </w:tc>
        <w:tc>
          <w:tcPr>
            <w:tcW w:w="6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385"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2180"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385"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加强新邵县安全生产监管能力，提高企业安全生产管理水平，确保新邵县长期稳定向好的安全生产形势。</w:t>
            </w:r>
          </w:p>
        </w:tc>
        <w:tc>
          <w:tcPr>
            <w:tcW w:w="2180"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385"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180"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385"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180"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70"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486"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800"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728" w:type="pct"/>
            <w:vMerge w:val="restar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648"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34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53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65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80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28"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48"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34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5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80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28"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48"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34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65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80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智慧安监平台租赁</w:t>
            </w:r>
          </w:p>
        </w:tc>
        <w:tc>
          <w:tcPr>
            <w:tcW w:w="72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1个</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80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智慧安监平台正常运行率</w:t>
            </w:r>
          </w:p>
        </w:tc>
        <w:tc>
          <w:tcPr>
            <w:tcW w:w="72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80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72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80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厉行节约，提高经费使用效益</w:t>
            </w:r>
          </w:p>
        </w:tc>
        <w:tc>
          <w:tcPr>
            <w:tcW w:w="72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80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平台实时监控，维护社会安全生产形势</w:t>
            </w:r>
          </w:p>
        </w:tc>
        <w:tc>
          <w:tcPr>
            <w:tcW w:w="72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持续向好</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持续向好</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800"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72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48"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34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80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长期安全生产形势</w:t>
            </w:r>
          </w:p>
        </w:tc>
        <w:tc>
          <w:tcPr>
            <w:tcW w:w="72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稳定向好</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稳定向好</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80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72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800"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租赁费用不超过预算安排</w:t>
            </w:r>
          </w:p>
        </w:tc>
        <w:tc>
          <w:tcPr>
            <w:tcW w:w="72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≤143.14万元</w:t>
            </w:r>
          </w:p>
        </w:tc>
        <w:tc>
          <w:tcPr>
            <w:tcW w:w="64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27.54万元</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800"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72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48"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34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70"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800"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72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48"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34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8" w:type="pct"/>
            <w:gridSpan w:val="6"/>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34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3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91.90</w:t>
            </w:r>
          </w:p>
        </w:tc>
        <w:tc>
          <w:tcPr>
            <w:tcW w:w="651"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10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946"/>
        <w:gridCol w:w="1177"/>
        <w:gridCol w:w="1177"/>
        <w:gridCol w:w="1177"/>
        <w:gridCol w:w="600"/>
        <w:gridCol w:w="912"/>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01" w:type="dxa"/>
            <w:noWrap/>
            <w:vAlign w:val="center"/>
          </w:tcPr>
          <w:p>
            <w:pPr>
              <w:keepNext w:val="0"/>
              <w:keepLines w:val="0"/>
              <w:widowControl/>
              <w:suppressLineNumbers w:val="0"/>
              <w:snapToGrid w:val="0"/>
              <w:ind w:left="0" w:leftChars="0" w:right="0" w:rightChars="0" w:firstLine="0" w:firstLineChars="0"/>
              <w:jc w:val="center"/>
              <w:textAlignment w:val="center"/>
              <w:rPr>
                <w:rFonts w:ascii="宋体" w:hAnsi="等线" w:eastAsia="宋体" w:cs="等线"/>
                <w:b/>
                <w:i w:val="0"/>
                <w:iCs w:val="0"/>
                <w:color w:val="000000"/>
                <w:sz w:val="22"/>
                <w:szCs w:val="22"/>
                <w:u w:val="none"/>
              </w:rPr>
            </w:pPr>
            <w:r>
              <w:rPr>
                <w:rFonts w:hint="eastAsia" w:ascii="宋体" w:hAnsi="等线" w:eastAsia="宋体" w:cs="等线"/>
                <w:b/>
                <w:i w:val="0"/>
                <w:iCs w:val="0"/>
                <w:color w:val="000000"/>
                <w:kern w:val="0"/>
                <w:sz w:val="22"/>
                <w:szCs w:val="22"/>
                <w:u w:val="none"/>
                <w:lang w:val="en-US" w:eastAsia="zh-CN" w:bidi="ar"/>
              </w:rPr>
              <w:t>项目支出名称</w:t>
            </w:r>
          </w:p>
        </w:tc>
        <w:tc>
          <w:tcPr>
            <w:tcW w:w="2251" w:type="dxa"/>
            <w:gridSpan w:val="7"/>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应急局2023年倒房重建救灾资金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主管部门</w:t>
            </w:r>
          </w:p>
        </w:tc>
        <w:tc>
          <w:tcPr>
            <w:tcW w:w="1177" w:type="dxa"/>
            <w:gridSpan w:val="3"/>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1177"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实施单位</w:t>
            </w:r>
          </w:p>
        </w:tc>
        <w:tc>
          <w:tcPr>
            <w:tcW w:w="2251" w:type="dxa"/>
            <w:gridSpan w:val="3"/>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noWrap/>
            <w:vAlign w:val="center"/>
          </w:tcPr>
          <w:p>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946" w:type="dxa"/>
            <w:noWrap/>
            <w:vAlign w:val="center"/>
          </w:tcPr>
          <w:p>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177"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年初预算数</w:t>
            </w:r>
          </w:p>
        </w:tc>
        <w:tc>
          <w:tcPr>
            <w:tcW w:w="1177"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w:t>
            </w:r>
          </w:p>
        </w:tc>
        <w:tc>
          <w:tcPr>
            <w:tcW w:w="1177"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w:t>
            </w:r>
          </w:p>
        </w:tc>
        <w:tc>
          <w:tcPr>
            <w:tcW w:w="600"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912"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w:t>
            </w:r>
          </w:p>
        </w:tc>
        <w:tc>
          <w:tcPr>
            <w:tcW w:w="2251"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restart"/>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项目金额(万元)</w:t>
            </w: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其中:当年财政拨款</w:t>
            </w:r>
          </w:p>
        </w:tc>
        <w:tc>
          <w:tcPr>
            <w:tcW w:w="1177" w:type="dxa"/>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lang w:val="en-US" w:eastAsia="zh-CN"/>
              </w:rPr>
            </w:pPr>
            <w:r>
              <w:rPr>
                <w:rFonts w:hint="eastAsia" w:ascii="微软雅黑" w:hAnsi="等线" w:eastAsia="微软雅黑" w:cs="等线"/>
                <w:i w:val="0"/>
                <w:iCs w:val="0"/>
                <w:color w:val="000000"/>
                <w:sz w:val="20"/>
                <w:szCs w:val="22"/>
                <w:u w:val="none"/>
                <w:lang w:val="en-US" w:eastAsia="zh-CN"/>
              </w:rPr>
              <w:t>0</w:t>
            </w:r>
          </w:p>
        </w:tc>
        <w:tc>
          <w:tcPr>
            <w:tcW w:w="1177"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177"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600" w:type="dxa"/>
            <w:noWrap w:val="0"/>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912"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上年结转资金</w:t>
            </w:r>
          </w:p>
        </w:tc>
        <w:tc>
          <w:tcPr>
            <w:tcW w:w="1177" w:type="dxa"/>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177" w:type="dxa"/>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59</w:t>
            </w:r>
          </w:p>
        </w:tc>
        <w:tc>
          <w:tcPr>
            <w:tcW w:w="1177" w:type="dxa"/>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53.78</w:t>
            </w:r>
          </w:p>
        </w:tc>
        <w:tc>
          <w:tcPr>
            <w:tcW w:w="600" w:type="dxa"/>
            <w:noWrap w:val="0"/>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912"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kern w:val="0"/>
                <w:sz w:val="20"/>
                <w:szCs w:val="22"/>
                <w:u w:val="none"/>
                <w:lang w:val="en-US" w:eastAsia="zh-CN" w:bidi="ar"/>
              </w:rPr>
            </w:pPr>
            <w:r>
              <w:rPr>
                <w:rFonts w:hint="eastAsia" w:ascii="微软雅黑" w:hAnsi="等线" w:eastAsia="微软雅黑" w:cs="等线"/>
                <w:i w:val="0"/>
                <w:iCs w:val="0"/>
                <w:color w:val="000000"/>
                <w:kern w:val="0"/>
                <w:sz w:val="20"/>
                <w:szCs w:val="22"/>
                <w:u w:val="none"/>
                <w:lang w:val="en-US" w:eastAsia="zh-CN" w:bidi="ar"/>
              </w:rPr>
              <w:t>其他资金</w:t>
            </w:r>
          </w:p>
        </w:tc>
        <w:tc>
          <w:tcPr>
            <w:tcW w:w="1177" w:type="dxa"/>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177"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kern w:val="0"/>
                <w:sz w:val="20"/>
                <w:szCs w:val="22"/>
                <w:u w:val="none"/>
                <w:lang w:val="en-US" w:eastAsia="zh-CN" w:bidi="ar"/>
              </w:rPr>
            </w:pPr>
          </w:p>
        </w:tc>
        <w:tc>
          <w:tcPr>
            <w:tcW w:w="1177"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kern w:val="0"/>
                <w:sz w:val="20"/>
                <w:szCs w:val="22"/>
                <w:u w:val="none"/>
                <w:lang w:val="en-US" w:eastAsia="zh-CN" w:bidi="ar"/>
              </w:rPr>
            </w:pPr>
          </w:p>
        </w:tc>
        <w:tc>
          <w:tcPr>
            <w:tcW w:w="600" w:type="dxa"/>
            <w:noWrap w:val="0"/>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912"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kern w:val="0"/>
                <w:sz w:val="20"/>
                <w:szCs w:val="22"/>
                <w:u w:val="none"/>
                <w:lang w:val="en-US" w:eastAsia="zh-CN" w:bidi="ar"/>
              </w:rPr>
            </w:pPr>
            <w:r>
              <w:rPr>
                <w:rFonts w:hint="eastAsia" w:ascii="微软雅黑" w:hAnsi="等线" w:eastAsia="微软雅黑" w:cs="等线"/>
                <w:i w:val="0"/>
                <w:iCs w:val="0"/>
                <w:color w:val="000000"/>
                <w:kern w:val="0"/>
                <w:sz w:val="20"/>
                <w:szCs w:val="22"/>
                <w:u w:val="none"/>
                <w:lang w:val="en-US" w:eastAsia="zh-CN" w:bidi="ar"/>
              </w:rPr>
              <w:t>年度资金总额</w:t>
            </w:r>
          </w:p>
        </w:tc>
        <w:tc>
          <w:tcPr>
            <w:tcW w:w="1177"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0</w:t>
            </w:r>
          </w:p>
        </w:tc>
        <w:tc>
          <w:tcPr>
            <w:tcW w:w="1177" w:type="dxa"/>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kern w:val="0"/>
                <w:sz w:val="20"/>
                <w:szCs w:val="22"/>
                <w:u w:val="none"/>
                <w:lang w:val="en-US" w:eastAsia="zh-CN" w:bidi="ar"/>
              </w:rPr>
            </w:pPr>
            <w:r>
              <w:rPr>
                <w:rFonts w:hint="eastAsia" w:ascii="微软雅黑" w:hAnsi="等线" w:eastAsia="微软雅黑" w:cs="等线"/>
                <w:i w:val="0"/>
                <w:iCs w:val="0"/>
                <w:color w:val="000000"/>
                <w:kern w:val="0"/>
                <w:sz w:val="20"/>
                <w:szCs w:val="22"/>
                <w:u w:val="none"/>
                <w:lang w:val="en-US" w:eastAsia="zh-CN" w:bidi="ar"/>
              </w:rPr>
              <w:t>59</w:t>
            </w:r>
          </w:p>
        </w:tc>
        <w:tc>
          <w:tcPr>
            <w:tcW w:w="1177" w:type="dxa"/>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kern w:val="0"/>
                <w:sz w:val="20"/>
                <w:szCs w:val="22"/>
                <w:u w:val="none"/>
                <w:lang w:val="en-US" w:eastAsia="zh-CN" w:bidi="ar"/>
              </w:rPr>
            </w:pPr>
            <w:r>
              <w:rPr>
                <w:rFonts w:hint="eastAsia" w:ascii="微软雅黑" w:hAnsi="等线" w:eastAsia="微软雅黑" w:cs="等线"/>
                <w:i w:val="0"/>
                <w:iCs w:val="0"/>
                <w:color w:val="000000"/>
                <w:kern w:val="0"/>
                <w:sz w:val="20"/>
                <w:szCs w:val="22"/>
                <w:u w:val="none"/>
                <w:lang w:val="en-US" w:eastAsia="zh-CN" w:bidi="ar"/>
              </w:rPr>
              <w:t>53.78</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10</w:t>
            </w:r>
          </w:p>
        </w:tc>
        <w:tc>
          <w:tcPr>
            <w:tcW w:w="912" w:type="dxa"/>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91.15%</w:t>
            </w:r>
          </w:p>
        </w:tc>
        <w:tc>
          <w:tcPr>
            <w:tcW w:w="2251" w:type="dxa"/>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 xml:space="preserve">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restart"/>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年度总体目标</w:t>
            </w:r>
          </w:p>
        </w:tc>
        <w:tc>
          <w:tcPr>
            <w:tcW w:w="1177" w:type="dxa"/>
            <w:gridSpan w:val="4"/>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预期目标</w:t>
            </w:r>
          </w:p>
        </w:tc>
        <w:tc>
          <w:tcPr>
            <w:tcW w:w="2251" w:type="dxa"/>
            <w:gridSpan w:val="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177" w:type="dxa"/>
            <w:gridSpan w:val="4"/>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保障因灾倒房及维修补助资金发放到位。</w:t>
            </w:r>
          </w:p>
        </w:tc>
        <w:tc>
          <w:tcPr>
            <w:tcW w:w="2251" w:type="dxa"/>
            <w:gridSpan w:val="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1" w:type="dxa"/>
            <w:gridSpan w:val="8"/>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一级指标</w:t>
            </w: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二级指标</w:t>
            </w:r>
          </w:p>
        </w:tc>
        <w:tc>
          <w:tcPr>
            <w:tcW w:w="1177"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三级指标</w:t>
            </w:r>
          </w:p>
        </w:tc>
        <w:tc>
          <w:tcPr>
            <w:tcW w:w="1177"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年度指标值</w:t>
            </w:r>
          </w:p>
        </w:tc>
        <w:tc>
          <w:tcPr>
            <w:tcW w:w="1177"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实际完成值</w:t>
            </w:r>
          </w:p>
        </w:tc>
        <w:tc>
          <w:tcPr>
            <w:tcW w:w="600"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912"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c>
          <w:tcPr>
            <w:tcW w:w="2251"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restart"/>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产出指标</w:t>
            </w: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数量指标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房屋维修数</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按实际数量维修</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按实际数量维修</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质量指标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维修工程合格验收率</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时效指标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按合同进度完成</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按合同进度完成</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按合同进度完成</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restart"/>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效益指标</w:t>
            </w: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经济效益指标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缓解经济压力，帮助其解决大部分建房及 修缮成本</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逐步缓解</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逐步缓解</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社会效益指标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受灾群众得到补助，维护社会稳定和谐</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社会和谐稳定</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社会和谐稳定</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生态效益指标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人居环境得到明显改善，人民群众安居乐所</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逐步改善</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逐步改善</w:t>
            </w:r>
          </w:p>
        </w:tc>
        <w:tc>
          <w:tcPr>
            <w:tcW w:w="600" w:type="dxa"/>
            <w:noWrap w:val="0"/>
            <w:vAlign w:val="center"/>
          </w:tcPr>
          <w:p>
            <w:pPr>
              <w:snapToGrid w:val="0"/>
              <w:ind w:left="0" w:leftChars="0" w:right="0" w:rightChars="0" w:firstLine="0" w:firstLineChars="0"/>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w:t>
            </w:r>
          </w:p>
        </w:tc>
        <w:tc>
          <w:tcPr>
            <w:tcW w:w="912" w:type="dxa"/>
            <w:noWrap w:val="0"/>
            <w:vAlign w:val="center"/>
          </w:tcPr>
          <w:p>
            <w:pPr>
              <w:snapToGrid w:val="0"/>
              <w:ind w:left="0" w:leftChars="0" w:right="0" w:rightChars="0" w:firstLine="0" w:firstLineChars="0"/>
              <w:jc w:val="right"/>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可持续影响指标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提高群众幸福感，持续保障群众生命财产安全</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满意度指标</w:t>
            </w: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服务对象满意度指标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受灾群众满意度</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18"/>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restart"/>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成本指标</w:t>
            </w: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经济成本指标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支出不超过预算安排</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≤59万元</w:t>
            </w: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53.78万元</w:t>
            </w:r>
          </w:p>
        </w:tc>
        <w:tc>
          <w:tcPr>
            <w:tcW w:w="600"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12"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社会成本指标</w:t>
            </w:r>
          </w:p>
        </w:tc>
        <w:tc>
          <w:tcPr>
            <w:tcW w:w="1177" w:type="dxa"/>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p>
        </w:tc>
        <w:tc>
          <w:tcPr>
            <w:tcW w:w="1177" w:type="dxa"/>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p>
        </w:tc>
        <w:tc>
          <w:tcPr>
            <w:tcW w:w="600"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lang w:val="en-US" w:eastAsia="zh-CN"/>
              </w:rPr>
            </w:pPr>
            <w:r>
              <w:rPr>
                <w:rFonts w:hint="eastAsia" w:ascii="微软雅黑" w:hAnsi="等线" w:eastAsia="微软雅黑" w:cs="等线"/>
                <w:i w:val="0"/>
                <w:iCs w:val="0"/>
                <w:color w:val="000000"/>
                <w:sz w:val="20"/>
                <w:szCs w:val="22"/>
                <w:u w:val="none"/>
                <w:lang w:val="en-US" w:eastAsia="zh-CN"/>
              </w:rPr>
              <w:t>0</w:t>
            </w:r>
          </w:p>
        </w:tc>
        <w:tc>
          <w:tcPr>
            <w:tcW w:w="912" w:type="dxa"/>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946" w:type="dxa"/>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生态环境成本指标</w:t>
            </w:r>
          </w:p>
        </w:tc>
        <w:tc>
          <w:tcPr>
            <w:tcW w:w="1177" w:type="dxa"/>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177"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177"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600" w:type="dxa"/>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912"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2251" w:type="dxa"/>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7" w:type="dxa"/>
            <w:gridSpan w:val="5"/>
            <w:noWrap/>
            <w:vAlign w:val="center"/>
          </w:tcPr>
          <w:p>
            <w:pPr>
              <w:snapToGrid w:val="0"/>
              <w:ind w:left="0" w:leftChars="0" w:right="0" w:rightChars="0" w:firstLine="0" w:firstLineChars="0"/>
              <w:jc w:val="center"/>
              <w:rPr>
                <w:rFonts w:hint="eastAsia" w:ascii="微软雅黑" w:hAnsi="等线" w:eastAsia="微软雅黑" w:cs="等线"/>
                <w:b/>
                <w:i w:val="0"/>
                <w:iCs w:val="0"/>
                <w:color w:val="000000"/>
                <w:sz w:val="20"/>
                <w:szCs w:val="22"/>
                <w:u w:val="none"/>
              </w:rPr>
            </w:pPr>
            <w:r>
              <w:rPr>
                <w:rFonts w:hint="eastAsia" w:ascii="微软雅黑" w:hAnsi="微软雅黑" w:eastAsia="微软雅黑" w:cs="微软雅黑"/>
                <w:b/>
                <w:i w:val="0"/>
                <w:iCs w:val="0"/>
                <w:color w:val="000000"/>
                <w:kern w:val="0"/>
                <w:sz w:val="20"/>
                <w:szCs w:val="20"/>
                <w:u w:val="none"/>
                <w:lang w:val="en-US" w:eastAsia="zh-CN" w:bidi="ar"/>
              </w:rPr>
              <w:t>总分</w:t>
            </w:r>
          </w:p>
        </w:tc>
        <w:tc>
          <w:tcPr>
            <w:tcW w:w="600" w:type="dxa"/>
            <w:noWrap/>
            <w:vAlign w:val="center"/>
          </w:tcPr>
          <w:p>
            <w:pPr>
              <w:snapToGrid w:val="0"/>
              <w:ind w:left="0" w:leftChars="0" w:right="0" w:rightChars="0" w:firstLine="0" w:firstLineChars="0"/>
              <w:jc w:val="center"/>
              <w:rPr>
                <w:rFonts w:hint="eastAsia" w:ascii="微软雅黑" w:hAnsi="等线" w:eastAsia="微软雅黑" w:cs="等线"/>
                <w:b/>
                <w:i w:val="0"/>
                <w:iCs w:val="0"/>
                <w:color w:val="000000"/>
                <w:sz w:val="20"/>
                <w:szCs w:val="22"/>
                <w:u w:val="none"/>
              </w:rPr>
            </w:pPr>
            <w:r>
              <w:rPr>
                <w:rFonts w:hint="eastAsia" w:ascii="微软雅黑" w:hAnsi="微软雅黑" w:eastAsia="微软雅黑" w:cs="微软雅黑"/>
                <w:b/>
                <w:i w:val="0"/>
                <w:iCs w:val="0"/>
                <w:color w:val="000000"/>
                <w:kern w:val="0"/>
                <w:sz w:val="20"/>
                <w:szCs w:val="20"/>
                <w:u w:val="none"/>
                <w:lang w:val="en-US" w:eastAsia="zh-CN" w:bidi="ar"/>
              </w:rPr>
              <w:t>100</w:t>
            </w:r>
          </w:p>
        </w:tc>
        <w:tc>
          <w:tcPr>
            <w:tcW w:w="912" w:type="dxa"/>
            <w:noWrap/>
            <w:vAlign w:val="center"/>
          </w:tcPr>
          <w:p>
            <w:pPr>
              <w:snapToGrid w:val="0"/>
              <w:ind w:left="0" w:leftChars="0" w:right="0" w:rightChars="0" w:firstLine="0" w:firstLineChars="0"/>
              <w:jc w:val="right"/>
              <w:rPr>
                <w:rFonts w:hint="default" w:ascii="微软雅黑" w:hAnsi="等线" w:eastAsia="微软雅黑" w:cs="等线"/>
                <w:b/>
                <w:i w:val="0"/>
                <w:iCs w:val="0"/>
                <w:color w:val="000000"/>
                <w:sz w:val="20"/>
                <w:szCs w:val="22"/>
                <w:u w:val="none"/>
                <w:lang w:val="en-US" w:eastAsia="zh-CN"/>
              </w:rPr>
            </w:pPr>
            <w:r>
              <w:rPr>
                <w:rFonts w:hint="eastAsia" w:ascii="微软雅黑" w:hAnsi="等线" w:eastAsia="微软雅黑" w:cs="等线"/>
                <w:b/>
                <w:i w:val="0"/>
                <w:iCs w:val="0"/>
                <w:color w:val="000000"/>
                <w:sz w:val="20"/>
                <w:szCs w:val="22"/>
                <w:u w:val="none"/>
                <w:lang w:val="en-US" w:eastAsia="zh-CN"/>
              </w:rPr>
              <w:t>99.12</w:t>
            </w:r>
          </w:p>
        </w:tc>
        <w:tc>
          <w:tcPr>
            <w:tcW w:w="2251" w:type="dxa"/>
            <w:noWrap/>
            <w:vAlign w:val="center"/>
          </w:tcPr>
          <w:p>
            <w:pPr>
              <w:snapToGrid w:val="0"/>
              <w:ind w:left="0" w:leftChars="0" w:right="0" w:rightChars="0" w:firstLine="0" w:firstLineChars="0"/>
              <w:jc w:val="right"/>
              <w:rPr>
                <w:rFonts w:hint="eastAsia" w:ascii="微软雅黑" w:hAnsi="等线" w:eastAsia="微软雅黑" w:cs="等线"/>
                <w:b/>
                <w:i w:val="0"/>
                <w:iCs w:val="0"/>
                <w:color w:val="000000"/>
                <w:sz w:val="20"/>
                <w:szCs w:val="22"/>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10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0"/>
        <w:gridCol w:w="1933"/>
        <w:gridCol w:w="1170"/>
        <w:gridCol w:w="1170"/>
        <w:gridCol w:w="1159"/>
        <w:gridCol w:w="598"/>
        <w:gridCol w:w="1029"/>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ascii="宋体" w:hAnsi="等线" w:eastAsia="宋体" w:cs="等线"/>
                <w:b/>
                <w:i w:val="0"/>
                <w:iCs w:val="0"/>
                <w:color w:val="000000"/>
                <w:sz w:val="22"/>
                <w:szCs w:val="22"/>
                <w:u w:val="none"/>
              </w:rPr>
            </w:pPr>
            <w:r>
              <w:rPr>
                <w:rFonts w:hint="eastAsia" w:ascii="宋体" w:hAnsi="等线" w:eastAsia="宋体" w:cs="等线"/>
                <w:b/>
                <w:i w:val="0"/>
                <w:iCs w:val="0"/>
                <w:color w:val="000000"/>
                <w:kern w:val="0"/>
                <w:sz w:val="22"/>
                <w:szCs w:val="22"/>
                <w:u w:val="none"/>
                <w:lang w:val="en-US" w:eastAsia="zh-CN" w:bidi="ar"/>
              </w:rPr>
              <w:t>项目支出名称</w:t>
            </w:r>
          </w:p>
        </w:tc>
        <w:tc>
          <w:tcPr>
            <w:tcW w:w="222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22"/>
                <w:szCs w:val="22"/>
                <w:u w:val="none"/>
                <w:lang w:val="en-US" w:eastAsia="zh-CN" w:bidi="ar-SA"/>
              </w:rPr>
            </w:pPr>
            <w:r>
              <w:rPr>
                <w:rFonts w:hint="eastAsia" w:ascii="宋体" w:hAnsi="宋体" w:eastAsia="宋体" w:cs="宋体"/>
                <w:b/>
                <w:i w:val="0"/>
                <w:iCs w:val="0"/>
                <w:color w:val="000000"/>
                <w:kern w:val="0"/>
                <w:sz w:val="22"/>
                <w:szCs w:val="22"/>
                <w:u w:val="none"/>
                <w:lang w:val="en-US" w:eastAsia="zh-CN" w:bidi="ar"/>
              </w:rPr>
              <w:t>应急局2023年洪涝灾害资金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主管部门</w:t>
            </w:r>
          </w:p>
        </w:tc>
        <w:tc>
          <w:tcPr>
            <w:tcW w:w="1170"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实施单位</w:t>
            </w:r>
          </w:p>
        </w:tc>
        <w:tc>
          <w:tcPr>
            <w:tcW w:w="2220"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年初预算数</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1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项目金额(万元)</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其中:当年财政拨款</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上年结转资金</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30</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其他资金</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nil"/>
              <w:left w:val="single" w:color="000000" w:sz="4" w:space="0"/>
              <w:bottom w:val="nil"/>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30</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100.00%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年度总体目标</w:t>
            </w:r>
          </w:p>
        </w:tc>
        <w:tc>
          <w:tcPr>
            <w:tcW w:w="115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预期目标</w:t>
            </w:r>
          </w:p>
        </w:tc>
        <w:tc>
          <w:tcPr>
            <w:tcW w:w="222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15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保障</w:t>
            </w:r>
            <w:r>
              <w:rPr>
                <w:rFonts w:hint="eastAsia" w:ascii="宋体" w:hAnsi="宋体" w:eastAsia="宋体" w:cs="宋体"/>
                <w:i w:val="0"/>
                <w:iCs w:val="0"/>
                <w:color w:val="000000"/>
                <w:kern w:val="0"/>
                <w:sz w:val="22"/>
                <w:szCs w:val="22"/>
                <w:u w:val="none"/>
                <w:lang w:val="en-US" w:eastAsia="zh-CN" w:bidi="ar"/>
              </w:rPr>
              <w:t>洪涝灾害</w:t>
            </w:r>
            <w:r>
              <w:rPr>
                <w:rFonts w:hint="eastAsia" w:ascii="等线" w:hAnsi="等线" w:eastAsia="等线" w:cs="等线"/>
                <w:i w:val="0"/>
                <w:iCs w:val="0"/>
                <w:color w:val="000000"/>
                <w:kern w:val="0"/>
                <w:sz w:val="22"/>
                <w:szCs w:val="22"/>
                <w:u w:val="none"/>
                <w:lang w:val="en-US" w:eastAsia="zh-CN" w:bidi="ar"/>
              </w:rPr>
              <w:t>资金发放到位</w:t>
            </w:r>
          </w:p>
        </w:tc>
        <w:tc>
          <w:tcPr>
            <w:tcW w:w="222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2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一级指标</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二级指标</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年度指标值</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实际完成值</w:t>
            </w: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1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产出指标</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数量指标</w:t>
            </w:r>
          </w:p>
        </w:tc>
        <w:tc>
          <w:tcPr>
            <w:tcW w:w="11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仿宋_GB2312" w:eastAsia="微软雅黑" w:cs="仿宋_GB2312"/>
                <w:color w:val="auto"/>
                <w:spacing w:val="0"/>
                <w:sz w:val="20"/>
                <w:szCs w:val="32"/>
                <w:lang w:val="en-US" w:eastAsia="zh-CN"/>
              </w:rPr>
              <w:t>紧急避险转移人数</w:t>
            </w:r>
          </w:p>
        </w:tc>
        <w:tc>
          <w:tcPr>
            <w:tcW w:w="1170" w:type="dxa"/>
            <w:tcBorders>
              <w:top w:val="nil"/>
              <w:left w:val="nil"/>
              <w:bottom w:val="single" w:color="000000" w:sz="8"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≥2000人</w:t>
            </w:r>
          </w:p>
        </w:tc>
        <w:tc>
          <w:tcPr>
            <w:tcW w:w="1159" w:type="dxa"/>
            <w:tcBorders>
              <w:top w:val="nil"/>
              <w:left w:val="single" w:color="000000" w:sz="8" w:space="0"/>
              <w:bottom w:val="single" w:color="000000" w:sz="8"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仿宋_GB2312" w:eastAsia="微软雅黑" w:cs="仿宋_GB2312"/>
                <w:color w:val="auto"/>
                <w:spacing w:val="0"/>
                <w:sz w:val="20"/>
                <w:szCs w:val="32"/>
                <w:lang w:val="en-US" w:eastAsia="zh-CN"/>
              </w:rPr>
              <w:t>2285人</w:t>
            </w:r>
          </w:p>
        </w:tc>
        <w:tc>
          <w:tcPr>
            <w:tcW w:w="59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等线" w:eastAsia="微软雅黑" w:cs="等线"/>
                <w:i w:val="0"/>
                <w:iCs w:val="0"/>
                <w:color w:val="000000"/>
                <w:kern w:val="2"/>
                <w:sz w:val="20"/>
                <w:szCs w:val="22"/>
                <w:u w:val="none"/>
                <w:lang w:val="en-US" w:eastAsia="zh-CN" w:bidi="ar-SA"/>
              </w:rPr>
            </w:pPr>
            <w:r>
              <w:rPr>
                <w:rFonts w:hint="eastAsia" w:ascii="微软雅黑" w:hAnsi="等线" w:eastAsia="微软雅黑" w:cs="等线"/>
                <w:i w:val="0"/>
                <w:iCs w:val="0"/>
                <w:color w:val="000000"/>
                <w:kern w:val="0"/>
                <w:sz w:val="20"/>
                <w:szCs w:val="22"/>
                <w:u w:val="none"/>
                <w:lang w:val="en-US" w:eastAsia="zh-CN" w:bidi="ar"/>
              </w:rPr>
              <w:t>15</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等线" w:eastAsia="微软雅黑" w:cs="等线"/>
                <w:i w:val="0"/>
                <w:iCs w:val="0"/>
                <w:color w:val="000000"/>
                <w:kern w:val="2"/>
                <w:sz w:val="20"/>
                <w:szCs w:val="22"/>
                <w:u w:val="none"/>
                <w:lang w:val="en-US" w:eastAsia="zh-CN" w:bidi="ar-SA"/>
              </w:rPr>
            </w:pPr>
            <w:r>
              <w:rPr>
                <w:rFonts w:hint="eastAsia" w:ascii="微软雅黑" w:hAnsi="等线" w:eastAsia="微软雅黑" w:cs="等线"/>
                <w:i w:val="0"/>
                <w:iCs w:val="0"/>
                <w:color w:val="000000"/>
                <w:kern w:val="0"/>
                <w:sz w:val="20"/>
                <w:szCs w:val="22"/>
                <w:u w:val="none"/>
                <w:lang w:val="en-US" w:eastAsia="zh-CN" w:bidi="ar"/>
              </w:rPr>
              <w:t>15.00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质量指标</w:t>
            </w:r>
          </w:p>
        </w:tc>
        <w:tc>
          <w:tcPr>
            <w:tcW w:w="11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成功防范应对强降雨</w:t>
            </w:r>
          </w:p>
        </w:tc>
        <w:tc>
          <w:tcPr>
            <w:tcW w:w="1170" w:type="dxa"/>
            <w:tcBorders>
              <w:top w:val="nil"/>
              <w:left w:val="nil"/>
              <w:bottom w:val="single" w:color="auto" w:sz="4"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≥12轮</w:t>
            </w:r>
          </w:p>
        </w:tc>
        <w:tc>
          <w:tcPr>
            <w:tcW w:w="1159" w:type="dxa"/>
            <w:tcBorders>
              <w:top w:val="nil"/>
              <w:left w:val="single" w:color="000000" w:sz="8" w:space="0"/>
              <w:bottom w:val="single" w:color="auto" w:sz="4"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12轮</w:t>
            </w:r>
          </w:p>
        </w:tc>
        <w:tc>
          <w:tcPr>
            <w:tcW w:w="59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时效指标</w:t>
            </w:r>
          </w:p>
        </w:tc>
        <w:tc>
          <w:tcPr>
            <w:tcW w:w="1170" w:type="dxa"/>
            <w:tcBorders>
              <w:top w:val="nil"/>
              <w:left w:val="single" w:color="000000" w:sz="8" w:space="0"/>
              <w:bottom w:val="single" w:color="000000" w:sz="8" w:space="0"/>
              <w:right w:val="single" w:color="auto" w:sz="4" w:space="0"/>
            </w:tcBorders>
            <w:noWrap w:val="0"/>
            <w:vAlign w:val="center"/>
          </w:tcPr>
          <w:p>
            <w:pPr>
              <w:snapToGrid w:val="0"/>
              <w:ind w:left="0" w:leftChars="0" w:right="0" w:rightChars="0" w:firstLine="0" w:firstLineChars="0"/>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2024年全年</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napToGrid w:val="0"/>
              <w:ind w:left="0" w:leftChars="0" w:right="0" w:rightChars="0" w:firstLine="0" w:firstLineChars="0"/>
              <w:jc w:val="right"/>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2024年全年</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ind w:left="0" w:leftChars="0" w:right="0" w:rightChars="0" w:firstLine="0" w:firstLineChars="0"/>
              <w:jc w:val="right"/>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2024年全年</w:t>
            </w:r>
          </w:p>
        </w:tc>
        <w:tc>
          <w:tcPr>
            <w:tcW w:w="598"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效益指标</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经济效益指标</w:t>
            </w:r>
          </w:p>
        </w:tc>
        <w:tc>
          <w:tcPr>
            <w:tcW w:w="11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厉行节约，提高经费使用效益</w:t>
            </w:r>
          </w:p>
        </w:tc>
        <w:tc>
          <w:tcPr>
            <w:tcW w:w="1170" w:type="dxa"/>
            <w:tcBorders>
              <w:top w:val="single" w:color="auto" w:sz="4" w:space="0"/>
              <w:left w:val="nil"/>
              <w:bottom w:val="single" w:color="auto" w:sz="4"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1159" w:type="dxa"/>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59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社会效益指标</w:t>
            </w:r>
          </w:p>
        </w:tc>
        <w:tc>
          <w:tcPr>
            <w:tcW w:w="1170" w:type="dxa"/>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加强巡查排险，根据实际情况提前转移危险区群众。</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逐步加强</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逐步加强</w:t>
            </w:r>
          </w:p>
        </w:tc>
        <w:tc>
          <w:tcPr>
            <w:tcW w:w="598"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生态效益指标</w:t>
            </w:r>
          </w:p>
        </w:tc>
        <w:tc>
          <w:tcPr>
            <w:tcW w:w="1170" w:type="dxa"/>
            <w:tcBorders>
              <w:top w:val="nil"/>
              <w:left w:val="single" w:color="000000" w:sz="8" w:space="0"/>
              <w:bottom w:val="single" w:color="000000" w:sz="8" w:space="0"/>
              <w:right w:val="single" w:color="000000" w:sz="8" w:space="0"/>
            </w:tcBorders>
            <w:noWrap w:val="0"/>
            <w:vAlign w:val="center"/>
          </w:tcPr>
          <w:p>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170" w:type="dxa"/>
            <w:tcBorders>
              <w:top w:val="single" w:color="auto" w:sz="4" w:space="0"/>
              <w:left w:val="nil"/>
              <w:bottom w:val="single" w:color="auto" w:sz="4" w:space="0"/>
              <w:right w:val="nil"/>
            </w:tcBorders>
            <w:noWrap w:val="0"/>
            <w:vAlign w:val="center"/>
          </w:tcPr>
          <w:p>
            <w:pPr>
              <w:snapToGrid w:val="0"/>
              <w:ind w:left="0" w:leftChars="0" w:right="0" w:rightChars="0" w:firstLine="0" w:firstLineChars="0"/>
              <w:jc w:val="right"/>
              <w:rPr>
                <w:rFonts w:hint="eastAsia" w:ascii="微软雅黑" w:hAnsi="微软雅黑" w:eastAsia="微软雅黑" w:cs="微软雅黑"/>
                <w:i w:val="0"/>
                <w:iCs w:val="0"/>
                <w:color w:val="000000"/>
                <w:sz w:val="20"/>
                <w:szCs w:val="20"/>
                <w:u w:val="none"/>
              </w:rPr>
            </w:pPr>
          </w:p>
        </w:tc>
        <w:tc>
          <w:tcPr>
            <w:tcW w:w="1159" w:type="dxa"/>
            <w:tcBorders>
              <w:top w:val="single" w:color="auto" w:sz="4" w:space="0"/>
              <w:left w:val="single" w:color="000000" w:sz="8" w:space="0"/>
              <w:bottom w:val="single" w:color="auto" w:sz="4" w:space="0"/>
              <w:right w:val="nil"/>
            </w:tcBorders>
            <w:noWrap w:val="0"/>
            <w:vAlign w:val="center"/>
          </w:tcPr>
          <w:p>
            <w:pPr>
              <w:snapToGrid w:val="0"/>
              <w:ind w:left="0" w:leftChars="0" w:right="0" w:rightChars="0" w:firstLine="0" w:firstLineChars="0"/>
              <w:jc w:val="right"/>
              <w:rPr>
                <w:rFonts w:hint="eastAsia" w:ascii="微软雅黑" w:hAnsi="微软雅黑" w:eastAsia="微软雅黑" w:cs="微软雅黑"/>
                <w:i w:val="0"/>
                <w:iCs w:val="0"/>
                <w:color w:val="000000"/>
                <w:sz w:val="20"/>
                <w:szCs w:val="20"/>
                <w:u w:val="none"/>
              </w:rPr>
            </w:pPr>
          </w:p>
        </w:tc>
        <w:tc>
          <w:tcPr>
            <w:tcW w:w="598" w:type="dxa"/>
            <w:tcBorders>
              <w:top w:val="nil"/>
              <w:left w:val="single" w:color="000000" w:sz="8" w:space="0"/>
              <w:bottom w:val="single" w:color="000000" w:sz="8" w:space="0"/>
              <w:right w:val="single" w:color="000000" w:sz="8" w:space="0"/>
            </w:tcBorders>
            <w:noWrap w:val="0"/>
            <w:vAlign w:val="center"/>
          </w:tcPr>
          <w:p>
            <w:pPr>
              <w:snapToGrid w:val="0"/>
              <w:ind w:left="0" w:leftChars="0" w:right="0" w:rightChars="0" w:firstLine="0" w:firstLineChars="0"/>
              <w:jc w:val="right"/>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snapToGrid w:val="0"/>
              <w:ind w:left="0" w:leftChars="0" w:right="0" w:rightChars="0" w:firstLine="0" w:firstLineChars="0"/>
              <w:jc w:val="right"/>
              <w:rPr>
                <w:rFonts w:hint="eastAsia" w:ascii="微软雅黑" w:hAnsi="微软雅黑" w:eastAsia="微软雅黑" w:cs="微软雅黑"/>
                <w:i w:val="0"/>
                <w:iCs w:val="0"/>
                <w:color w:val="000000"/>
                <w:sz w:val="20"/>
                <w:szCs w:val="20"/>
                <w:u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可持续影响指标</w:t>
            </w:r>
          </w:p>
        </w:tc>
        <w:tc>
          <w:tcPr>
            <w:tcW w:w="1170" w:type="dxa"/>
            <w:tcBorders>
              <w:top w:val="nil"/>
              <w:left w:val="single" w:color="000000" w:sz="8" w:space="0"/>
              <w:bottom w:val="single" w:color="000000" w:sz="8" w:space="0"/>
              <w:right w:val="single" w:color="auto"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有效做到应转尽转、应转早转，避免人员伤亡，实现全年安全度汛。</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有效提升</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有效提升</w:t>
            </w:r>
          </w:p>
        </w:tc>
        <w:tc>
          <w:tcPr>
            <w:tcW w:w="598"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满意度指标</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服务对象满意度指标</w:t>
            </w:r>
          </w:p>
        </w:tc>
        <w:tc>
          <w:tcPr>
            <w:tcW w:w="11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1170" w:type="dxa"/>
            <w:tcBorders>
              <w:top w:val="single" w:color="auto" w:sz="4" w:space="0"/>
              <w:left w:val="nil"/>
              <w:bottom w:val="single" w:color="000000" w:sz="8"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18"/>
                <w:u w:val="none"/>
              </w:rPr>
            </w:pPr>
            <w:r>
              <w:rPr>
                <w:rFonts w:hint="eastAsia" w:ascii="微软雅黑" w:hAnsi="微软雅黑" w:eastAsia="微软雅黑" w:cs="微软雅黑"/>
                <w:i w:val="0"/>
                <w:iCs w:val="0"/>
                <w:color w:val="000000"/>
                <w:kern w:val="0"/>
                <w:sz w:val="20"/>
                <w:szCs w:val="18"/>
                <w:u w:val="none"/>
                <w:lang w:val="en-US" w:eastAsia="zh-CN" w:bidi="ar"/>
              </w:rPr>
              <w:t>≥95%</w:t>
            </w:r>
          </w:p>
        </w:tc>
        <w:tc>
          <w:tcPr>
            <w:tcW w:w="1159" w:type="dxa"/>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9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成本指标</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经济成本指标</w:t>
            </w:r>
          </w:p>
        </w:tc>
        <w:tc>
          <w:tcPr>
            <w:tcW w:w="11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支出不超过预算安排</w:t>
            </w:r>
          </w:p>
        </w:tc>
        <w:tc>
          <w:tcPr>
            <w:tcW w:w="1170" w:type="dxa"/>
            <w:tcBorders>
              <w:top w:val="nil"/>
              <w:left w:val="nil"/>
              <w:bottom w:val="single" w:color="000000" w:sz="8"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≤30万元</w:t>
            </w:r>
          </w:p>
        </w:tc>
        <w:tc>
          <w:tcPr>
            <w:tcW w:w="1159" w:type="dxa"/>
            <w:tcBorders>
              <w:top w:val="nil"/>
              <w:left w:val="single" w:color="000000" w:sz="8" w:space="0"/>
              <w:bottom w:val="single" w:color="000000" w:sz="8"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30万元</w:t>
            </w:r>
          </w:p>
        </w:tc>
        <w:tc>
          <w:tcPr>
            <w:tcW w:w="59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社会成本指标</w:t>
            </w:r>
          </w:p>
        </w:tc>
        <w:tc>
          <w:tcPr>
            <w:tcW w:w="11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p>
        </w:tc>
        <w:tc>
          <w:tcPr>
            <w:tcW w:w="1170" w:type="dxa"/>
            <w:tcBorders>
              <w:top w:val="nil"/>
              <w:left w:val="nil"/>
              <w:bottom w:val="single" w:color="000000" w:sz="8"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p>
        </w:tc>
        <w:tc>
          <w:tcPr>
            <w:tcW w:w="1159" w:type="dxa"/>
            <w:tcBorders>
              <w:top w:val="nil"/>
              <w:left w:val="single" w:color="000000" w:sz="8" w:space="0"/>
              <w:bottom w:val="single" w:color="000000" w:sz="8" w:space="0"/>
              <w:right w:val="nil"/>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20"/>
                <w:szCs w:val="20"/>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微软雅黑" w:hAnsi="等线" w:eastAsia="微软雅黑" w:cs="等线"/>
                <w:i w:val="0"/>
                <w:iCs w:val="0"/>
                <w:color w:val="000000"/>
                <w:sz w:val="20"/>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等线" w:eastAsia="微软雅黑" w:cs="等线"/>
                <w:i w:val="0"/>
                <w:iCs w:val="0"/>
                <w:color w:val="000000"/>
                <w:sz w:val="20"/>
                <w:szCs w:val="22"/>
                <w:u w:val="none"/>
              </w:rPr>
            </w:pPr>
            <w:r>
              <w:rPr>
                <w:rFonts w:hint="eastAsia" w:ascii="微软雅黑" w:hAnsi="等线" w:eastAsia="微软雅黑" w:cs="等线"/>
                <w:i w:val="0"/>
                <w:iCs w:val="0"/>
                <w:color w:val="000000"/>
                <w:kern w:val="0"/>
                <w:sz w:val="20"/>
                <w:szCs w:val="22"/>
                <w:u w:val="none"/>
                <w:lang w:val="en-US" w:eastAsia="zh-CN" w:bidi="ar"/>
              </w:rPr>
              <w:t>生态环境成本指标</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微软雅黑" w:hAnsi="等线" w:eastAsia="微软雅黑" w:cs="等线"/>
                <w:i w:val="0"/>
                <w:iCs w:val="0"/>
                <w:color w:val="000000"/>
                <w:sz w:val="20"/>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i w:val="0"/>
                <w:iCs w:val="0"/>
                <w:color w:val="000000"/>
                <w:sz w:val="20"/>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0"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default" w:ascii="微软雅黑" w:hAnsi="等线" w:eastAsia="微软雅黑" w:cs="等线"/>
                <w:b/>
                <w:i w:val="0"/>
                <w:iCs w:val="0"/>
                <w:color w:val="000000"/>
                <w:sz w:val="20"/>
                <w:szCs w:val="22"/>
                <w:u w:val="none"/>
                <w:lang w:val="en-US" w:eastAsia="zh-CN"/>
              </w:rPr>
            </w:pPr>
            <w:r>
              <w:rPr>
                <w:rFonts w:hint="eastAsia" w:ascii="微软雅黑" w:hAnsi="等线" w:eastAsia="微软雅黑" w:cs="等线"/>
                <w:b/>
                <w:i w:val="0"/>
                <w:iCs w:val="0"/>
                <w:color w:val="000000"/>
                <w:sz w:val="20"/>
                <w:szCs w:val="22"/>
                <w:u w:val="none"/>
                <w:lang w:val="en-US" w:eastAsia="zh-CN"/>
              </w:rPr>
              <w:t>总分</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b/>
                <w:i w:val="0"/>
                <w:iCs w:val="0"/>
                <w:color w:val="000000"/>
                <w:sz w:val="20"/>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b/>
                <w:i w:val="0"/>
                <w:iCs w:val="0"/>
                <w:color w:val="000000"/>
                <w:sz w:val="20"/>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default" w:ascii="微软雅黑" w:hAnsi="等线" w:eastAsia="微软雅黑" w:cs="等线"/>
                <w:b/>
                <w:i w:val="0"/>
                <w:iCs w:val="0"/>
                <w:color w:val="000000"/>
                <w:sz w:val="20"/>
                <w:szCs w:val="22"/>
                <w:u w:val="none"/>
                <w:lang w:val="en-US" w:eastAsia="zh-CN"/>
              </w:rPr>
            </w:pPr>
            <w:r>
              <w:rPr>
                <w:rFonts w:hint="eastAsia" w:ascii="微软雅黑" w:hAnsi="等线" w:eastAsia="微软雅黑" w:cs="等线"/>
                <w:b/>
                <w:i w:val="0"/>
                <w:iCs w:val="0"/>
                <w:color w:val="000000"/>
                <w:sz w:val="20"/>
                <w:szCs w:val="22"/>
                <w:u w:val="none"/>
                <w:lang w:val="en-US" w:eastAsia="zh-CN"/>
              </w:rPr>
              <w:t>100</w:t>
            </w:r>
          </w:p>
        </w:tc>
        <w:tc>
          <w:tcPr>
            <w:tcW w:w="1029"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default" w:ascii="微软雅黑" w:hAnsi="等线" w:eastAsia="微软雅黑" w:cs="等线"/>
                <w:b/>
                <w:i w:val="0"/>
                <w:iCs w:val="0"/>
                <w:color w:val="000000"/>
                <w:sz w:val="20"/>
                <w:szCs w:val="22"/>
                <w:u w:val="none"/>
                <w:lang w:val="en-US" w:eastAsia="zh-CN"/>
              </w:rPr>
            </w:pPr>
            <w:r>
              <w:rPr>
                <w:rFonts w:hint="eastAsia" w:ascii="微软雅黑" w:hAnsi="等线" w:eastAsia="微软雅黑" w:cs="等线"/>
                <w:b/>
                <w:i w:val="0"/>
                <w:iCs w:val="0"/>
                <w:color w:val="000000"/>
                <w:sz w:val="20"/>
                <w:szCs w:val="22"/>
                <w:u w:val="none"/>
                <w:lang w:val="en-US" w:eastAsia="zh-CN"/>
              </w:rPr>
              <w:t>100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微软雅黑" w:hAnsi="等线" w:eastAsia="微软雅黑" w:cs="等线"/>
                <w:b/>
                <w:i w:val="0"/>
                <w:iCs w:val="0"/>
                <w:color w:val="000000"/>
                <w:sz w:val="20"/>
                <w:szCs w:val="22"/>
                <w:u w:val="none"/>
              </w:rPr>
            </w:pPr>
          </w:p>
        </w:tc>
      </w:tr>
    </w:tbl>
    <w:p>
      <w:pPr>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742"/>
        <w:gridCol w:w="1055"/>
        <w:gridCol w:w="2339"/>
        <w:gridCol w:w="1364"/>
        <w:gridCol w:w="1286"/>
        <w:gridCol w:w="592"/>
        <w:gridCol w:w="1004"/>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新邵县救灾物资储备库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15.9</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15.9</w:t>
            </w: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15.9</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15.9</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完善配齐应急设施，保障新邵县救灾物资储备库物资设备</w:t>
            </w:r>
            <w:r>
              <w:rPr>
                <w:rFonts w:hint="eastAsia" w:ascii="微软雅黑" w:hAnsi="微软雅黑" w:eastAsia="微软雅黑" w:cs="微软雅黑"/>
                <w:i w:val="0"/>
                <w:iCs w:val="0"/>
                <w:color w:val="000000"/>
                <w:kern w:val="0"/>
                <w:sz w:val="20"/>
                <w:szCs w:val="20"/>
                <w:u w:val="none"/>
                <w:lang w:val="en-US" w:eastAsia="zh-CN" w:bidi="ar"/>
              </w:rPr>
              <w:t>。</w:t>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开展应急演练</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≥200次</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207次</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设备验收合格率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加强基层综合性应急救援能力建设，有力处置应急事件</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逐步加强</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逐步加强</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大力推动基层应急管理能力快速提升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持续推动</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持续推动</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15.9</w:t>
            </w:r>
            <w:r>
              <w:rPr>
                <w:rFonts w:hint="eastAsia" w:ascii="微软雅黑" w:hAnsi="微软雅黑" w:eastAsia="微软雅黑" w:cs="微软雅黑"/>
                <w:i w:val="0"/>
                <w:iCs w:val="0"/>
                <w:color w:val="000000"/>
                <w:kern w:val="0"/>
                <w:sz w:val="20"/>
                <w:szCs w:val="20"/>
                <w:u w:val="none"/>
                <w:lang w:val="en-US" w:eastAsia="zh-CN" w:bidi="ar"/>
              </w:rPr>
              <w:t>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15.9万元</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3"/>
        <w:gridCol w:w="752"/>
        <w:gridCol w:w="1075"/>
        <w:gridCol w:w="2231"/>
        <w:gridCol w:w="1384"/>
        <w:gridCol w:w="1303"/>
        <w:gridCol w:w="593"/>
        <w:gridCol w:w="1004"/>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森林防灭火应急物质装备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8.11</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8.11</w:t>
            </w: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8.11</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8.11</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购买森林防灭火应急物质装备，保障新邵县森林防灭火应急工作正常开展</w:t>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森林防灭火预警监测点位</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≥160个</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168个</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设备验收合格率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夯实基础、完善配齐应急设施</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逐步完善</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逐步完善</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森林防灭火预警监测、快速扑救能力得到明显提升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8.11</w:t>
            </w:r>
            <w:r>
              <w:rPr>
                <w:rFonts w:hint="eastAsia" w:ascii="微软雅黑" w:hAnsi="微软雅黑" w:eastAsia="微软雅黑" w:cs="微软雅黑"/>
                <w:i w:val="0"/>
                <w:iCs w:val="0"/>
                <w:color w:val="000000"/>
                <w:kern w:val="0"/>
                <w:sz w:val="20"/>
                <w:szCs w:val="20"/>
                <w:u w:val="none"/>
                <w:lang w:val="en-US" w:eastAsia="zh-CN" w:bidi="ar"/>
              </w:rPr>
              <w:t>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8.11万元</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6"/>
        <w:gridCol w:w="783"/>
        <w:gridCol w:w="1139"/>
        <w:gridCol w:w="1949"/>
        <w:gridCol w:w="1413"/>
        <w:gridCol w:w="1324"/>
        <w:gridCol w:w="597"/>
        <w:gridCol w:w="1004"/>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年初预算安排安全专项解决安委会办公室专项经费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2.52</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2.52</w:t>
            </w: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2.52</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2.52</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保障安全专项安委会办公室工作正常开展</w:t>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组织观看警示教育片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≥100场</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103场</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提升群众安全防范常识</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进一步提升</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进一步提升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广泛宣传教育，着力增强安全防范意识</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逐步增强</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逐步增强</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群众安全防范常识得到进一步提升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2.52</w:t>
            </w:r>
            <w:r>
              <w:rPr>
                <w:rFonts w:hint="eastAsia" w:ascii="微软雅黑" w:hAnsi="微软雅黑" w:eastAsia="微软雅黑" w:cs="微软雅黑"/>
                <w:i w:val="0"/>
                <w:iCs w:val="0"/>
                <w:color w:val="000000"/>
                <w:kern w:val="0"/>
                <w:sz w:val="20"/>
                <w:szCs w:val="20"/>
                <w:u w:val="none"/>
                <w:lang w:val="en-US" w:eastAsia="zh-CN" w:bidi="ar"/>
              </w:rPr>
              <w:t>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2.52万元</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0" w:type="auto"/>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both"/>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5"/>
        <w:gridCol w:w="738"/>
        <w:gridCol w:w="1048"/>
        <w:gridCol w:w="2358"/>
        <w:gridCol w:w="1356"/>
        <w:gridCol w:w="1279"/>
        <w:gridCol w:w="588"/>
        <w:gridCol w:w="1030"/>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应急局应急能力建设（防汛）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587"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29"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14.96</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14.96</w:t>
            </w:r>
          </w:p>
        </w:tc>
        <w:tc>
          <w:tcPr>
            <w:tcW w:w="587" w:type="dxa"/>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14.96</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14.96</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保障应急局应急能力建设（防汛）工作正常开展。</w:t>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58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2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面对连续强降雨次数</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≥10次</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12次</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成功应对暴雨</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100%</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仿宋_GB2312" w:hAnsi="仿宋_GB2312" w:eastAsia="仿宋_GB2312" w:cs="仿宋_GB2312"/>
                <w:color w:val="auto"/>
                <w:spacing w:val="0"/>
                <w:sz w:val="32"/>
                <w:szCs w:val="32"/>
                <w:lang w:val="en-US" w:eastAsia="zh-CN"/>
              </w:rPr>
              <w:t>打赢防汛救灾硬仗</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逐步增强</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逐步增强</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实现“未因灾伤亡一人、未垮一堤一库一坝”目标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14.96</w:t>
            </w:r>
            <w:r>
              <w:rPr>
                <w:rFonts w:hint="eastAsia" w:ascii="微软雅黑" w:hAnsi="微软雅黑" w:eastAsia="微软雅黑" w:cs="微软雅黑"/>
                <w:i w:val="0"/>
                <w:iCs w:val="0"/>
                <w:color w:val="000000"/>
                <w:kern w:val="0"/>
                <w:sz w:val="20"/>
                <w:szCs w:val="20"/>
                <w:u w:val="none"/>
                <w:lang w:val="en-US" w:eastAsia="zh-CN" w:bidi="ar"/>
              </w:rPr>
              <w:t>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14.96</w:t>
            </w:r>
            <w:r>
              <w:rPr>
                <w:rFonts w:hint="eastAsia" w:ascii="微软雅黑" w:hAnsi="微软雅黑" w:eastAsia="微软雅黑" w:cs="微软雅黑"/>
                <w:i w:val="0"/>
                <w:iCs w:val="0"/>
                <w:color w:val="000000"/>
                <w:kern w:val="0"/>
                <w:sz w:val="20"/>
                <w:szCs w:val="20"/>
                <w:u w:val="none"/>
                <w:lang w:val="en-US" w:eastAsia="zh-CN" w:bidi="ar"/>
              </w:rPr>
              <w:t>万元</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587" w:type="dxa"/>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29" w:type="dxa"/>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both"/>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723"/>
        <w:gridCol w:w="1016"/>
        <w:gridCol w:w="2620"/>
        <w:gridCol w:w="1281"/>
        <w:gridCol w:w="1208"/>
        <w:gridCol w:w="586"/>
        <w:gridCol w:w="1029"/>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2023年应急管理工作经费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587"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29"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6.88</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6.88</w:t>
            </w:r>
          </w:p>
        </w:tc>
        <w:tc>
          <w:tcPr>
            <w:tcW w:w="587" w:type="dxa"/>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6.88</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6.88</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保障应急管理工作经费，保障全局工作正常开展。</w:t>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58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2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组织开展深入学习贯彻习近平关于应急管理的重要论述专题研讨会</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≥140场</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143场</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研讨效果</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效果显著</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效果显著</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群众安全防范常识得到进一步提升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逐步提升</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逐步提升</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突出学习培训，广泛宣传教育，着力增强安全防范意识.</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6.88</w:t>
            </w:r>
            <w:r>
              <w:rPr>
                <w:rFonts w:hint="eastAsia" w:ascii="微软雅黑" w:hAnsi="微软雅黑" w:eastAsia="微软雅黑" w:cs="微软雅黑"/>
                <w:i w:val="0"/>
                <w:iCs w:val="0"/>
                <w:color w:val="000000"/>
                <w:kern w:val="0"/>
                <w:sz w:val="20"/>
                <w:szCs w:val="20"/>
                <w:u w:val="none"/>
                <w:lang w:val="en-US" w:eastAsia="zh-CN" w:bidi="ar"/>
              </w:rPr>
              <w:t>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6.88</w:t>
            </w:r>
            <w:r>
              <w:rPr>
                <w:rFonts w:hint="eastAsia" w:ascii="微软雅黑" w:hAnsi="微软雅黑" w:eastAsia="微软雅黑" w:cs="微软雅黑"/>
                <w:i w:val="0"/>
                <w:iCs w:val="0"/>
                <w:color w:val="000000"/>
                <w:kern w:val="0"/>
                <w:sz w:val="20"/>
                <w:szCs w:val="20"/>
                <w:u w:val="none"/>
                <w:lang w:val="en-US" w:eastAsia="zh-CN" w:bidi="ar"/>
              </w:rPr>
              <w:t>万元</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587" w:type="dxa"/>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29" w:type="dxa"/>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nil"/>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000000" w:sz="8" w:space="0"/>
              <w:right w:val="nil"/>
            </w:tcBorders>
            <w:noWrap w:val="0"/>
            <w:vAlign w:val="center"/>
          </w:tcPr>
          <w:p>
            <w:pPr>
              <w:keepNext w:val="0"/>
              <w:keepLines w:val="0"/>
              <w:widowControl/>
              <w:suppressLineNumbers w:val="0"/>
              <w:jc w:val="both"/>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2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6"/>
        <w:gridCol w:w="539"/>
        <w:gridCol w:w="1353"/>
        <w:gridCol w:w="2415"/>
        <w:gridCol w:w="1084"/>
        <w:gridCol w:w="1039"/>
        <w:gridCol w:w="713"/>
        <w:gridCol w:w="1251"/>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3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9550"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（新邵县管理局应急）年初预算安排乡镇应急能力建设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34" w:type="dxa"/>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9550" w:type="dxa"/>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56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4"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359" w:type="dxa"/>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587"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30"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4"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59" w:type="dxa"/>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0"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34"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59" w:type="dxa"/>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0" w:type="dxa"/>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34" w:type="dxa"/>
            <w:vMerge w:val="continue"/>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59" w:type="dxa"/>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20.35</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20.35</w:t>
            </w:r>
          </w:p>
        </w:tc>
        <w:tc>
          <w:tcPr>
            <w:tcW w:w="587" w:type="dxa"/>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0" w:type="dxa"/>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59"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59"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359"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20.35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20.35</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3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5640" w:type="dxa"/>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640" w:type="dxa"/>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保障乡镇应急能力建设经费</w:t>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640" w:type="dxa"/>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5640" w:type="dxa"/>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3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44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58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3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58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开展防汛抢险军地联合演练、防汛抢险应急演练、应急疏散演练、森林防火演练等各类应急演练</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≥200次</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207次</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演练效果</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效果显著</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效果显著</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群众安全防范常识得到进一步提升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逐步提升</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逐步提升</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群众安全防范意识、自救互救能力及各类应急队伍应急处置、实战救援能力得到明显提升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≤20.35万元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20.35万元</w:t>
            </w:r>
          </w:p>
        </w:tc>
        <w:tc>
          <w:tcPr>
            <w:tcW w:w="58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3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44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587"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30" w:type="dxa"/>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587"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30"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7"/>
        <w:gridCol w:w="626"/>
        <w:gridCol w:w="816"/>
        <w:gridCol w:w="3629"/>
        <w:gridCol w:w="1151"/>
        <w:gridCol w:w="1111"/>
        <w:gridCol w:w="594"/>
        <w:gridCol w:w="1036"/>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654"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应急局烟花爆竹“打非治违”销毁工作经费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continue"/>
            <w:tcBorders>
              <w:top w:val="single" w:color="000000" w:sz="8"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4654"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913"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517"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222" w:type="pct"/>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675"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699"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538"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517"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78"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459"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75"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699"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38"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17"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78"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59"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75"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699"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38"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17"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78"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59"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75" w:type="pct"/>
            <w:gridSpan w:val="2"/>
            <w:tcBorders>
              <w:top w:val="single" w:color="auto" w:sz="4"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699"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538"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25.3</w:t>
            </w:r>
          </w:p>
        </w:tc>
        <w:tc>
          <w:tcPr>
            <w:tcW w:w="517"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25.3</w:t>
            </w:r>
          </w:p>
        </w:tc>
        <w:tc>
          <w:tcPr>
            <w:tcW w:w="278"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59"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75"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699"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75"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699"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75"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699"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8"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25.3</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25.3</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45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913" w:type="pct"/>
            <w:gridSpan w:val="4"/>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1740" w:type="pct"/>
            <w:gridSpan w:val="4"/>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913" w:type="pct"/>
            <w:gridSpan w:val="4"/>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持续保障应急局烟花爆竹“打非治违”销毁工作正常开展。</w:t>
            </w:r>
          </w:p>
        </w:tc>
        <w:tc>
          <w:tcPr>
            <w:tcW w:w="1740" w:type="pct"/>
            <w:gridSpan w:val="4"/>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913" w:type="pct"/>
            <w:gridSpan w:val="4"/>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1740" w:type="pct"/>
            <w:gridSpan w:val="4"/>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913" w:type="pct"/>
            <w:gridSpan w:val="4"/>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1740" w:type="pct"/>
            <w:gridSpan w:val="4"/>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29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382"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699"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538" w:type="pct"/>
            <w:vMerge w:val="restar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517" w:type="pct"/>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78"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459"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382"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699"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38" w:type="pct"/>
            <w:vMerge w:val="continue"/>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17"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78"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59"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382"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699"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38" w:type="pct"/>
            <w:vMerge w:val="continue"/>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17"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78"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59"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69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收缴非法烟花爆竹产品</w:t>
            </w:r>
          </w:p>
        </w:tc>
        <w:tc>
          <w:tcPr>
            <w:tcW w:w="538"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≥1790箱</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1798箱</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69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检查质量</w:t>
            </w:r>
          </w:p>
        </w:tc>
        <w:tc>
          <w:tcPr>
            <w:tcW w:w="538"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69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538"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69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538"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69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推动多部门同向发力、联防联控，持续抓好烟花爆竹安全监管</w:t>
            </w:r>
          </w:p>
        </w:tc>
        <w:tc>
          <w:tcPr>
            <w:tcW w:w="538"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逐步推动</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逐步推动</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699"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538"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17"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7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69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持续组织各乡镇及相关部门开展烟花爆竹生产经营企业“双百日”攻坚专项整治行动、烟花爆竹产品质量整治行动和烟花爆竹“打非治违”专项行动</w:t>
            </w:r>
          </w:p>
        </w:tc>
        <w:tc>
          <w:tcPr>
            <w:tcW w:w="538"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69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538"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699"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538"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w:t>
            </w:r>
            <w:r>
              <w:rPr>
                <w:rFonts w:hint="eastAsia" w:ascii="微软雅黑" w:hAnsi="微软雅黑" w:eastAsia="微软雅黑" w:cs="微软雅黑"/>
                <w:i w:val="0"/>
                <w:iCs w:val="0"/>
                <w:color w:val="000000"/>
                <w:kern w:val="0"/>
                <w:sz w:val="20"/>
                <w:szCs w:val="20"/>
                <w:u w:val="none"/>
                <w:lang w:val="en-US" w:eastAsia="zh-CN" w:bidi="ar"/>
              </w:rPr>
              <w:t>万元</w:t>
            </w:r>
          </w:p>
        </w:tc>
        <w:tc>
          <w:tcPr>
            <w:tcW w:w="51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3</w:t>
            </w:r>
            <w:r>
              <w:rPr>
                <w:rFonts w:hint="eastAsia" w:ascii="微软雅黑" w:hAnsi="微软雅黑" w:eastAsia="微软雅黑" w:cs="微软雅黑"/>
                <w:i w:val="0"/>
                <w:iCs w:val="0"/>
                <w:color w:val="000000"/>
                <w:kern w:val="0"/>
                <w:sz w:val="20"/>
                <w:szCs w:val="20"/>
                <w:u w:val="none"/>
                <w:lang w:val="en-US" w:eastAsia="zh-CN" w:bidi="ar"/>
              </w:rPr>
              <w:t>万元</w:t>
            </w:r>
          </w:p>
        </w:tc>
        <w:tc>
          <w:tcPr>
            <w:tcW w:w="278"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699"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538"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17"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7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29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38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699"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538"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17"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78"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59"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77" w:type="pct"/>
            <w:gridSpan w:val="6"/>
            <w:tcBorders>
              <w:top w:val="nil"/>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78" w:type="pct"/>
            <w:tcBorders>
              <w:top w:val="nil"/>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5" w:type="pct"/>
            <w:tcBorders>
              <w:top w:val="nil"/>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59" w:type="pct"/>
            <w:tcBorders>
              <w:top w:val="nil"/>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
        <w:gridCol w:w="645"/>
        <w:gridCol w:w="865"/>
        <w:gridCol w:w="3364"/>
        <w:gridCol w:w="1205"/>
        <w:gridCol w:w="1156"/>
        <w:gridCol w:w="596"/>
        <w:gridCol w:w="1036"/>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638"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非税安排业务工作经费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4638"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84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5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25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707"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575"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563"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537"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79"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489"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7"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75"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63"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7"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7"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75"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63"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7"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7" w:type="pct"/>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575"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563"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14.88</w:t>
            </w:r>
          </w:p>
        </w:tc>
        <w:tc>
          <w:tcPr>
            <w:tcW w:w="537"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14.88</w:t>
            </w:r>
          </w:p>
        </w:tc>
        <w:tc>
          <w:tcPr>
            <w:tcW w:w="279"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9"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575"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6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575"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6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575"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6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14.88</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14.88</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48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846"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1791"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46"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持续保障非税安排业务工作经费</w:t>
            </w:r>
          </w:p>
        </w:tc>
        <w:tc>
          <w:tcPr>
            <w:tcW w:w="1791"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46"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791"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46"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791"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0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40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57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563" w:type="pct"/>
            <w:vMerge w:val="restar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537"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7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48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0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7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63"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7"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0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7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63"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7"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开展县委常委会、县政府常务会、县安委会全会、安全生产专业委员会、安全防范等研究部署安全生产工作各类会议次数</w:t>
            </w:r>
          </w:p>
        </w:tc>
        <w:tc>
          <w:tcPr>
            <w:tcW w:w="563"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≥60余次</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60余次</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会议开展率</w:t>
            </w:r>
          </w:p>
        </w:tc>
        <w:tc>
          <w:tcPr>
            <w:tcW w:w="563"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563"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563"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突出压实责任，完善工作机制，全力守牢安全生产底线。</w:t>
            </w:r>
          </w:p>
        </w:tc>
        <w:tc>
          <w:tcPr>
            <w:tcW w:w="563"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逐步完善</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逐步完善</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575"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63"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7"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坚持未雨绸缪，强化工作措施，聚焦重点行业领域，扎实开展隐患排查治理</w:t>
            </w:r>
          </w:p>
        </w:tc>
        <w:tc>
          <w:tcPr>
            <w:tcW w:w="563"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563"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563"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14.88</w:t>
            </w:r>
            <w:r>
              <w:rPr>
                <w:rFonts w:hint="eastAsia" w:ascii="微软雅黑" w:hAnsi="微软雅黑" w:eastAsia="微软雅黑" w:cs="微软雅黑"/>
                <w:i w:val="0"/>
                <w:iCs w:val="0"/>
                <w:color w:val="000000"/>
                <w:kern w:val="0"/>
                <w:sz w:val="20"/>
                <w:szCs w:val="20"/>
                <w:u w:val="none"/>
                <w:lang w:val="en-US" w:eastAsia="zh-CN" w:bidi="ar"/>
              </w:rPr>
              <w:t>万元</w:t>
            </w:r>
          </w:p>
        </w:tc>
        <w:tc>
          <w:tcPr>
            <w:tcW w:w="537"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14.88</w:t>
            </w:r>
            <w:r>
              <w:rPr>
                <w:rFonts w:hint="eastAsia" w:ascii="微软雅黑" w:hAnsi="微软雅黑" w:eastAsia="微软雅黑" w:cs="微软雅黑"/>
                <w:i w:val="0"/>
                <w:iCs w:val="0"/>
                <w:color w:val="000000"/>
                <w:kern w:val="0"/>
                <w:sz w:val="20"/>
                <w:szCs w:val="20"/>
                <w:u w:val="none"/>
                <w:lang w:val="en-US" w:eastAsia="zh-CN" w:bidi="ar"/>
              </w:rPr>
              <w:t>万元</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575"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63"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7"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575"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63"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7"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46" w:type="pct"/>
            <w:gridSpan w:val="6"/>
            <w:tcBorders>
              <w:top w:val="nil"/>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79"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5"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9" w:type="pct"/>
            <w:tcBorders>
              <w:top w:val="nil"/>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643"/>
        <w:gridCol w:w="861"/>
        <w:gridCol w:w="3403"/>
        <w:gridCol w:w="1194"/>
        <w:gridCol w:w="1149"/>
        <w:gridCol w:w="596"/>
        <w:gridCol w:w="1036"/>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641"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防灾减灾及防汛抢险演练费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4641"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8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24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704"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593"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558"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536"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79"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484"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93"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8"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6"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4"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93"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8"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6"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4"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593"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558"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33.29</w:t>
            </w:r>
          </w:p>
        </w:tc>
        <w:tc>
          <w:tcPr>
            <w:tcW w:w="536"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33.29</w:t>
            </w:r>
          </w:p>
        </w:tc>
        <w:tc>
          <w:tcPr>
            <w:tcW w:w="279"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59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5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59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5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59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5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33.29</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33.29</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48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856"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1785"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56"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保障防灾减灾及防汛抢险演练工作正常开展</w:t>
            </w:r>
          </w:p>
        </w:tc>
        <w:tc>
          <w:tcPr>
            <w:tcW w:w="1785"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56"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785"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56"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785"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0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403"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593"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558" w:type="pct"/>
            <w:vMerge w:val="restar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536"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7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48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0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9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8"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6"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0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9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8"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6"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坚持以练促战，全县共开展防汛抢险军地联合演练、防汛抢险应急演练、应急疏散演练、森林防火演练等各类应急演练次数</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≥200次</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207余次</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应急演练合格率</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深刻总结实战经验，结合我县火情灾情特点，积极探索“以线为主、条块结合、专常协同”森林火灾新型应急救援模式</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593"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5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6"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群众安全防范意识、自救互救能力及各类应急队伍应急处置、实战救援能力得到明显提升</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33.29</w:t>
            </w:r>
            <w:r>
              <w:rPr>
                <w:rFonts w:hint="eastAsia" w:ascii="微软雅黑" w:hAnsi="微软雅黑" w:eastAsia="微软雅黑" w:cs="微软雅黑"/>
                <w:i w:val="0"/>
                <w:iCs w:val="0"/>
                <w:color w:val="000000"/>
                <w:kern w:val="0"/>
                <w:sz w:val="20"/>
                <w:szCs w:val="20"/>
                <w:u w:val="none"/>
                <w:lang w:val="en-US" w:eastAsia="zh-CN" w:bidi="ar"/>
              </w:rPr>
              <w:t>万元</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33.29</w:t>
            </w:r>
            <w:r>
              <w:rPr>
                <w:rFonts w:hint="eastAsia" w:ascii="微软雅黑" w:hAnsi="微软雅黑" w:eastAsia="微软雅黑" w:cs="微软雅黑"/>
                <w:i w:val="0"/>
                <w:iCs w:val="0"/>
                <w:color w:val="000000"/>
                <w:kern w:val="0"/>
                <w:sz w:val="20"/>
                <w:szCs w:val="20"/>
                <w:u w:val="none"/>
                <w:lang w:val="en-US" w:eastAsia="zh-CN" w:bidi="ar"/>
              </w:rPr>
              <w:t>万元</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593"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5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6"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593"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5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6"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1" w:type="pct"/>
            <w:gridSpan w:val="6"/>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tcBorders>
              <w:top w:val="single" w:color="000000" w:sz="8" w:space="0"/>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p>
        </w:tc>
        <w:tc>
          <w:tcPr>
            <w:tcW w:w="4641" w:type="pct"/>
            <w:gridSpan w:val="8"/>
            <w:tcBorders>
              <w:top w:val="single" w:color="000000" w:sz="8" w:space="0"/>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641"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应急局宣传、安全生产专项、执法工作经费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4641"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8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24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704"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593"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558"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536"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79"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484"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93"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8"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6"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4"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93"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8"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6"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4"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593"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558"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69.84</w:t>
            </w:r>
          </w:p>
        </w:tc>
        <w:tc>
          <w:tcPr>
            <w:tcW w:w="536"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69.84</w:t>
            </w:r>
          </w:p>
        </w:tc>
        <w:tc>
          <w:tcPr>
            <w:tcW w:w="279"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59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5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59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5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04"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59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5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69.84</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69.84</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48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856"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1785"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56"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保障应急局宣传、安全生产专项、执法工作正常开展</w:t>
            </w:r>
          </w:p>
        </w:tc>
        <w:tc>
          <w:tcPr>
            <w:tcW w:w="1785"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56"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785"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856"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785"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0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403"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593"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558" w:type="pct"/>
            <w:vMerge w:val="restar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536"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7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48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0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9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8"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6"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0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59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8"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36"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仿宋_GB2312"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制作《51个行业领域重大事故隐患判定标准和重点检查事项汇编》资料</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≥4500本</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5000本</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仿宋"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宣传效果</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群众安全防范常识得到进一步提升</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593"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5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6"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突出学习培训，广泛宣传教育，着力增强安全防范意识</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持续宣传</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持续宣传</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5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55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69.84</w:t>
            </w:r>
            <w:r>
              <w:rPr>
                <w:rFonts w:hint="eastAsia" w:ascii="微软雅黑" w:hAnsi="微软雅黑" w:eastAsia="微软雅黑" w:cs="微软雅黑"/>
                <w:i w:val="0"/>
                <w:iCs w:val="0"/>
                <w:color w:val="000000"/>
                <w:kern w:val="0"/>
                <w:sz w:val="20"/>
                <w:szCs w:val="20"/>
                <w:u w:val="none"/>
                <w:lang w:val="en-US" w:eastAsia="zh-CN" w:bidi="ar"/>
              </w:rPr>
              <w:t>万元</w:t>
            </w:r>
          </w:p>
        </w:tc>
        <w:tc>
          <w:tcPr>
            <w:tcW w:w="536"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69.84</w:t>
            </w:r>
            <w:r>
              <w:rPr>
                <w:rFonts w:hint="eastAsia" w:ascii="微软雅黑" w:hAnsi="微软雅黑" w:eastAsia="微软雅黑" w:cs="微软雅黑"/>
                <w:i w:val="0"/>
                <w:iCs w:val="0"/>
                <w:color w:val="000000"/>
                <w:kern w:val="0"/>
                <w:sz w:val="20"/>
                <w:szCs w:val="20"/>
                <w:u w:val="none"/>
                <w:lang w:val="en-US" w:eastAsia="zh-CN" w:bidi="ar"/>
              </w:rPr>
              <w:t>万元</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593"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5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6"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0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0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593"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55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36"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4"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1" w:type="pct"/>
            <w:gridSpan w:val="6"/>
            <w:tcBorders>
              <w:top w:val="nil"/>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79"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5"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4" w:type="pct"/>
            <w:tcBorders>
              <w:top w:val="nil"/>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0"/>
        <w:gridCol w:w="750"/>
        <w:gridCol w:w="1070"/>
        <w:gridCol w:w="2215"/>
        <w:gridCol w:w="1420"/>
        <w:gridCol w:w="1346"/>
        <w:gridCol w:w="607"/>
        <w:gridCol w:w="1036"/>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573"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预算安排解决全县森林消防队伍设备采购经费（应急管理局）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continue"/>
            <w:tcBorders>
              <w:top w:val="single" w:color="000000" w:sz="8"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4573"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554"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626"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391" w:type="pct"/>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852"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037"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664"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626"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84"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622"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852"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037"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64"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26"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84"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22"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852"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037"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64"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26"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84"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22"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852" w:type="pct"/>
            <w:gridSpan w:val="2"/>
            <w:tcBorders>
              <w:top w:val="single" w:color="auto" w:sz="4"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037"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664"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10.64</w:t>
            </w:r>
          </w:p>
        </w:tc>
        <w:tc>
          <w:tcPr>
            <w:tcW w:w="626"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10.64</w:t>
            </w:r>
          </w:p>
        </w:tc>
        <w:tc>
          <w:tcPr>
            <w:tcW w:w="284"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2"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852"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03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64"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84"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852"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03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64"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84"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852"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03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64"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10.64</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10.64</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62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554" w:type="pct"/>
            <w:gridSpan w:val="4"/>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2018" w:type="pct"/>
            <w:gridSpan w:val="4"/>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54" w:type="pct"/>
            <w:gridSpan w:val="4"/>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保障全县森林消防队伍设备采购正常运作</w:t>
            </w:r>
          </w:p>
        </w:tc>
        <w:tc>
          <w:tcPr>
            <w:tcW w:w="2018" w:type="pct"/>
            <w:gridSpan w:val="4"/>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54" w:type="pct"/>
            <w:gridSpan w:val="4"/>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018" w:type="pct"/>
            <w:gridSpan w:val="4"/>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54" w:type="pct"/>
            <w:gridSpan w:val="4"/>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018" w:type="pct"/>
            <w:gridSpan w:val="4"/>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51"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500"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037"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664" w:type="pct"/>
            <w:vMerge w:val="restar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626" w:type="pct"/>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84"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622"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037"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64" w:type="pct"/>
            <w:vMerge w:val="continue"/>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26"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84"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22"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0"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037"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64" w:type="pct"/>
            <w:vMerge w:val="continue"/>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26"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84"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622"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037"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仿宋_GB2312"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森林火险因子综合监测站数量</w:t>
            </w:r>
          </w:p>
        </w:tc>
        <w:tc>
          <w:tcPr>
            <w:tcW w:w="664"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≥5个</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5个</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037"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仿宋"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设备验收合格率</w:t>
            </w:r>
          </w:p>
        </w:tc>
        <w:tc>
          <w:tcPr>
            <w:tcW w:w="664"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037"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664"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037"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664"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037"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森林防灭火预警监测、快速扑救能力得到明显提升</w:t>
            </w:r>
          </w:p>
        </w:tc>
        <w:tc>
          <w:tcPr>
            <w:tcW w:w="664"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037"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664"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6"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84"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037"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完善配齐应急设施</w:t>
            </w:r>
          </w:p>
        </w:tc>
        <w:tc>
          <w:tcPr>
            <w:tcW w:w="664"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持续完善</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持续完善</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037"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664"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037"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664"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10.64</w:t>
            </w:r>
            <w:r>
              <w:rPr>
                <w:rFonts w:hint="eastAsia" w:ascii="微软雅黑" w:hAnsi="微软雅黑" w:eastAsia="微软雅黑" w:cs="微软雅黑"/>
                <w:i w:val="0"/>
                <w:iCs w:val="0"/>
                <w:color w:val="000000"/>
                <w:kern w:val="0"/>
                <w:sz w:val="20"/>
                <w:szCs w:val="20"/>
                <w:u w:val="none"/>
                <w:lang w:val="en-US" w:eastAsia="zh-CN" w:bidi="ar"/>
              </w:rPr>
              <w:t>万元</w:t>
            </w:r>
          </w:p>
        </w:tc>
        <w:tc>
          <w:tcPr>
            <w:tcW w:w="626"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10.64</w:t>
            </w:r>
            <w:r>
              <w:rPr>
                <w:rFonts w:hint="eastAsia" w:ascii="微软雅黑" w:hAnsi="微软雅黑" w:eastAsia="微软雅黑" w:cs="微软雅黑"/>
                <w:i w:val="0"/>
                <w:iCs w:val="0"/>
                <w:color w:val="000000"/>
                <w:kern w:val="0"/>
                <w:sz w:val="20"/>
                <w:szCs w:val="20"/>
                <w:u w:val="none"/>
                <w:lang w:val="en-US" w:eastAsia="zh-CN" w:bidi="ar"/>
              </w:rPr>
              <w:t>万元</w:t>
            </w:r>
          </w:p>
        </w:tc>
        <w:tc>
          <w:tcPr>
            <w:tcW w:w="284"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037"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664"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6"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84"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5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0"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037"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664"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6"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84"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62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08" w:type="pct"/>
            <w:gridSpan w:val="6"/>
            <w:tcBorders>
              <w:top w:val="nil"/>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84" w:type="pct"/>
            <w:tcBorders>
              <w:top w:val="nil"/>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5" w:type="pct"/>
            <w:tcBorders>
              <w:top w:val="nil"/>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22" w:type="pct"/>
            <w:tcBorders>
              <w:top w:val="nil"/>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bl>
    <w:p>
      <w:pPr>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7"/>
        <w:gridCol w:w="762"/>
        <w:gridCol w:w="1095"/>
        <w:gridCol w:w="2116"/>
        <w:gridCol w:w="1405"/>
        <w:gridCol w:w="1322"/>
        <w:gridCol w:w="594"/>
        <w:gridCol w:w="1004"/>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森林火灾一次性补助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7</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7</w:t>
            </w: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7</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7</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保障森林火灾一次性补助发放到位</w:t>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仿宋_GB2312" w:cs="微软雅黑"/>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按实际情况发放森林火灾一次性补助</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按实际情况发放</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按实际情况发放</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仿宋" w:cs="微软雅黑"/>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森林火灾一次性补助率</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完成时间</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2024年12月31日之前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2024年12月31日前</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优化资源，提高财政资金使用效益</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逐步优化</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改善受灾群众的生活问题</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持续改善</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0"/>
                <w:szCs w:val="20"/>
                <w:u w:val="none"/>
                <w:lang w:val="en-US" w:eastAsia="zh-CN" w:bidi="ar"/>
              </w:rPr>
              <w:t>持续改善</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为经济持续健康发展和社会稳定提供安全保障</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7</w:t>
            </w:r>
            <w:r>
              <w:rPr>
                <w:rFonts w:hint="eastAsia" w:ascii="微软雅黑" w:hAnsi="微软雅黑" w:eastAsia="微软雅黑" w:cs="微软雅黑"/>
                <w:i w:val="0"/>
                <w:iCs w:val="0"/>
                <w:color w:val="000000"/>
                <w:kern w:val="0"/>
                <w:sz w:val="20"/>
                <w:szCs w:val="20"/>
                <w:u w:val="none"/>
                <w:lang w:val="en-US" w:eastAsia="zh-CN" w:bidi="ar"/>
              </w:rPr>
              <w:t>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7</w:t>
            </w:r>
            <w:r>
              <w:rPr>
                <w:rFonts w:hint="eastAsia" w:ascii="微软雅黑" w:hAnsi="微软雅黑" w:eastAsia="微软雅黑" w:cs="微软雅黑"/>
                <w:i w:val="0"/>
                <w:iCs w:val="0"/>
                <w:color w:val="000000"/>
                <w:kern w:val="0"/>
                <w:sz w:val="20"/>
                <w:szCs w:val="20"/>
                <w:u w:val="none"/>
                <w:lang w:val="en-US" w:eastAsia="zh-CN" w:bidi="ar"/>
              </w:rPr>
              <w:t>万元</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0" w:type="auto"/>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3"/>
        <w:gridCol w:w="870"/>
        <w:gridCol w:w="1298"/>
        <w:gridCol w:w="1832"/>
        <w:gridCol w:w="1016"/>
        <w:gridCol w:w="1412"/>
        <w:gridCol w:w="603"/>
        <w:gridCol w:w="1004"/>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应急局自然灾害风险普查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19.8</w:t>
            </w:r>
          </w:p>
        </w:tc>
        <w:tc>
          <w:tcPr>
            <w:tcW w:w="0" w:type="auto"/>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19.8</w:t>
            </w: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19.8</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19.8</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0" w:type="auto"/>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按时完成自然灾害风险普查工作。，实现应急管理职能，提高全县防灾减灾能力。</w:t>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p>
        </w:tc>
        <w:tc>
          <w:tcPr>
            <w:tcW w:w="0" w:type="auto"/>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nil"/>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宣传方式</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≥3种</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3种</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风险普查宣传工作效果显著</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及时开展防灾减灾科普宣传教育</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每季度</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根据季节开展宣传教育</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减少群众损失</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逐步减少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逐步减少</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完成普查工作</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按时完成</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按时完成</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提前预警自然灾害</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持续减少危险安全隐患</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持续减少</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持续减少</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人民群众满意度</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0" w:type="auto"/>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≤19.8万元</w:t>
            </w:r>
          </w:p>
        </w:tc>
        <w:tc>
          <w:tcPr>
            <w:tcW w:w="0" w:type="auto"/>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19.8万元</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noWrap w:val="0"/>
            <w:vAlign w:val="center"/>
          </w:tcPr>
          <w:p>
            <w:pPr>
              <w:rPr>
                <w:rFonts w:hint="eastAsia" w:ascii="微软雅黑" w:hAnsi="微软雅黑" w:eastAsia="微软雅黑" w:cs="微软雅黑"/>
                <w:i w:val="0"/>
                <w:iCs w:val="0"/>
                <w:color w:val="000000"/>
                <w:sz w:val="20"/>
                <w:szCs w:val="20"/>
                <w:u w:val="none"/>
              </w:rPr>
            </w:pPr>
          </w:p>
        </w:tc>
        <w:tc>
          <w:tcPr>
            <w:tcW w:w="0" w:type="auto"/>
            <w:tcBorders>
              <w:top w:val="nil"/>
              <w:left w:val="nil"/>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gridSpan w:val="6"/>
            <w:tcBorders>
              <w:top w:val="nil"/>
              <w:left w:val="single" w:color="000000" w:sz="8" w:space="0"/>
              <w:bottom w:val="single" w:color="auto" w:sz="4" w:space="0"/>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0" w:type="auto"/>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auto" w:sz="4" w:space="0"/>
              <w:right w:val="single" w:color="000000" w:sz="8" w:space="0"/>
            </w:tcBorders>
            <w:noWrap w:val="0"/>
            <w:vAlign w:val="center"/>
          </w:tcPr>
          <w:p>
            <w:pPr>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9"/>
        <w:gridCol w:w="829"/>
        <w:gridCol w:w="1228"/>
        <w:gridCol w:w="1630"/>
        <w:gridCol w:w="1634"/>
        <w:gridCol w:w="1136"/>
        <w:gridCol w:w="613"/>
        <w:gridCol w:w="1036"/>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522"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2024年省级自然灾害资金（10万）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4522"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491"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5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5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963"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763"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764"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529"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87"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727"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63"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63"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64"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29"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87"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27"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63"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63"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64"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29"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87"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27"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63" w:type="pct"/>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763"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764"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w:t>
            </w:r>
          </w:p>
        </w:tc>
        <w:tc>
          <w:tcPr>
            <w:tcW w:w="529"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10</w:t>
            </w:r>
          </w:p>
        </w:tc>
        <w:tc>
          <w:tcPr>
            <w:tcW w:w="287"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27"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63"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76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64"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8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63"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76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64"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8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63"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763"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64"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10</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10</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72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491"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2030"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491"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贯彻落实因灾过渡期群众的生活救助资金，提高困难群众的生活水平</w:t>
            </w:r>
            <w:r>
              <w:rPr>
                <w:rFonts w:hint="eastAsia" w:ascii="宋体" w:hAnsi="宋体" w:eastAsia="宋体" w:cs="宋体"/>
                <w:i w:val="0"/>
                <w:iCs w:val="0"/>
                <w:color w:val="000000"/>
                <w:kern w:val="0"/>
                <w:sz w:val="22"/>
                <w:szCs w:val="22"/>
                <w:u w:val="none"/>
                <w:lang w:val="en-US" w:eastAsia="zh-CN" w:bidi="ar"/>
              </w:rPr>
              <w:tab/>
            </w:r>
          </w:p>
        </w:tc>
        <w:tc>
          <w:tcPr>
            <w:tcW w:w="2030"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491"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030"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491"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030"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8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57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763"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764" w:type="pct"/>
            <w:vMerge w:val="restar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529"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87"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727"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7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6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64"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29"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8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2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7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6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64"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29"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8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2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发放情况</w:t>
            </w: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资金足额下达并发放到位</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按时发放</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补助标准</w:t>
            </w: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按要求落实好规定补助标准</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按时规定补助</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发放时效性</w:t>
            </w: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及时发放</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及时发放</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减少或避免经济损失　</w:t>
            </w: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有效减少</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有效减少</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灾区社会秩序</w:t>
            </w: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社会稳定有序</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社会稳定有序</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持续保障受灾群众的基本生活</w:t>
            </w: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人民群众满意度</w:t>
            </w: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76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764"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≤10万元</w:t>
            </w:r>
          </w:p>
        </w:tc>
        <w:tc>
          <w:tcPr>
            <w:tcW w:w="52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10万元</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763"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764"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29"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8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7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763"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764"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29"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8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2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99" w:type="pct"/>
            <w:gridSpan w:val="6"/>
            <w:tcBorders>
              <w:top w:val="nil"/>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87"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5"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27" w:type="pct"/>
            <w:tcBorders>
              <w:top w:val="nil"/>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8"/>
        <w:gridCol w:w="820"/>
        <w:gridCol w:w="1215"/>
        <w:gridCol w:w="1604"/>
        <w:gridCol w:w="1670"/>
        <w:gridCol w:w="1185"/>
        <w:gridCol w:w="613"/>
        <w:gridCol w:w="1037"/>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527"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2024年中央自然灾害救灾资金（23万）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4527"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48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48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953"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751"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780"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551"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87"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716"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53"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51"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80"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1"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87"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16"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53"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51"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80"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1"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87"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16"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53" w:type="pct"/>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751"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780"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69.18</w:t>
            </w:r>
          </w:p>
        </w:tc>
        <w:tc>
          <w:tcPr>
            <w:tcW w:w="551"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69.18</w:t>
            </w:r>
          </w:p>
        </w:tc>
        <w:tc>
          <w:tcPr>
            <w:tcW w:w="287"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16"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53"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7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80"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8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53"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7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80"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8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953"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7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80"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69.18</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69.18</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71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486"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2040"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486"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贯彻落实因灾过渡期群众的生活救助资金，提高困难群众的生活水平</w:t>
            </w:r>
            <w:r>
              <w:rPr>
                <w:rFonts w:hint="eastAsia" w:ascii="宋体" w:hAnsi="宋体" w:eastAsia="宋体" w:cs="宋体"/>
                <w:i w:val="0"/>
                <w:iCs w:val="0"/>
                <w:color w:val="000000"/>
                <w:kern w:val="0"/>
                <w:sz w:val="22"/>
                <w:szCs w:val="22"/>
                <w:u w:val="none"/>
                <w:lang w:val="en-US" w:eastAsia="zh-CN" w:bidi="ar"/>
              </w:rPr>
              <w:tab/>
            </w:r>
          </w:p>
        </w:tc>
        <w:tc>
          <w:tcPr>
            <w:tcW w:w="2040"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486"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040"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486"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040"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8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56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75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780" w:type="pct"/>
            <w:vMerge w:val="restar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551"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87"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716"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6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5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80"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1"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8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6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5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80"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51"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87"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7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发放情况</w:t>
            </w: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资金足额下达并发放到位</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按时发放</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补助标准</w:t>
            </w: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按要求落实好规定补助标准</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按时规定补助</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发放时效性</w:t>
            </w: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及时发放</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及时发放</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减少或避免经济损失　</w:t>
            </w: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有效减少</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有效减少</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灾区社会秩序</w:t>
            </w: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社会稳定有序</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社会稳定有序</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持续保障受灾群众的基本生活</w:t>
            </w: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持续保障</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人民群众满意度</w:t>
            </w: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75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全年执行数不超过预算安排</w:t>
            </w:r>
          </w:p>
        </w:tc>
        <w:tc>
          <w:tcPr>
            <w:tcW w:w="780"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≤69.18万元</w:t>
            </w:r>
          </w:p>
        </w:tc>
        <w:tc>
          <w:tcPr>
            <w:tcW w:w="551"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69.18万元</w:t>
            </w:r>
          </w:p>
        </w:tc>
        <w:tc>
          <w:tcPr>
            <w:tcW w:w="287"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751"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780"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8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2"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84"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68"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751"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780"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51"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87"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16"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10" w:type="pct"/>
            <w:gridSpan w:val="6"/>
            <w:tcBorders>
              <w:top w:val="nil"/>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87"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5"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16" w:type="pct"/>
            <w:tcBorders>
              <w:top w:val="nil"/>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8"/>
        <w:gridCol w:w="675"/>
        <w:gridCol w:w="921"/>
        <w:gridCol w:w="3737"/>
        <w:gridCol w:w="893"/>
        <w:gridCol w:w="895"/>
        <w:gridCol w:w="596"/>
        <w:gridCol w:w="1036"/>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621"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应急局抗旱专项经费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4621"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91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2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747"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749"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418"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418" w:type="pct"/>
            <w:vMerge w:val="restart"/>
            <w:tcBorders>
              <w:top w:val="single" w:color="auto" w:sz="4" w:space="0"/>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79"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523"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47"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749"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18"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18"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23"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47"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749"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18"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18" w:type="pct"/>
            <w:vMerge w:val="continue"/>
            <w:tcBorders>
              <w:top w:val="single" w:color="auto" w:sz="4" w:space="0"/>
              <w:left w:val="single" w:color="000000" w:sz="8" w:space="0"/>
              <w:bottom w:val="single" w:color="auto" w:sz="4"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23" w:type="pct"/>
            <w:vMerge w:val="continue"/>
            <w:tcBorders>
              <w:top w:val="single" w:color="auto" w:sz="4" w:space="0"/>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47" w:type="pct"/>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749"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418"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6</w:t>
            </w:r>
          </w:p>
        </w:tc>
        <w:tc>
          <w:tcPr>
            <w:tcW w:w="418" w:type="pct"/>
            <w:tcBorders>
              <w:top w:val="single" w:color="auto" w:sz="4" w:space="0"/>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6</w:t>
            </w:r>
          </w:p>
        </w:tc>
        <w:tc>
          <w:tcPr>
            <w:tcW w:w="279"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23" w:type="pct"/>
            <w:tcBorders>
              <w:top w:val="single" w:color="auto" w:sz="4" w:space="0"/>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4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74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4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74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747"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749"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6</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6</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52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914" w:type="pct"/>
            <w:gridSpan w:val="4"/>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1706"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914" w:type="pct"/>
            <w:gridSpan w:val="4"/>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1、切实抓好防汛抗旱工作，严格落实防汛责任。2、提前做好防汛抗旱工作，全力做好备汛抗旱工作。</w:t>
            </w:r>
            <w:r>
              <w:rPr>
                <w:rFonts w:hint="eastAsia" w:ascii="宋体" w:hAnsi="宋体" w:eastAsia="宋体" w:cs="宋体"/>
                <w:i w:val="0"/>
                <w:iCs w:val="0"/>
                <w:color w:val="000000"/>
                <w:kern w:val="0"/>
                <w:sz w:val="22"/>
                <w:szCs w:val="22"/>
                <w:u w:val="none"/>
                <w:lang w:val="en-US" w:eastAsia="zh-CN" w:bidi="ar"/>
              </w:rPr>
              <w:tab/>
            </w:r>
          </w:p>
        </w:tc>
        <w:tc>
          <w:tcPr>
            <w:tcW w:w="1706" w:type="pct"/>
            <w:gridSpan w:val="4"/>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914"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706"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0"/>
                <w:szCs w:val="20"/>
                <w:u w:val="none"/>
              </w:rPr>
            </w:pPr>
          </w:p>
        </w:tc>
        <w:tc>
          <w:tcPr>
            <w:tcW w:w="2914" w:type="pct"/>
            <w:gridSpan w:val="4"/>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1706" w:type="pct"/>
            <w:gridSpan w:val="4"/>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16"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431"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74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418" w:type="pct"/>
            <w:vMerge w:val="restar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418" w:type="pct"/>
            <w:vMerge w:val="restar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79"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485"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523"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3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74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18"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18"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2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31"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174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18" w:type="pct"/>
            <w:vMerge w:val="continue"/>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18" w:type="pct"/>
            <w:vMerge w:val="continue"/>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279"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485"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c>
          <w:tcPr>
            <w:tcW w:w="523"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全县中小型水库下达汛期控制运行方案</w:t>
            </w: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91座</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91座</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成功防范应对强降雨</w:t>
            </w: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≥10轮</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12轮</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2024年全年</w:t>
            </w: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2024年全年</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2024年全年</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强化物资保障，采取县级和乡镇分级储备、实物储备和协议储备的模式，提前对库存物资进行维修保养和补充库存。</w:t>
            </w: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逐步强化</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逐步强化</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加强巡查排险，根据实际情况提前转移危险区群众，做到应转尽转、应转早转，避免人员伤亡，实现全年安全度汛。</w:t>
            </w: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逐步强化</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逐步强化</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县、乡两级进一步完善行政首长负责的各类防汛抗旱责任制，，为防汛抗旱工作提供有力保障。</w:t>
            </w: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持续完善</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持续完善</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74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全年支出不超过全年预算数</w:t>
            </w:r>
          </w:p>
        </w:tc>
        <w:tc>
          <w:tcPr>
            <w:tcW w:w="418" w:type="pct"/>
            <w:tcBorders>
              <w:top w:val="nil"/>
              <w:left w:val="nil"/>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≤6万元</w:t>
            </w:r>
          </w:p>
        </w:tc>
        <w:tc>
          <w:tcPr>
            <w:tcW w:w="418" w:type="pct"/>
            <w:tcBorders>
              <w:top w:val="nil"/>
              <w:left w:val="single" w:color="000000" w:sz="8" w:space="0"/>
              <w:bottom w:val="single" w:color="000000" w:sz="8"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6万元</w:t>
            </w:r>
          </w:p>
        </w:tc>
        <w:tc>
          <w:tcPr>
            <w:tcW w:w="279"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8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749"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41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18"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2"/>
                <w:szCs w:val="22"/>
                <w:u w:val="none"/>
              </w:rPr>
            </w:pPr>
          </w:p>
        </w:tc>
        <w:tc>
          <w:tcPr>
            <w:tcW w:w="316" w:type="pct"/>
            <w:vMerge w:val="continue"/>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31"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749" w:type="pct"/>
            <w:tcBorders>
              <w:top w:val="nil"/>
              <w:left w:val="single" w:color="000000" w:sz="8" w:space="0"/>
              <w:bottom w:val="single" w:color="000000" w:sz="8" w:space="0"/>
              <w:right w:val="single" w:color="000000" w:sz="8" w:space="0"/>
            </w:tcBorders>
            <w:noWrap w:val="0"/>
            <w:vAlign w:val="center"/>
          </w:tcPr>
          <w:p>
            <w:pPr>
              <w:snapToGrid w:val="0"/>
              <w:rPr>
                <w:rFonts w:hint="eastAsia" w:ascii="微软雅黑" w:hAnsi="微软雅黑" w:eastAsia="微软雅黑" w:cs="微软雅黑"/>
                <w:i w:val="0"/>
                <w:iCs w:val="0"/>
                <w:color w:val="000000"/>
                <w:sz w:val="20"/>
                <w:szCs w:val="20"/>
                <w:u w:val="none"/>
              </w:rPr>
            </w:pPr>
          </w:p>
        </w:tc>
        <w:tc>
          <w:tcPr>
            <w:tcW w:w="418" w:type="pct"/>
            <w:tcBorders>
              <w:top w:val="nil"/>
              <w:left w:val="nil"/>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18" w:type="pct"/>
            <w:tcBorders>
              <w:top w:val="nil"/>
              <w:left w:val="single" w:color="000000" w:sz="8" w:space="0"/>
              <w:bottom w:val="single" w:color="000000" w:sz="8" w:space="0"/>
              <w:right w:val="nil"/>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279"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485"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c>
          <w:tcPr>
            <w:tcW w:w="523" w:type="pct"/>
            <w:tcBorders>
              <w:top w:val="nil"/>
              <w:left w:val="single" w:color="000000" w:sz="8" w:space="0"/>
              <w:bottom w:val="single" w:color="000000" w:sz="8"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11" w:type="pct"/>
            <w:gridSpan w:val="6"/>
            <w:tcBorders>
              <w:top w:val="nil"/>
              <w:left w:val="single" w:color="000000" w:sz="8" w:space="0"/>
              <w:bottom w:val="single" w:color="auto" w:sz="4" w:space="0"/>
              <w:right w:val="nil"/>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79"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85" w:type="pct"/>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23" w:type="pct"/>
            <w:tcBorders>
              <w:top w:val="nil"/>
              <w:left w:val="single" w:color="000000" w:sz="8" w:space="0"/>
              <w:bottom w:val="single" w:color="auto" w:sz="4" w:space="0"/>
              <w:right w:val="single" w:color="000000" w:sz="8" w:space="0"/>
            </w:tcBorders>
            <w:noWrap w:val="0"/>
            <w:vAlign w:val="center"/>
          </w:tcPr>
          <w:p>
            <w:pPr>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p>
      <w:pPr>
        <w:ind w:left="0" w:leftChars="-295" w:hanging="619" w:hangingChars="295"/>
        <w:rPr>
          <w:rFonts w:hint="default"/>
          <w:lang w:val="en-US" w:eastAsia="zh-CN"/>
        </w:rPr>
      </w:pPr>
    </w:p>
    <w:tbl>
      <w:tblPr>
        <w:tblStyle w:val="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6"/>
        <w:gridCol w:w="818"/>
        <w:gridCol w:w="1200"/>
        <w:gridCol w:w="2375"/>
        <w:gridCol w:w="1064"/>
        <w:gridCol w:w="1068"/>
        <w:gridCol w:w="632"/>
        <w:gridCol w:w="1072"/>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4556" w:type="pct"/>
            <w:gridSpan w:val="8"/>
            <w:vMerge w:val="restart"/>
            <w:tcBorders>
              <w:top w:val="single" w:color="000000" w:sz="8"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2020年中央自然灾害防治体系建设补助资金（新邵县天通一号卫星通讯设备30万、新邵县备灾点救灾物资200万、新邵县备灾点防汛物资50万）（直达资金）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continue"/>
            <w:tcBorders>
              <w:top w:val="single" w:color="000000" w:sz="8"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4556" w:type="pct"/>
            <w:gridSpan w:val="8"/>
            <w:vMerge w:val="continue"/>
            <w:tcBorders>
              <w:top w:val="single" w:color="000000" w:sz="8"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555"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1503" w:type="pct"/>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新邵县应急管理局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945" w:type="pct"/>
            <w:gridSpan w:val="2"/>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112"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497"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497" w:type="pct"/>
            <w:vMerge w:val="restart"/>
            <w:tcBorders>
              <w:top w:val="single" w:color="auto" w:sz="4" w:space="0"/>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296"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502"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703" w:type="pct"/>
            <w:vMerge w:val="restart"/>
            <w:tcBorders>
              <w:top w:val="single" w:color="auto" w:sz="4" w:space="0"/>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45"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112"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97"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97"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96"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2"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703"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45" w:type="pct"/>
            <w:gridSpan w:val="2"/>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112"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97"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97" w:type="pct"/>
            <w:vMerge w:val="continue"/>
            <w:tcBorders>
              <w:top w:val="single" w:color="auto" w:sz="4" w:space="0"/>
              <w:left w:val="single" w:color="000000" w:sz="8" w:space="0"/>
              <w:bottom w:val="single" w:color="auto" w:sz="4"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96"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2"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703" w:type="pct"/>
            <w:vMerge w:val="continue"/>
            <w:tcBorders>
              <w:top w:val="single" w:color="auto" w:sz="4" w:space="0"/>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45" w:type="pct"/>
            <w:gridSpan w:val="2"/>
            <w:tcBorders>
              <w:top w:val="single" w:color="auto" w:sz="4" w:space="0"/>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112"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0</w:t>
            </w:r>
          </w:p>
        </w:tc>
        <w:tc>
          <w:tcPr>
            <w:tcW w:w="497"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2.71</w:t>
            </w:r>
          </w:p>
        </w:tc>
        <w:tc>
          <w:tcPr>
            <w:tcW w:w="497" w:type="pct"/>
            <w:tcBorders>
              <w:top w:val="single" w:color="auto" w:sz="4" w:space="0"/>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2.71</w:t>
            </w:r>
          </w:p>
        </w:tc>
        <w:tc>
          <w:tcPr>
            <w:tcW w:w="296"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2"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703" w:type="pct"/>
            <w:tcBorders>
              <w:top w:val="single" w:color="auto" w:sz="4" w:space="0"/>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45"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112"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9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45"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112"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9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945" w:type="pct"/>
            <w:gridSpan w:val="2"/>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112"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sz w:val="20"/>
                <w:szCs w:val="20"/>
                <w:u w:val="none"/>
                <w:lang w:val="en-US" w:eastAsia="zh-CN"/>
              </w:rPr>
              <w:t>2.71</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2.71</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703"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555" w:type="pct"/>
            <w:gridSpan w:val="4"/>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2000" w:type="pct"/>
            <w:gridSpan w:val="4"/>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55" w:type="pct"/>
            <w:gridSpan w:val="4"/>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保障中央自然灾害防治体系建设补助资金发放到位</w:t>
            </w:r>
          </w:p>
        </w:tc>
        <w:tc>
          <w:tcPr>
            <w:tcW w:w="2000" w:type="pct"/>
            <w:gridSpan w:val="4"/>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55" w:type="pct"/>
            <w:gridSpan w:val="4"/>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000" w:type="pct"/>
            <w:gridSpan w:val="4"/>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0"/>
                <w:szCs w:val="20"/>
                <w:u w:val="none"/>
              </w:rPr>
            </w:pPr>
          </w:p>
        </w:tc>
        <w:tc>
          <w:tcPr>
            <w:tcW w:w="2555" w:type="pct"/>
            <w:gridSpan w:val="4"/>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000" w:type="pct"/>
            <w:gridSpan w:val="4"/>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38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561"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112"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497" w:type="pct"/>
            <w:vMerge w:val="restar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497" w:type="pct"/>
            <w:vMerge w:val="restar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296"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502"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70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6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112"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97" w:type="pct"/>
            <w:vMerge w:val="continue"/>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97"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9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2"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70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61"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1112"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97" w:type="pct"/>
            <w:vMerge w:val="continue"/>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497" w:type="pct"/>
            <w:vMerge w:val="continue"/>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296"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502"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c>
          <w:tcPr>
            <w:tcW w:w="70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both"/>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建设防火通道</w:t>
            </w: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20公里</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20公里</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验收合格率</w:t>
            </w: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2024年全年</w:t>
            </w: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2024年全年</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2024年全年</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厉行节约，提高经费使用效益</w:t>
            </w: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逐步提高</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坚持防范为主，防救结合，全面筑牢安全防线</w:t>
            </w: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both"/>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持续坚持</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持续坚持</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完善配齐应急设施</w:t>
            </w: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持续完善</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持续完善</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restar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11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全年支出不超过全年预算数</w:t>
            </w:r>
          </w:p>
        </w:tc>
        <w:tc>
          <w:tcPr>
            <w:tcW w:w="497" w:type="pct"/>
            <w:tcBorders>
              <w:top w:val="nil"/>
              <w:left w:val="nil"/>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≤2.71万元</w:t>
            </w:r>
          </w:p>
        </w:tc>
        <w:tc>
          <w:tcPr>
            <w:tcW w:w="497" w:type="pct"/>
            <w:tcBorders>
              <w:top w:val="nil"/>
              <w:left w:val="single" w:color="000000" w:sz="8" w:space="0"/>
              <w:bottom w:val="single" w:color="000000" w:sz="8"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2.71万元</w:t>
            </w:r>
          </w:p>
        </w:tc>
        <w:tc>
          <w:tcPr>
            <w:tcW w:w="296"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502"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112"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497"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97"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9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2"/>
                <w:szCs w:val="22"/>
                <w:u w:val="none"/>
              </w:rPr>
            </w:pPr>
          </w:p>
        </w:tc>
        <w:tc>
          <w:tcPr>
            <w:tcW w:w="383" w:type="pct"/>
            <w:vMerge w:val="continue"/>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61" w:type="pct"/>
            <w:tcBorders>
              <w:top w:val="nil"/>
              <w:left w:val="single" w:color="000000" w:sz="8" w:space="0"/>
              <w:bottom w:val="single" w:color="000000" w:sz="8"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112" w:type="pct"/>
            <w:tcBorders>
              <w:top w:val="nil"/>
              <w:left w:val="single" w:color="000000" w:sz="8" w:space="0"/>
              <w:bottom w:val="single" w:color="000000" w:sz="8" w:space="0"/>
              <w:right w:val="single" w:color="000000" w:sz="8" w:space="0"/>
            </w:tcBorders>
            <w:noWrap w:val="0"/>
            <w:vAlign w:val="center"/>
          </w:tcPr>
          <w:p>
            <w:pPr>
              <w:keepNext/>
              <w:snapToGrid w:val="0"/>
              <w:rPr>
                <w:rFonts w:hint="eastAsia" w:ascii="微软雅黑" w:hAnsi="微软雅黑" w:eastAsia="微软雅黑" w:cs="微软雅黑"/>
                <w:i w:val="0"/>
                <w:iCs w:val="0"/>
                <w:color w:val="000000"/>
                <w:sz w:val="20"/>
                <w:szCs w:val="20"/>
                <w:u w:val="none"/>
              </w:rPr>
            </w:pPr>
          </w:p>
        </w:tc>
        <w:tc>
          <w:tcPr>
            <w:tcW w:w="497" w:type="pct"/>
            <w:tcBorders>
              <w:top w:val="nil"/>
              <w:left w:val="nil"/>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497" w:type="pct"/>
            <w:tcBorders>
              <w:top w:val="nil"/>
              <w:left w:val="single" w:color="000000" w:sz="8" w:space="0"/>
              <w:bottom w:val="single" w:color="000000" w:sz="8" w:space="0"/>
              <w:right w:val="nil"/>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296"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502"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c>
          <w:tcPr>
            <w:tcW w:w="703" w:type="pct"/>
            <w:tcBorders>
              <w:top w:val="nil"/>
              <w:left w:val="single" w:color="000000" w:sz="8" w:space="0"/>
              <w:bottom w:val="single" w:color="000000" w:sz="8"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96" w:type="pct"/>
            <w:gridSpan w:val="6"/>
            <w:tcBorders>
              <w:top w:val="nil"/>
              <w:left w:val="single" w:color="000000" w:sz="8" w:space="0"/>
              <w:bottom w:val="single" w:color="auto" w:sz="4" w:space="0"/>
              <w:right w:val="nil"/>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总分</w:t>
            </w:r>
          </w:p>
        </w:tc>
        <w:tc>
          <w:tcPr>
            <w:tcW w:w="296" w:type="pct"/>
            <w:tcBorders>
              <w:top w:val="nil"/>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02" w:type="pct"/>
            <w:tcBorders>
              <w:top w:val="nil"/>
              <w:left w:val="single" w:color="000000" w:sz="8" w:space="0"/>
              <w:bottom w:val="single" w:color="auto" w:sz="4" w:space="0"/>
              <w:right w:val="single" w:color="000000" w:sz="8" w:space="0"/>
            </w:tcBorders>
            <w:noWrap w:val="0"/>
            <w:vAlign w:val="center"/>
          </w:tcPr>
          <w:p>
            <w:pPr>
              <w:keepNext/>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03" w:type="pct"/>
            <w:tcBorders>
              <w:top w:val="nil"/>
              <w:left w:val="single" w:color="000000" w:sz="8" w:space="0"/>
              <w:bottom w:val="single" w:color="auto" w:sz="4" w:space="0"/>
              <w:right w:val="single" w:color="000000" w:sz="8" w:space="0"/>
            </w:tcBorders>
            <w:noWrap w:val="0"/>
            <w:vAlign w:val="center"/>
          </w:tcPr>
          <w:p>
            <w:pPr>
              <w:keepNext/>
              <w:snapToGrid w:val="0"/>
              <w:jc w:val="center"/>
              <w:rPr>
                <w:rFonts w:hint="eastAsia" w:ascii="微软雅黑" w:hAnsi="微软雅黑" w:eastAsia="微软雅黑" w:cs="微软雅黑"/>
                <w:i w:val="0"/>
                <w:iCs w:val="0"/>
                <w:color w:val="000000"/>
                <w:sz w:val="20"/>
                <w:szCs w:val="20"/>
                <w:u w:val="none"/>
              </w:rPr>
            </w:pPr>
          </w:p>
        </w:tc>
      </w:tr>
    </w:tbl>
    <w:p>
      <w:pPr>
        <w:ind w:left="0" w:leftChars="-295" w:hanging="619" w:hangingChars="295"/>
        <w:rPr>
          <w:rFonts w:hint="default"/>
          <w:lang w:val="en-US" w:eastAsia="zh-CN"/>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icrosoft YaHei UI">
    <w:altName w:val="Droid Sans Fallback"/>
    <w:panose1 w:val="020B0503020204020204"/>
    <w:charset w:val="86"/>
    <w:family w:val="auto"/>
    <w:pitch w:val="default"/>
    <w:sig w:usb0="00000000" w:usb1="00000000" w:usb2="00000016" w:usb3="00000000" w:csb0="0004001F" w:csb1="00000000"/>
  </w:font>
  <w:font w:name="微软雅黑">
    <w:altName w:val="方正黑体_GBK"/>
    <w:panose1 w:val="020B0503020204020204"/>
    <w:charset w:val="86"/>
    <w:family w:val="auto"/>
    <w:pitch w:val="default"/>
    <w:sig w:usb0="00000000" w:usb1="00000000" w:usb2="00000016" w:usb3="00000000" w:csb0="0004001F"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1E2D7"/>
    <w:multiLevelType w:val="singleLevel"/>
    <w:tmpl w:val="9E31E2D7"/>
    <w:lvl w:ilvl="0" w:tentative="0">
      <w:start w:val="2"/>
      <w:numFmt w:val="chineseCounting"/>
      <w:suff w:val="nothing"/>
      <w:lvlText w:val="%1、"/>
      <w:lvlJc w:val="left"/>
      <w:rPr>
        <w:rFonts w:hint="eastAsia"/>
      </w:rPr>
    </w:lvl>
  </w:abstractNum>
  <w:abstractNum w:abstractNumId="1">
    <w:nsid w:val="BA924168"/>
    <w:multiLevelType w:val="singleLevel"/>
    <w:tmpl w:val="BA924168"/>
    <w:lvl w:ilvl="0" w:tentative="0">
      <w:start w:val="2"/>
      <w:numFmt w:val="chineseCounting"/>
      <w:suff w:val="nothing"/>
      <w:lvlText w:val="（%1）"/>
      <w:lvlJc w:val="left"/>
      <w:rPr>
        <w:rFonts w:hint="eastAsia"/>
      </w:rPr>
    </w:lvl>
  </w:abstractNum>
  <w:abstractNum w:abstractNumId="2">
    <w:nsid w:val="CFDB1030"/>
    <w:multiLevelType w:val="singleLevel"/>
    <w:tmpl w:val="CFDB1030"/>
    <w:lvl w:ilvl="0" w:tentative="0">
      <w:start w:val="3"/>
      <w:numFmt w:val="chineseCounting"/>
      <w:suff w:val="nothing"/>
      <w:lvlText w:val="%1、"/>
      <w:lvlJc w:val="left"/>
      <w:rPr>
        <w:rFonts w:hint="eastAsia"/>
      </w:rPr>
    </w:lvl>
  </w:abstractNum>
  <w:abstractNum w:abstractNumId="3">
    <w:nsid w:val="50735961"/>
    <w:multiLevelType w:val="singleLevel"/>
    <w:tmpl w:val="50735961"/>
    <w:lvl w:ilvl="0" w:tentative="0">
      <w:start w:val="2"/>
      <w:numFmt w:val="chineseCounting"/>
      <w:suff w:val="nothing"/>
      <w:lvlText w:val="（%1）"/>
      <w:lvlJc w:val="left"/>
      <w:rPr>
        <w:rFonts w:hint="eastAsia"/>
      </w:rPr>
    </w:lvl>
  </w:abstractNum>
  <w:abstractNum w:abstractNumId="4">
    <w:nsid w:val="684FD45C"/>
    <w:multiLevelType w:val="singleLevel"/>
    <w:tmpl w:val="684FD45C"/>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0C5742"/>
    <w:rsid w:val="00103957"/>
    <w:rsid w:val="00152C6D"/>
    <w:rsid w:val="00162D39"/>
    <w:rsid w:val="001678BD"/>
    <w:rsid w:val="00182373"/>
    <w:rsid w:val="001A67DB"/>
    <w:rsid w:val="001C3C29"/>
    <w:rsid w:val="001D51E5"/>
    <w:rsid w:val="001E080D"/>
    <w:rsid w:val="001E53D0"/>
    <w:rsid w:val="001F0C3B"/>
    <w:rsid w:val="00202C82"/>
    <w:rsid w:val="00214427"/>
    <w:rsid w:val="00221AFD"/>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62315"/>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17F4"/>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10822"/>
    <w:rsid w:val="00C27C0D"/>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8933D0"/>
    <w:rsid w:val="10923E54"/>
    <w:rsid w:val="17C46B8A"/>
    <w:rsid w:val="198848D8"/>
    <w:rsid w:val="1ABB2B90"/>
    <w:rsid w:val="1D97DEFF"/>
    <w:rsid w:val="1DFF72E5"/>
    <w:rsid w:val="1EFC6F07"/>
    <w:rsid w:val="2024414B"/>
    <w:rsid w:val="20C15F99"/>
    <w:rsid w:val="224F6049"/>
    <w:rsid w:val="27BA393C"/>
    <w:rsid w:val="2FDF85B8"/>
    <w:rsid w:val="2FFFEE04"/>
    <w:rsid w:val="32BD5B83"/>
    <w:rsid w:val="33843679"/>
    <w:rsid w:val="34751000"/>
    <w:rsid w:val="34DF85B0"/>
    <w:rsid w:val="3B8F36BC"/>
    <w:rsid w:val="44C237F9"/>
    <w:rsid w:val="478D0959"/>
    <w:rsid w:val="48BC4589"/>
    <w:rsid w:val="491FF225"/>
    <w:rsid w:val="4BBC7D8C"/>
    <w:rsid w:val="4D4D6F1E"/>
    <w:rsid w:val="4FFD214C"/>
    <w:rsid w:val="518108F9"/>
    <w:rsid w:val="5777D4F5"/>
    <w:rsid w:val="57991420"/>
    <w:rsid w:val="59DD8326"/>
    <w:rsid w:val="5CBB4483"/>
    <w:rsid w:val="5DEF592A"/>
    <w:rsid w:val="5FC6BB1E"/>
    <w:rsid w:val="5FF720F1"/>
    <w:rsid w:val="62751E9E"/>
    <w:rsid w:val="637C7991"/>
    <w:rsid w:val="643933CB"/>
    <w:rsid w:val="659756CC"/>
    <w:rsid w:val="67FF5C0B"/>
    <w:rsid w:val="6D8F1190"/>
    <w:rsid w:val="6EFC0924"/>
    <w:rsid w:val="6FB74722"/>
    <w:rsid w:val="6FEF8B7E"/>
    <w:rsid w:val="712D04C5"/>
    <w:rsid w:val="71A6591B"/>
    <w:rsid w:val="737D59BA"/>
    <w:rsid w:val="73CF6A1B"/>
    <w:rsid w:val="76460623"/>
    <w:rsid w:val="77C37683"/>
    <w:rsid w:val="791505C8"/>
    <w:rsid w:val="79FF515B"/>
    <w:rsid w:val="7AE23CF8"/>
    <w:rsid w:val="7D3D00ED"/>
    <w:rsid w:val="7DFF33C4"/>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D3ECAE"/>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3311</Words>
  <Characters>3396</Characters>
  <Lines>64</Lines>
  <Paragraphs>18</Paragraphs>
  <TotalTime>7</TotalTime>
  <ScaleCrop>false</ScaleCrop>
  <LinksUpToDate>false</LinksUpToDate>
  <CharactersWithSpaces>4006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huang</cp:lastModifiedBy>
  <cp:lastPrinted>2024-08-09T02:20:00Z</cp:lastPrinted>
  <dcterms:modified xsi:type="dcterms:W3CDTF">2025-11-27T15:48:44Z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7C606CFDF35544549D996CE2CD2AC306_13</vt:lpwstr>
  </property>
  <property fmtid="{D5CDD505-2E9C-101B-9397-08002B2CF9AE}" pid="4" name="KSOTemplateDocerSaveRecord">
    <vt:lpwstr>eyJoZGlkIjoiYWE5ODZjNzcwMzdhOTU3ZDNhMmI5ZDVmYzNkODZjOGUiLCJ1c2VySWQiOiI0NDgyNDE4MzkifQ==</vt:lpwstr>
  </property>
</Properties>
</file>