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line="360" w:lineRule="atLeast"/>
        <w:ind w:left="0" w:right="0" w:firstLine="480"/>
      </w:pPr>
      <w:r>
        <w:rPr>
          <w:rFonts w:ascii="仿宋" w:hAnsi="仿宋" w:eastAsia="仿宋" w:cs="仿宋"/>
          <w:sz w:val="24"/>
          <w:szCs w:val="24"/>
        </w:rPr>
        <w:t>附件</w:t>
      </w:r>
      <w:r>
        <w:rPr>
          <w:rFonts w:hint="eastAsia" w:ascii="仿宋" w:hAnsi="仿宋" w:eastAsia="仿宋" w:cs="仿宋"/>
          <w:sz w:val="24"/>
          <w:szCs w:val="24"/>
        </w:rPr>
        <w:t>4</w:t>
      </w:r>
    </w:p>
    <w:p>
      <w:pPr>
        <w:pStyle w:val="5"/>
        <w:keepNext w:val="0"/>
        <w:keepLines w:val="0"/>
        <w:widowControl/>
        <w:suppressLineNumbers w:val="0"/>
        <w:spacing w:before="75" w:beforeAutospacing="0" w:after="75" w:afterAutospacing="0" w:line="360" w:lineRule="atLeast"/>
        <w:ind w:left="0" w:right="0" w:firstLine="720"/>
        <w:jc w:val="center"/>
      </w:pPr>
      <w:r>
        <w:rPr>
          <w:rFonts w:ascii="黑体" w:hAnsi="宋体" w:eastAsia="黑体" w:cs="黑体"/>
          <w:sz w:val="36"/>
          <w:szCs w:val="36"/>
        </w:rPr>
        <w:t>新邵县石马江流域水利水电管理所</w:t>
      </w:r>
    </w:p>
    <w:p>
      <w:pPr>
        <w:pStyle w:val="5"/>
        <w:keepNext w:val="0"/>
        <w:keepLines w:val="0"/>
        <w:widowControl/>
        <w:suppressLineNumbers w:val="0"/>
        <w:spacing w:before="75" w:beforeAutospacing="0" w:after="75" w:afterAutospacing="0" w:line="360" w:lineRule="atLeast"/>
        <w:ind w:left="0" w:right="0" w:firstLine="720"/>
        <w:jc w:val="center"/>
      </w:pPr>
      <w:r>
        <w:rPr>
          <w:rFonts w:hint="eastAsia" w:ascii="黑体" w:hAnsi="宋体" w:eastAsia="黑体" w:cs="黑体"/>
          <w:sz w:val="36"/>
          <w:szCs w:val="36"/>
        </w:rPr>
        <w:t>部门整体支出绩效自评报告</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一、部门概况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（一）部门基本情况，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根据中共新邵县委办公室新党办（2008）15号文件精神，新邵县石马江流域水利水电管理所属财政差额拨款，定编22名，其中公益性编制8名（属财政全额拨款），灌溉管理编制14名（属财政差额拨款），内设机构16个，分别为办公室、水政监察中队、14个坝站（立新电站、红星坝、五星坝、向新电站、山口里坝、胜利坝、建新坝、同心坝、英雄电站、东风坝、红卫坝、向东坝、群力坝、先锋坝）。年末实有人数23人（其中全额6人，差额9人，自收自支8人），退休职工29人。</w:t>
      </w:r>
    </w:p>
    <w:p>
      <w:pPr>
        <w:pStyle w:val="5"/>
        <w:keepNext w:val="0"/>
        <w:keepLines w:val="0"/>
        <w:widowControl/>
        <w:suppressLineNumbers w:val="0"/>
        <w:spacing w:before="75" w:beforeAutospacing="0" w:after="75" w:afterAutospacing="0" w:line="480" w:lineRule="atLeast"/>
        <w:ind w:left="105" w:right="0" w:firstLine="420"/>
      </w:pPr>
      <w:r>
        <w:rPr>
          <w:rFonts w:hint="eastAsia" w:ascii="仿宋" w:hAnsi="仿宋" w:eastAsia="仿宋" w:cs="仿宋"/>
          <w:sz w:val="28"/>
          <w:szCs w:val="28"/>
        </w:rPr>
        <w:t>（二）主要工作职能</w:t>
      </w:r>
    </w:p>
    <w:p>
      <w:pPr>
        <w:pStyle w:val="5"/>
        <w:keepNext w:val="0"/>
        <w:keepLines w:val="0"/>
        <w:widowControl/>
        <w:suppressLineNumbers w:val="0"/>
        <w:spacing w:before="75" w:beforeAutospacing="0" w:after="75" w:afterAutospacing="0" w:line="480" w:lineRule="atLeast"/>
        <w:ind w:left="645" w:right="0" w:firstLine="135"/>
      </w:pPr>
      <w:r>
        <w:rPr>
          <w:rFonts w:hint="eastAsia" w:ascii="仿宋" w:hAnsi="仿宋" w:eastAsia="仿宋" w:cs="仿宋"/>
          <w:sz w:val="28"/>
          <w:szCs w:val="28"/>
        </w:rPr>
        <w:t>1、</w:t>
      </w:r>
      <w:r>
        <w:rPr>
          <w:rFonts w:hint="eastAsia" w:ascii="仿宋" w:hAnsi="仿宋" w:eastAsia="仿宋" w:cs="仿宋"/>
          <w:color w:val="333333"/>
          <w:sz w:val="28"/>
          <w:szCs w:val="28"/>
        </w:rPr>
        <w:t>石马江流域灌区防汛抗旱，水利规划、勘测、设计、施工，水政安全监察。</w:t>
      </w:r>
    </w:p>
    <w:p>
      <w:pPr>
        <w:pStyle w:val="5"/>
        <w:keepNext w:val="0"/>
        <w:keepLines w:val="0"/>
        <w:widowControl/>
        <w:suppressLineNumbers w:val="0"/>
        <w:shd w:val="clear" w:fill="FFFFFF"/>
        <w:spacing w:before="75" w:beforeAutospacing="0" w:after="75" w:afterAutospacing="0" w:line="480" w:lineRule="atLeast"/>
        <w:ind w:left="0" w:right="0" w:firstLine="555"/>
      </w:pPr>
      <w:r>
        <w:rPr>
          <w:rFonts w:hint="eastAsia" w:ascii="仿宋" w:hAnsi="仿宋" w:eastAsia="仿宋" w:cs="仿宋"/>
          <w:color w:val="333333"/>
          <w:sz w:val="28"/>
          <w:szCs w:val="28"/>
          <w:shd w:val="clear" w:fill="FFFFFF"/>
        </w:rPr>
        <w:t>2、对石马江河上各处大坝及水轮泵站的运行进行管理。</w:t>
      </w:r>
    </w:p>
    <w:p>
      <w:pPr>
        <w:pStyle w:val="5"/>
        <w:keepNext w:val="0"/>
        <w:keepLines w:val="0"/>
        <w:widowControl/>
        <w:suppressLineNumbers w:val="0"/>
        <w:shd w:val="clear" w:fill="FFFFFF"/>
        <w:spacing w:before="75" w:beforeAutospacing="0" w:after="75" w:afterAutospacing="0" w:line="480" w:lineRule="atLeast"/>
        <w:ind w:left="0" w:right="0" w:firstLine="555"/>
      </w:pPr>
      <w:r>
        <w:rPr>
          <w:rFonts w:hint="eastAsia" w:ascii="仿宋" w:hAnsi="仿宋" w:eastAsia="仿宋" w:cs="仿宋"/>
          <w:color w:val="333333"/>
          <w:sz w:val="28"/>
          <w:szCs w:val="28"/>
          <w:shd w:val="clear" w:fill="FFFFFF"/>
        </w:rPr>
        <w:t>3、新邵县小塘镇、迎光乡、巨口铺镇、新田铺镇136个村的农田灌溉。</w:t>
      </w:r>
    </w:p>
    <w:p>
      <w:pPr>
        <w:pStyle w:val="5"/>
        <w:keepNext w:val="0"/>
        <w:keepLines w:val="0"/>
        <w:widowControl/>
        <w:suppressLineNumbers w:val="0"/>
        <w:shd w:val="clear" w:fill="FFFFFF"/>
        <w:spacing w:before="75" w:beforeAutospacing="0" w:after="75" w:afterAutospacing="0" w:line="480" w:lineRule="atLeast"/>
        <w:ind w:left="0" w:right="0" w:firstLine="555"/>
      </w:pPr>
      <w:r>
        <w:rPr>
          <w:rFonts w:hint="eastAsia" w:ascii="仿宋" w:hAnsi="仿宋" w:eastAsia="仿宋" w:cs="仿宋"/>
          <w:color w:val="333333"/>
          <w:sz w:val="28"/>
          <w:szCs w:val="28"/>
          <w:shd w:val="clear" w:fill="FFFFFF"/>
        </w:rPr>
        <w:t>4、对石马江流域的河道保洁工作。</w:t>
      </w:r>
    </w:p>
    <w:p>
      <w:pPr>
        <w:pStyle w:val="5"/>
        <w:keepNext w:val="0"/>
        <w:keepLines w:val="0"/>
        <w:widowControl/>
        <w:suppressLineNumbers w:val="0"/>
        <w:shd w:val="clear" w:fill="FFFFFF"/>
        <w:spacing w:before="75" w:beforeAutospacing="0" w:after="75" w:afterAutospacing="0" w:line="480" w:lineRule="atLeast"/>
        <w:ind w:left="0" w:right="0" w:firstLine="555"/>
      </w:pPr>
      <w:r>
        <w:rPr>
          <w:rFonts w:hint="eastAsia" w:ascii="仿宋" w:hAnsi="仿宋" w:eastAsia="仿宋" w:cs="仿宋"/>
          <w:color w:val="333333"/>
          <w:sz w:val="28"/>
          <w:szCs w:val="28"/>
          <w:shd w:val="clear" w:fill="FFFFFF"/>
        </w:rPr>
        <w:t>5、</w:t>
      </w:r>
      <w:r>
        <w:rPr>
          <w:rFonts w:hint="eastAsia" w:ascii="仿宋" w:hAnsi="仿宋" w:eastAsia="仿宋" w:cs="仿宋"/>
          <w:sz w:val="28"/>
          <w:szCs w:val="28"/>
          <w:shd w:val="clear" w:fill="FFFFFF"/>
        </w:rPr>
        <w:t>国有资产管理、</w:t>
      </w:r>
      <w:r>
        <w:rPr>
          <w:rFonts w:hint="eastAsia" w:ascii="仿宋" w:hAnsi="仿宋" w:eastAsia="仿宋" w:cs="仿宋"/>
          <w:color w:val="333333"/>
          <w:sz w:val="28"/>
          <w:szCs w:val="28"/>
          <w:shd w:val="clear" w:fill="FFFFFF"/>
        </w:rPr>
        <w:t>县委和县人民政府及水利局交办的其它工作</w:t>
      </w:r>
      <w:r>
        <w:rPr>
          <w:rFonts w:hint="eastAsia" w:ascii="仿宋" w:hAnsi="仿宋" w:eastAsia="仿宋" w:cs="仿宋"/>
          <w:sz w:val="28"/>
          <w:szCs w:val="28"/>
          <w:shd w:val="clear" w:fill="FFFFFF"/>
        </w:rPr>
        <w:t>。</w:t>
      </w:r>
    </w:p>
    <w:p>
      <w:pPr>
        <w:pStyle w:val="5"/>
        <w:keepNext w:val="0"/>
        <w:keepLines w:val="0"/>
        <w:widowControl/>
        <w:suppressLineNumbers w:val="0"/>
        <w:spacing w:before="75" w:beforeAutospacing="0" w:after="75" w:afterAutospacing="0" w:line="480" w:lineRule="atLeast"/>
        <w:ind w:left="420" w:right="0"/>
      </w:pPr>
      <w:r>
        <w:rPr>
          <w:rFonts w:hint="eastAsia" w:ascii="仿宋" w:hAnsi="仿宋" w:eastAsia="仿宋" w:cs="仿宋"/>
          <w:sz w:val="28"/>
          <w:szCs w:val="28"/>
        </w:rPr>
        <w:t>   （三）工作计划</w:t>
      </w:r>
    </w:p>
    <w:p>
      <w:pPr>
        <w:pStyle w:val="5"/>
        <w:keepNext w:val="0"/>
        <w:keepLines w:val="0"/>
        <w:widowControl/>
        <w:suppressLineNumbers w:val="0"/>
        <w:spacing w:before="75" w:beforeAutospacing="0" w:after="75" w:afterAutospacing="0" w:line="480" w:lineRule="atLeast"/>
        <w:ind w:left="0" w:right="0" w:firstLine="705"/>
      </w:pPr>
      <w:r>
        <w:rPr>
          <w:rFonts w:hint="eastAsia" w:ascii="仿宋" w:hAnsi="仿宋" w:eastAsia="仿宋" w:cs="仿宋"/>
          <w:sz w:val="28"/>
          <w:szCs w:val="28"/>
        </w:rPr>
        <w:t>1、保障灌溉用水，维护渠道运行安全。</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2、湖南省石马江新邵县治理工程完成年度计划。</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3、积极争取资金，启动水闸除险加固项目。</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4、完成石马江流域河道保洁工作。</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5、完成国有资产管理、县委、县政府及上级主管部门交办的其他工作任务。</w:t>
      </w:r>
    </w:p>
    <w:p>
      <w:pPr>
        <w:pStyle w:val="5"/>
        <w:keepNext w:val="0"/>
        <w:keepLines w:val="0"/>
        <w:widowControl/>
        <w:suppressLineNumbers w:val="0"/>
        <w:spacing w:before="75" w:beforeAutospacing="0" w:after="75" w:afterAutospacing="0" w:line="480" w:lineRule="atLeast"/>
        <w:ind w:left="105" w:right="0" w:firstLine="555"/>
      </w:pPr>
      <w:r>
        <w:rPr>
          <w:rFonts w:hint="eastAsia" w:ascii="仿宋" w:hAnsi="仿宋" w:eastAsia="仿宋" w:cs="仿宋"/>
          <w:sz w:val="28"/>
          <w:szCs w:val="28"/>
        </w:rPr>
        <w:t>6、分月分季对辖区内所属行政事业单位预算执行情况进行汇总和分析，为严格执行预算进行事前、事中的全过程管理。</w:t>
      </w:r>
    </w:p>
    <w:p>
      <w:pPr>
        <w:pStyle w:val="5"/>
        <w:keepNext w:val="0"/>
        <w:keepLines w:val="0"/>
        <w:widowControl/>
        <w:suppressLineNumbers w:val="0"/>
        <w:spacing w:before="75" w:beforeAutospacing="0" w:after="75" w:afterAutospacing="0" w:line="480" w:lineRule="atLeast"/>
        <w:ind w:left="0" w:right="0" w:firstLine="705"/>
      </w:pPr>
      <w:r>
        <w:rPr>
          <w:rFonts w:hint="eastAsia" w:ascii="仿宋" w:hAnsi="仿宋" w:eastAsia="仿宋" w:cs="仿宋"/>
          <w:sz w:val="28"/>
          <w:szCs w:val="28"/>
        </w:rPr>
        <w:t>7、加强年度部门整体支出绩效的执行、统计、汇总分析和评价工作。</w:t>
      </w:r>
    </w:p>
    <w:p>
      <w:pPr>
        <w:pStyle w:val="5"/>
        <w:keepNext w:val="0"/>
        <w:keepLines w:val="0"/>
        <w:widowControl/>
        <w:suppressLineNumbers w:val="0"/>
        <w:spacing w:before="75" w:beforeAutospacing="0" w:after="75" w:afterAutospacing="0" w:line="480" w:lineRule="atLeast"/>
        <w:ind w:left="0" w:right="0" w:firstLine="705"/>
      </w:pPr>
      <w:r>
        <w:rPr>
          <w:rFonts w:hint="eastAsia" w:ascii="仿宋" w:hAnsi="仿宋" w:eastAsia="仿宋" w:cs="仿宋"/>
          <w:sz w:val="28"/>
          <w:szCs w:val="28"/>
        </w:rPr>
        <w:t>8、做好2023年度的经费结算和整体绩效考评工作。</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（四）部门整体支出情况（部门整体支出规模、使用方向和主要内容、涉及范围等）。</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2023年新邵县石马江流域水利水电管理所年初预算数为174.4万元，全年决算数1068.13万元，全年执行数为1068.13万元，其中：</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1、基本支出194.01万元。主要是用于人员经费保障，如基本工资、津补贴、各类养老保险等工资福利支出；单位基本运转支出保障，如办公费、水电费、差旅费、培训费等商品和服务支出。</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项目支出874.12万元。是水毁修复工程78.25万元，由水利局根据石马江灌区范围汛期受灾情况拨付到所进行水毁修复，完全年度任务。湖南省石马江新邵县治理工程795.87万元，这个项目款由中央财政直接拨款到水利局，再由水利局拨款到石马江流域水利水电管理所，本年度项目工程按进度完成。</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二、一般公共预算支出情况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（一）基本支出</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基本支出194.01万元。主要是用于人员经费保障，如基本工资、津补贴、各类养老保险等工资福利支出；单位基本运转支出保障，如办公费、水电费、差旅费、培训费等商品和服务支出。</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2023年“三公”经费支出年初预算数为0.4万元，实际支出0.4万元，未超过年初预算数。</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在资金的管理方面，我所在2023年制定了单位财务管理方案，在执行中严格遵守国家财务会计制度、税收法律法规和单位财务管理方案，做到资金的及时入账和规范支付。</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（二）项目支出</w:t>
      </w:r>
    </w:p>
    <w:p>
      <w:pPr>
        <w:pStyle w:val="5"/>
        <w:keepNext w:val="0"/>
        <w:keepLines w:val="0"/>
        <w:widowControl/>
        <w:suppressLineNumbers w:val="0"/>
        <w:spacing w:before="75" w:beforeAutospacing="0" w:after="75" w:afterAutospacing="0" w:line="480" w:lineRule="atLeast"/>
        <w:ind w:left="1380" w:right="0"/>
      </w:pPr>
      <w:r>
        <w:rPr>
          <w:rFonts w:hint="eastAsia" w:ascii="仿宋" w:hAnsi="仿宋" w:eastAsia="仿宋" w:cs="仿宋"/>
          <w:sz w:val="28"/>
          <w:szCs w:val="28"/>
        </w:rPr>
        <w:t>1、 项目资金安排落实、总投入等情况分析</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2023年我所项目支出合计874.12万元。是水毁修复工程78.25万元，由水利局根据石马江灌区范围汛期受灾情况拨付到所进行水毁修复，完全年度任务。湖南省石马江新邵县治理工程795.87万元，这个项目款由中央财政直接拨款到水利局，再由水利局拨款到石马江流域水利水电管理所，本年度项目工程按进度完成。</w:t>
      </w:r>
    </w:p>
    <w:p>
      <w:pPr>
        <w:pStyle w:val="5"/>
        <w:keepNext w:val="0"/>
        <w:keepLines w:val="0"/>
        <w:widowControl/>
        <w:suppressLineNumbers w:val="0"/>
        <w:spacing w:before="75" w:beforeAutospacing="0" w:after="75" w:afterAutospacing="0" w:line="480" w:lineRule="atLeast"/>
        <w:ind w:left="135" w:right="0" w:firstLine="555"/>
      </w:pPr>
      <w:r>
        <w:rPr>
          <w:rFonts w:hint="eastAsia" w:ascii="仿宋" w:hAnsi="仿宋" w:eastAsia="仿宋" w:cs="仿宋"/>
          <w:sz w:val="28"/>
          <w:szCs w:val="28"/>
        </w:rPr>
        <w:t> </w:t>
      </w:r>
    </w:p>
    <w:p>
      <w:pPr>
        <w:pStyle w:val="5"/>
        <w:keepNext w:val="0"/>
        <w:keepLines w:val="0"/>
        <w:widowControl/>
        <w:suppressLineNumbers w:val="0"/>
        <w:spacing w:before="75" w:beforeAutospacing="0" w:after="75" w:afterAutospacing="0" w:line="480" w:lineRule="atLeast"/>
        <w:ind w:left="120" w:right="0" w:firstLine="420"/>
      </w:pPr>
      <w:r>
        <w:rPr>
          <w:rFonts w:hint="eastAsia" w:ascii="仿宋" w:hAnsi="仿宋" w:eastAsia="仿宋" w:cs="仿宋"/>
          <w:sz w:val="28"/>
          <w:szCs w:val="28"/>
        </w:rPr>
        <w:t>2、项目资金实际使用情况分析</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项目资金使用规范，注重绩效，支出审批程序严格，厉行节约，支出费用合理，确保了专款专用，最大限度地提高资金的使用效益。</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3、项目资金管理情况分析</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按照专项工作的计划进度和预算安排支出项目资金，大力加强项目资金的保障力度，确保专项工作有序开展，全年专项资金未出现被挪用、挤占情况，全部按进度支付到位。</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三、资产管理情况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为加强固定资产的管理，确保本单位资产的安全和完整，充分发挥其使用价值，根据《新邵县行政事业性国有资产监督管理办法》（新党办发〔2021〕5号）、《新邵县行政事业性国有资产配置、处置操作规程》（新财资〔2021〕54号），结合本单位实际，制定了《石马江流域管理所督管办固定资产管理制度》，固定资产的管理和使用必须贯彻“统一领导，分级管理，责任到人，合理调配，加强监督”的原则，做到既保证工作需要，又防止积压和浪费，努力提高固定资产的使用效率在新邵县石马江流域水利水电管理所财务管理方案中明确了单位资产采购、配置及报废等程序，在资产管理中严格按照程序执行。2023年我单位资产保存完整、配置合理，当年未发生资产处置情况，当年购置的资产及时进行了账务处理，并在行政事业单位资产系统中进行了录入，做到了账实一致。</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四、政府性基金预算支出情况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我所2023年无政府性基金预算支出。</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五、国有资本经营预算支出情况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我所 2023年无国有资本经营预算收支。</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六、社会保险基金预算支出情况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我所2023年无社会保险基金预算收支。</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七、部门整体支出主要绩效</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根据年度重点和日常工作安排，各项工作如期完成，年度预算严格认真执行，社会反映良好，水利服务质量明显提升，水利环境明显改善；前面通过对部门整体支出情况的概述和实际支出情况的分析，部门整体支出绩效目标管理情况评价如下：</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（一）经济性评价</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1、我单位2023年预算及整体支出绩效目标符合国家法律法规、国民经济和社会发展总体规划，符合部门“三定”方案确定的职责，符合部门制定的中长期实施规划。</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2、我单位在部门预算及整体支出绩效指标设置时，根据部门工作职能和发展规划，结合年度工作计划，充分考虑了部门整体支出绩效指标的重要性和综合性，绩效指标设定清晰、细化、可衡量。</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3、我单位2023年编制人数共22人。实际人数23人（其中，全额6人，差额9人，自收自支8人），退休29人。</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4、我单位年初批复部门预算174.4万元，实际执行（年底决算）1068.13万元，完成年初预算。</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5、我单位部门预算执行较及时，实际支付进度大体与既定支付进度一致。</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6、我单位本年度“三公经费”实际支出0.4万元，预算数为0.4万元，三公经费控制率为100%。</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7、我单位严格执行了政府采购制度。</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（二）管理效率</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1、我单位制定相关预算管理制度，财务管理、预算执行、绩效考核以及内部控制等各方面制度，各种制度规范、健全、完整、可执行。大部分管理制度都能得到有效执行。</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2、我单位严格执行了政府采购、国库集中支付等制度，经查阅相关凭证，部门支出有完整的审批程序，符合部门预算批复的用途，不存在截留、挤占、挪用、虚列支出等情况。</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3、我单位按规定内容和时限公开了预决算信息。部门基础数据信息和会计资料真实、完整。</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4、我单位制定有资产管理制度，并得到有效执行。各部门的资产保存完整、使用合规、配置合理、处置规范，各部门实际在用固定资产总额与所有固定资产总额的比率为100%。                            （三）部门履行职责对社会发展所带来的直接或间接影响。</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1、我单位2023年的防汛抗旱工作立足于防大汛、防早汛，认真贯彻上级防指的安排部署，管理所高度重视，并将防汛抗旱工作作为管理所的中心工作来抓牢抓实，从</w:t>
      </w:r>
      <w:r>
        <w:rPr>
          <w:rFonts w:hint="eastAsia" w:ascii="仿宋" w:hAnsi="仿宋" w:eastAsia="仿宋" w:cs="仿宋"/>
          <w:b/>
          <w:color w:val="FF9292"/>
          <w:sz w:val="28"/>
          <w:szCs w:val="28"/>
        </w:rPr>
        <w:t>思想</w:t>
      </w:r>
      <w:r>
        <w:rPr>
          <w:rFonts w:hint="eastAsia" w:ascii="仿宋" w:hAnsi="仿宋" w:eastAsia="仿宋" w:cs="仿宋"/>
          <w:sz w:val="28"/>
          <w:szCs w:val="28"/>
        </w:rPr>
        <w:t>、组织、队伍、技术、物资等方面着手，扎实有效的开展了防汛抗旱各项工作。河道保洁方面保证流域水域清洁达标。</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2、我单位在改进文风会风，加强经费及资产管理，推动水利事业发展，供水用水等社会效益方面效果良好。</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3、本年度本单位严格认真执行预算，社会反映良好，灌溉质量明显改善，服务群众力量提升。</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（四）可持续性发展</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1、我单位实施绩效目标管理后，我单位各部门的工作积极性大有提高，只要政策上有保障，我单位水利事业的健康发展、持续发展就有了政策依据。</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2、水利事业的持续发展离不开经济，经济发展为水利事业的持续发展提供了强有力的经济保障，只要资金能够及时到位，我单位就能按照年度工作计划及时完成党和政府及上级主管部门布置的各项工作。</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3、水利事业的持续发展最关键有是人，单位的可持续发展才有实施的主体，如果采取的实施措施详细，目标明确，方法得当，单位的可持续发展就会取得更加喜人的成绩，就能交一份党和人民都能满意的答卷。</w:t>
      </w:r>
    </w:p>
    <w:p>
      <w:pPr>
        <w:pStyle w:val="5"/>
        <w:keepNext w:val="0"/>
        <w:keepLines w:val="0"/>
        <w:widowControl/>
        <w:suppressLineNumbers w:val="0"/>
        <w:spacing w:before="75" w:beforeAutospacing="0" w:after="75" w:afterAutospacing="0" w:line="480" w:lineRule="atLeast"/>
        <w:ind w:left="105" w:right="0" w:firstLine="420"/>
      </w:pPr>
      <w:r>
        <w:rPr>
          <w:rStyle w:val="9"/>
          <w:rFonts w:hint="eastAsia" w:ascii="仿宋" w:hAnsi="仿宋" w:eastAsia="仿宋" w:cs="仿宋"/>
          <w:sz w:val="28"/>
          <w:szCs w:val="28"/>
        </w:rPr>
        <w:t>八、存在的问题</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（一）预算编制方面存在的问题</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1、预算编制不严谨。</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在预算编制的过程中，总是凭借历年的经验，缺乏对现有政策或文件精神的钻研，导致预算口径性质发生了变化没有及时调整。</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2、对预决算的重视程度不够。</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是在预算编制中欠缺认真分析和认证，导致预算流于形式；二是没有对财务报表及预算完成情况做完整的分析，使存在于预算管理中的问题无法及时被发现，在下一年的预算编制中这些问题依旧存在，妨碍了单位工作顺利地开展。</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（二）预算执行方面存在的问题</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1、预算执行约束性不很强。</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是预算安排中的一部分随意性带来预算执行方面的约束性不很强，导致经费支出不能有效对应，部分资金使用不很规范；二是部分预算指标下达较晚，存在一定滞后性，当单位出现紧急用款时，就会挪用其他项目的资金，导致单位原有部分预算与实际用途之间出现分歧。</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2、预算执行监督部分滞后。</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是预算执行约束力不够，受政策非连续性与预算执行等不协调的因素影响，预算在执行过程中部分缺乏有效的监督机制；二是预算执行审核缺乏常态性，由于部门专业监督人员缺乏，很难做到对财政预算资金进行全覆盖跟踪监督，同时，审核监督独立性不够充分也限制了监督职责的发挥。</w:t>
      </w:r>
    </w:p>
    <w:p>
      <w:pPr>
        <w:pStyle w:val="5"/>
        <w:keepNext w:val="0"/>
        <w:keepLines w:val="0"/>
        <w:widowControl/>
        <w:suppressLineNumbers w:val="0"/>
        <w:spacing w:before="75" w:beforeAutospacing="0" w:after="75" w:afterAutospacing="0" w:line="480" w:lineRule="atLeast"/>
        <w:ind w:left="0" w:right="0" w:firstLine="555"/>
      </w:pPr>
      <w:r>
        <w:rPr>
          <w:rStyle w:val="9"/>
          <w:rFonts w:hint="eastAsia" w:ascii="仿宋" w:hAnsi="仿宋" w:eastAsia="仿宋" w:cs="仿宋"/>
          <w:sz w:val="28"/>
          <w:szCs w:val="28"/>
        </w:rPr>
        <w:t>九、改进措施和有关建议</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（一）预算编制方面</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一是加强政策学习，组织单位人员认真学习《中华人民共和国预算法》等相关法规、制度，提高单位领导对全面预算管理的重视程度，增强财务人员的预算意识，科学编制部门预算。</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二是细化预算指标，提高预算科学性，预算编制前根据年度内单位可预见的工作任务，确定单位年度预算目标，细化预算指标，科学合理编制部门预算，推进预算编制科学化、准确化。</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三是年度预算编制后，根据实际情况，定期做好预算执行分析，掌握预算执行进度，及时找出预算实际执行情况与预算目标之间存在的差距，纠正偏差，为科学、准确地编制部门预算积累经验。</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四是按照预算规定的项目和用途严格财务审计，经费支出严格按预算规定项目的财务支出内容进行财务预算，在预算金额内严格控制费用的支出。</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五是预算财务分析常态化，定期做好预算支出财务分析，做好部门整体支出预算评价工作。</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（二）预算执行方面</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1、加快预算执行进度。部门预算批复后，应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 </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2、加强对预算执行过程的控制和结果的反馈。重视预算执行过程的控制，统一部门预算口径与会计核算口径，对预算收入完成情况，预算支出情况，预算调整情况进行监控，采取措施纠正执行偏差，不断完善事前计划、事中控制、事后总结反馈的管理体系。同时，单位应当加强决算管理工作，确保决算真实、完整、准确、及时，加强决算分析工作，强化决算分析结果的运用。 </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3、加强财政预算执行的监督。应建立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pPr>
        <w:pStyle w:val="5"/>
        <w:keepNext w:val="0"/>
        <w:keepLines w:val="0"/>
        <w:widowControl/>
        <w:suppressLineNumbers w:val="0"/>
        <w:spacing w:before="75" w:beforeAutospacing="0" w:after="75" w:afterAutospacing="0" w:line="480" w:lineRule="atLeast"/>
        <w:ind w:left="210" w:right="0" w:firstLine="555"/>
        <w:jc w:val="center"/>
      </w:pPr>
      <w:r>
        <w:rPr>
          <w:rStyle w:val="9"/>
          <w:rFonts w:hint="eastAsia" w:ascii="仿宋" w:hAnsi="仿宋" w:eastAsia="仿宋" w:cs="仿宋"/>
          <w:sz w:val="28"/>
          <w:szCs w:val="28"/>
        </w:rPr>
        <w:t> </w:t>
      </w:r>
    </w:p>
    <w:p>
      <w:pPr>
        <w:pStyle w:val="5"/>
        <w:keepNext w:val="0"/>
        <w:keepLines w:val="0"/>
        <w:widowControl/>
        <w:suppressLineNumbers w:val="0"/>
        <w:spacing w:before="75" w:beforeAutospacing="0" w:after="75" w:afterAutospacing="0" w:line="480" w:lineRule="atLeast"/>
        <w:ind w:left="0" w:right="0" w:firstLine="555"/>
      </w:pPr>
      <w:r>
        <w:rPr>
          <w:rFonts w:hint="eastAsia" w:ascii="仿宋" w:hAnsi="仿宋" w:eastAsia="仿宋" w:cs="仿宋"/>
          <w:sz w:val="28"/>
          <w:szCs w:val="28"/>
        </w:rPr>
        <w:t> </w:t>
      </w:r>
    </w:p>
    <w:p>
      <w:pPr>
        <w:pStyle w:val="5"/>
        <w:keepNext w:val="0"/>
        <w:keepLines w:val="0"/>
        <w:widowControl/>
        <w:suppressLineNumbers w:val="0"/>
        <w:spacing w:before="75" w:beforeAutospacing="0" w:after="75" w:afterAutospacing="0" w:line="480" w:lineRule="atLeast"/>
        <w:ind w:left="0" w:right="645" w:firstLine="555"/>
      </w:pPr>
      <w:r>
        <w:rPr>
          <w:rFonts w:hint="eastAsia" w:ascii="仿宋" w:hAnsi="仿宋" w:eastAsia="仿宋" w:cs="仿宋"/>
          <w:sz w:val="28"/>
          <w:szCs w:val="28"/>
        </w:rPr>
        <w:t> </w:t>
      </w:r>
    </w:p>
    <w:p>
      <w:pPr>
        <w:pStyle w:val="5"/>
        <w:keepNext w:val="0"/>
        <w:keepLines w:val="0"/>
        <w:widowControl/>
        <w:suppressLineNumbers w:val="0"/>
        <w:spacing w:before="75" w:beforeAutospacing="0" w:after="75" w:afterAutospacing="0" w:line="480" w:lineRule="atLeast"/>
        <w:ind w:left="300" w:right="645"/>
        <w:jc w:val="right"/>
      </w:pPr>
      <w:r>
        <w:rPr>
          <w:rFonts w:hint="eastAsia" w:ascii="仿宋" w:hAnsi="仿宋" w:eastAsia="仿宋" w:cs="仿宋"/>
          <w:sz w:val="28"/>
          <w:szCs w:val="28"/>
        </w:rPr>
        <w:t>新邵县石马江流域水利水电管理所</w:t>
      </w:r>
    </w:p>
    <w:p>
      <w:pPr>
        <w:pStyle w:val="5"/>
        <w:keepNext w:val="0"/>
        <w:keepLines w:val="0"/>
        <w:widowControl/>
        <w:suppressLineNumbers w:val="0"/>
        <w:spacing w:before="75" w:beforeAutospacing="0" w:after="75" w:afterAutospacing="0" w:line="480" w:lineRule="atLeast"/>
        <w:ind w:left="255" w:right="645" w:firstLine="5040"/>
      </w:pPr>
      <w:r>
        <w:rPr>
          <w:rFonts w:hint="eastAsia" w:ascii="仿宋" w:hAnsi="仿宋" w:eastAsia="仿宋" w:cs="仿宋"/>
          <w:sz w:val="28"/>
          <w:szCs w:val="28"/>
        </w:rPr>
        <w:t> 2024.06.19</w:t>
      </w:r>
    </w:p>
    <w:p>
      <w:pPr>
        <w:pStyle w:val="5"/>
        <w:keepNext w:val="0"/>
        <w:keepLines w:val="0"/>
        <w:widowControl/>
        <w:suppressLineNumbers w:val="0"/>
        <w:spacing w:before="75" w:beforeAutospacing="0" w:after="75" w:afterAutospacing="0" w:line="585" w:lineRule="atLeast"/>
        <w:ind w:left="0" w:right="165" w:firstLine="0"/>
      </w:pPr>
      <w:r>
        <w:rPr>
          <w:rFonts w:hint="eastAsia" w:ascii="仿宋" w:hAnsi="仿宋" w:eastAsia="仿宋" w:cs="仿宋"/>
          <w:sz w:val="24"/>
          <w:szCs w:val="24"/>
        </w:rPr>
        <w:t> </w:t>
      </w:r>
    </w:p>
    <w:p>
      <w:pPr>
        <w:pStyle w:val="5"/>
        <w:keepNext w:val="0"/>
        <w:keepLines w:val="0"/>
        <w:widowControl/>
        <w:suppressLineNumbers w:val="0"/>
        <w:spacing w:before="75" w:beforeAutospacing="0" w:after="75" w:afterAutospacing="0"/>
        <w:ind w:left="315" w:right="0"/>
      </w:pPr>
      <w:r>
        <w:rPr>
          <w:rFonts w:hint="default" w:ascii="Times New Roman" w:hAnsi="Times New Roman" w:cs="Times New Roman"/>
          <w:sz w:val="21"/>
          <w:szCs w:val="21"/>
        </w:rPr>
        <w:t> </w:t>
      </w:r>
    </w:p>
    <w:p>
      <w:pPr>
        <w:pStyle w:val="5"/>
        <w:keepNext w:val="0"/>
        <w:keepLines w:val="0"/>
        <w:widowControl/>
        <w:suppressLineNumbers w:val="0"/>
        <w:spacing w:before="75" w:beforeAutospacing="0" w:after="75" w:afterAutospacing="0"/>
        <w:ind w:left="0" w:right="0"/>
      </w:pPr>
    </w:p>
    <w:p>
      <w:bookmarkStart w:id="0" w:name="_GoBack"/>
      <w:bookmarkEnd w:id="0"/>
    </w:p>
    <w:sectPr>
      <w:headerReference r:id="rId3" w:type="default"/>
      <w:footerReference r:id="rId4" w:type="default"/>
      <w:pgSz w:w="11906" w:h="16838"/>
      <w:pgMar w:top="851" w:right="1531" w:bottom="737"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70" w:hanging="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4572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457200"/>
                      </a:xfrm>
                      <a:prstGeom prst="rect">
                        <a:avLst/>
                      </a:prstGeom>
                      <a:noFill/>
                      <a:ln>
                        <a:noFill/>
                      </a:ln>
                    </wps:spPr>
                    <wps:txbx>
                      <w:txbxContent>
                        <w:p>
                          <w:pPr>
                            <w:pStyle w:val="4"/>
                            <w:ind w:left="270" w:hanging="270"/>
                          </w:pPr>
                          <w:r>
                            <w:fldChar w:fldCharType="begin"/>
                          </w:r>
                          <w:r>
                            <w:instrText xml:space="preserve"> PAGE  \* MERGEFORMAT </w:instrText>
                          </w:r>
                          <w:r>
                            <w:fldChar w:fldCharType="separate"/>
                          </w:r>
                          <w:r>
                            <w:rPr>
                              <w:lang w:val="en-US" w:eastAsia="zh-CN"/>
                            </w:rPr>
                            <w:t>- 2 -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36pt;width:15pt;mso-position-horizontal:center;mso-position-horizontal-relative:margin;mso-wrap-style:none;z-index:251659264;mso-width-relative:page;mso-height-relative:page;" filled="f" stroked="f" coordsize="21600,21600" o:gfxdata="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egeHPAAAA&#10;AwEAAA8AAAAAAAAAAQAgAAAAIgAAAGRycy9kb3ducmV2LnhtbFBLAQIUABQAAAAIAIdO4kCKmml4&#10;tAEAAEwDAAAOAAAAAAAAAAEAIAAAAB4BAABkcnMvZTJvRG9jLnhtbFBLBQYAAAAABgAGAFkBAABE&#10;BQAAAAA=&#10;">
              <v:fill on="f" focussize="0,0"/>
              <v:stroke on="f"/>
              <v:imagedata o:title=""/>
              <o:lock v:ext="edit" aspectratio="f"/>
              <v:textbox inset="0mm,0mm,0mm,0mm" style="mso-fit-shape-to-text:t;">
                <w:txbxContent>
                  <w:p>
                    <w:pPr>
                      <w:pStyle w:val="4"/>
                      <w:ind w:left="270" w:hanging="270"/>
                    </w:pPr>
                    <w:r>
                      <w:fldChar w:fldCharType="begin"/>
                    </w:r>
                    <w:r>
                      <w:instrText xml:space="preserve"> PAGE  \* MERGEFORMAT </w:instrText>
                    </w:r>
                    <w:r>
                      <w:fldChar w:fldCharType="separate"/>
                    </w:r>
                    <w:r>
                      <w:rPr>
                        <w:lang w:val="en-US" w:eastAsia="zh-CN"/>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1F"/>
    <w:rsid w:val="00BB3E81"/>
    <w:rsid w:val="00C94F1F"/>
    <w:rsid w:val="00D61B51"/>
    <w:rsid w:val="5C6E44D4"/>
    <w:rsid w:val="7653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uiPriority w:val="99"/>
    <w:pPr>
      <w:tabs>
        <w:tab w:val="center" w:pos="4153"/>
        <w:tab w:val="right" w:pos="8306"/>
      </w:tabs>
      <w:snapToGrid w:val="0"/>
      <w:spacing w:line="240" w:lineRule="atLeast"/>
      <w:jc w:val="left"/>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3"/>
    <w:link w:val="12"/>
    <w:qFormat/>
    <w:uiPriority w:val="0"/>
    <w:pPr>
      <w:spacing w:after="0"/>
      <w:ind w:firstLine="420" w:firstLineChars="200"/>
    </w:pPr>
  </w:style>
  <w:style w:type="character" w:styleId="9">
    <w:name w:val="Strong"/>
    <w:basedOn w:val="8"/>
    <w:qFormat/>
    <w:uiPriority w:val="22"/>
    <w:rPr>
      <w:b/>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正文文本缩进 Char"/>
    <w:basedOn w:val="8"/>
    <w:link w:val="3"/>
    <w:semiHidden/>
    <w:qFormat/>
    <w:uiPriority w:val="99"/>
    <w:rPr>
      <w:rFonts w:ascii="Times New Roman" w:hAnsi="Times New Roman" w:eastAsia="宋体" w:cs="Times New Roman"/>
    </w:rPr>
  </w:style>
  <w:style w:type="character" w:customStyle="1" w:styleId="12">
    <w:name w:val="正文首行缩进 2 Char"/>
    <w:basedOn w:val="11"/>
    <w:link w:val="6"/>
    <w:qFormat/>
    <w:uiPriority w:val="0"/>
  </w:style>
  <w:style w:type="paragraph" w:styleId="13">
    <w:name w:val="No Spacing"/>
    <w:qFormat/>
    <w:uiPriority w:val="99"/>
    <w:pPr>
      <w:widowControl w:val="0"/>
      <w:ind w:left="150" w:hanging="150" w:hangingChars="15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4445</Words>
  <Characters>4590</Characters>
  <Lines>33</Lines>
  <Paragraphs>9</Paragraphs>
  <TotalTime>14</TotalTime>
  <ScaleCrop>false</ScaleCrop>
  <LinksUpToDate>false</LinksUpToDate>
  <CharactersWithSpaces>4625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2024-06-28T02:31:00Z</dcterms:created>
  <dc:creator>Administrator</dc:creator>
  <cp:lastModifiedBy>Administrator</cp:lastModifiedBy>
  <cp:lastPrinted>2024-11-29T02:20:00Z</cp:lastPrinted>
  <dcterms:modified xsi:type="dcterms:W3CDTF">2024-11-29T09:34:46Z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8A2FF8818EDA4008AB31CD502B1A7356_13</vt:lpwstr>
  </property>
</Properties>
</file>