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39" w:rsidRDefault="009F2539" w:rsidP="009F2539">
      <w:pPr>
        <w:pStyle w:val="BodyText1I"/>
        <w:spacing w:line="580" w:lineRule="exact"/>
        <w:ind w:left="0" w:firstLineChars="0" w:firstLine="560"/>
        <w:jc w:val="center"/>
        <w:rPr>
          <w:rFonts w:ascii="仿宋" w:eastAsia="仿宋" w:hAnsi="仿宋" w:cs="仿宋"/>
          <w:b/>
          <w:bCs/>
          <w:sz w:val="44"/>
          <w:szCs w:val="44"/>
        </w:rPr>
      </w:pPr>
      <w:r w:rsidRPr="009F2539">
        <w:rPr>
          <w:rFonts w:ascii="黑体" w:eastAsia="黑体" w:hAnsi="黑体" w:cs="黑体" w:hint="eastAsia"/>
          <w:sz w:val="44"/>
          <w:szCs w:val="44"/>
        </w:rPr>
        <w:t>水生生物保护区建设和珍稀水生物种保护资金</w:t>
      </w:r>
      <w:r>
        <w:rPr>
          <w:rFonts w:ascii="黑体" w:eastAsia="黑体" w:hAnsi="黑体" w:cs="黑体" w:hint="eastAsia"/>
          <w:sz w:val="44"/>
          <w:szCs w:val="44"/>
        </w:rPr>
        <w:t>项目支出绩效自评报告</w:t>
      </w:r>
    </w:p>
    <w:p w:rsidR="009F2539" w:rsidRDefault="009F2539" w:rsidP="009F2539">
      <w:pPr>
        <w:pStyle w:val="BodyText1I"/>
        <w:spacing w:line="580" w:lineRule="exact"/>
        <w:ind w:left="0" w:firstLineChars="200" w:firstLine="600"/>
        <w:rPr>
          <w:rFonts w:ascii="仿宋" w:eastAsia="仿宋" w:hAnsi="仿宋" w:cs="仿宋"/>
          <w:sz w:val="30"/>
          <w:szCs w:val="30"/>
        </w:rPr>
      </w:pPr>
    </w:p>
    <w:p w:rsidR="009F2539" w:rsidRDefault="009F2539" w:rsidP="009F2539">
      <w:pPr>
        <w:pStyle w:val="BodyText1I"/>
        <w:spacing w:line="580" w:lineRule="exact"/>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F26270" w:rsidRDefault="009F2539" w:rsidP="00F26270">
      <w:pPr>
        <w:pStyle w:val="BodyText1I"/>
        <w:spacing w:line="580" w:lineRule="exact"/>
        <w:ind w:left="0" w:firstLineChars="0" w:firstLine="560"/>
        <w:rPr>
          <w:rFonts w:ascii="仿宋" w:eastAsia="仿宋" w:hAnsi="仿宋" w:cs="仿宋"/>
          <w:color w:val="000000"/>
          <w:sz w:val="32"/>
          <w:szCs w:val="32"/>
          <w:shd w:val="clear" w:color="auto" w:fill="FFFFFF"/>
        </w:rPr>
      </w:pPr>
      <w:r>
        <w:rPr>
          <w:rFonts w:ascii="仿宋" w:eastAsia="仿宋" w:hAnsi="仿宋" w:cs="仿宋" w:hint="eastAsia"/>
          <w:sz w:val="30"/>
          <w:szCs w:val="30"/>
        </w:rPr>
        <w:t>（一）项目单位基本情况</w:t>
      </w:r>
    </w:p>
    <w:p w:rsidR="00F26270" w:rsidRPr="00F26270" w:rsidRDefault="00F26270" w:rsidP="00F26270">
      <w:pPr>
        <w:pStyle w:val="a5"/>
        <w:widowControl/>
        <w:shd w:val="clear" w:color="auto" w:fill="FFFFFF"/>
        <w:spacing w:before="0" w:beforeAutospacing="0" w:after="0" w:afterAutospacing="0" w:line="240" w:lineRule="auto"/>
        <w:ind w:left="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动物及其动物产品检疫、畜牧水产业发展、饲料兽药安全监管、渔业发展、定点屠宰场监管等工作。</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（二）项目基本情况</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1、项目的实施依据。</w:t>
      </w:r>
    </w:p>
    <w:p w:rsidR="00F26270" w:rsidRDefault="009270A5" w:rsidP="009F2539">
      <w:pPr>
        <w:pStyle w:val="BodyText1I"/>
        <w:spacing w:line="580" w:lineRule="exact"/>
        <w:ind w:left="0" w:firstLineChars="0" w:firstLine="560"/>
        <w:rPr>
          <w:rFonts w:ascii="仿宋" w:eastAsia="仿宋" w:hAnsi="仿宋" w:cs="仿宋"/>
          <w:sz w:val="30"/>
          <w:szCs w:val="30"/>
        </w:rPr>
      </w:pPr>
      <w:r w:rsidRPr="009270A5">
        <w:rPr>
          <w:rFonts w:ascii="仿宋" w:eastAsia="仿宋" w:hAnsi="仿宋" w:cs="仿宋" w:hint="eastAsia"/>
          <w:sz w:val="30"/>
          <w:szCs w:val="30"/>
        </w:rPr>
        <w:t>湖南省财政厅关于下达2023年中央成品油价格调整对渔业补助资金（第二批）</w:t>
      </w:r>
      <w:r>
        <w:rPr>
          <w:rFonts w:ascii="仿宋" w:eastAsia="仿宋" w:hAnsi="仿宋" w:cs="仿宋" w:hint="eastAsia"/>
          <w:sz w:val="30"/>
          <w:szCs w:val="30"/>
        </w:rPr>
        <w:t>。</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2、项目基本性质、用途和主要内容、涉及范围。</w:t>
      </w:r>
    </w:p>
    <w:p w:rsidR="00F26270" w:rsidRDefault="00F26270" w:rsidP="009F2539">
      <w:pPr>
        <w:pStyle w:val="BodyText1I"/>
        <w:spacing w:line="580" w:lineRule="exact"/>
        <w:ind w:left="0" w:firstLineChars="0" w:firstLine="560"/>
        <w:rPr>
          <w:rFonts w:ascii="仿宋" w:eastAsia="仿宋" w:hAnsi="仿宋" w:cs="仿宋"/>
          <w:sz w:val="30"/>
          <w:szCs w:val="30"/>
        </w:rPr>
      </w:pPr>
      <w:r w:rsidRPr="00F26270">
        <w:rPr>
          <w:rFonts w:ascii="仿宋" w:eastAsia="仿宋" w:hAnsi="仿宋" w:cs="仿宋" w:hint="eastAsia"/>
          <w:sz w:val="30"/>
          <w:szCs w:val="30"/>
        </w:rPr>
        <w:t>水生生物保护区建设完成率</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3、项目申报的可行性、必要性及其论证过程。</w:t>
      </w:r>
    </w:p>
    <w:p w:rsidR="00F26270" w:rsidRDefault="00F26270" w:rsidP="00F26270">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通过水生生物增殖放流，补充资江河流域经济鱼类和珍稀水生生物种群数量，维护水生生物的多样性和平衡性，改善渔业水域生态环境，提高资源利用效益，确保我县渔业经济持续健康发展。</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4、项目绩效总目标及阶段性目标情况。</w:t>
      </w:r>
    </w:p>
    <w:p w:rsidR="00F26270" w:rsidRDefault="00F26270" w:rsidP="009F2539">
      <w:pPr>
        <w:pStyle w:val="BodyText1I"/>
        <w:spacing w:line="580" w:lineRule="exact"/>
        <w:ind w:left="0" w:firstLineChars="0" w:firstLine="560"/>
        <w:rPr>
          <w:rFonts w:ascii="仿宋" w:eastAsia="仿宋" w:hAnsi="仿宋" w:cs="仿宋"/>
          <w:sz w:val="30"/>
          <w:szCs w:val="30"/>
        </w:rPr>
      </w:pPr>
      <w:r w:rsidRPr="00F26270">
        <w:rPr>
          <w:rFonts w:ascii="仿宋" w:eastAsia="仿宋" w:hAnsi="仿宋" w:cs="仿宋" w:hint="eastAsia"/>
          <w:sz w:val="30"/>
          <w:szCs w:val="30"/>
        </w:rPr>
        <w:t>提升水产种质资源保护区的管控能力，提高物种就地保护、种质原种保存、水生物种保护宣传等综合效益。</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5、项目预期投入情况。</w:t>
      </w:r>
    </w:p>
    <w:p w:rsidR="00F26270" w:rsidRDefault="00F26270"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项目预期投入15万。</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6、预期主要的经济、政治和社会效益。</w:t>
      </w:r>
    </w:p>
    <w:p w:rsidR="00F26270" w:rsidRDefault="00F26270" w:rsidP="009270A5">
      <w:pPr>
        <w:pStyle w:val="BodyText1I"/>
        <w:spacing w:line="580" w:lineRule="exact"/>
        <w:ind w:left="0" w:firstLineChars="0" w:firstLine="560"/>
        <w:rPr>
          <w:rFonts w:ascii="仿宋" w:eastAsia="仿宋" w:hAnsi="仿宋" w:cs="仿宋"/>
          <w:sz w:val="30"/>
          <w:szCs w:val="30"/>
        </w:rPr>
      </w:pPr>
      <w:r w:rsidRPr="00F26270">
        <w:rPr>
          <w:rFonts w:ascii="仿宋" w:eastAsia="仿宋" w:hAnsi="仿宋" w:cs="仿宋" w:hint="eastAsia"/>
          <w:sz w:val="30"/>
          <w:szCs w:val="30"/>
        </w:rPr>
        <w:lastRenderedPageBreak/>
        <w:t>提高物种就地保护、种质原种保存、水生物种保护宣传等综合效益。</w:t>
      </w:r>
    </w:p>
    <w:p w:rsidR="009F2539" w:rsidRDefault="009F2539" w:rsidP="009F2539">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二、项目实施基本情况</w:t>
      </w:r>
    </w:p>
    <w:p w:rsidR="009F2539" w:rsidRDefault="00F26270"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（一）项目组织管理情况</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严格按照专项资金规定的审批程序实施项目管理，由新邵县畜牧水产事务中心负责组织实施，及时调整、解决相关问题。</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（二）项目资金使用情况</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项目支出预算安排15万元，总投入15万元，资金到位15万元，实际使用15万。预算资金到位率100%，支出实现率100%，资金使用合法合规。</w:t>
      </w:r>
    </w:p>
    <w:p w:rsidR="009F2539" w:rsidRDefault="009F2539" w:rsidP="009F2539">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三、项目绩效分析</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（一）项目绩效评价工作开展情况（包括选用的评价指标和评价方法以及现场勘验、检查、核实的情况，此项中需要总结项目的具体自评得分和自评等级）</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2023年水生生物保护区建设和珍稀水生生物物种保护资金项目绩效综合评分100分，评价等级“优”。综合评价结论：</w:t>
      </w:r>
      <w:r w:rsidRPr="00F26270">
        <w:rPr>
          <w:rFonts w:ascii="仿宋" w:eastAsia="仿宋" w:hAnsi="仿宋" w:cs="仿宋" w:hint="eastAsia"/>
          <w:sz w:val="30"/>
          <w:szCs w:val="30"/>
        </w:rPr>
        <w:t>提升水产种质资源保护区的管控能力，提高物种就地保护、种质原种保存、水生物种保护宣传等综合效益。</w:t>
      </w:r>
    </w:p>
    <w:p w:rsidR="00F26270" w:rsidRDefault="009F2539"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（二）项目绩效目标完成情况</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绩效目标实现情况综合结论：项目主要绩效目标基本实现。项目实施社会效益显著，可持续性影响认可率高，年度目标完成率及受益对象满意度较高。</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（三）项目绩效分析</w:t>
      </w:r>
    </w:p>
    <w:p w:rsidR="00F26270" w:rsidRDefault="00F26270" w:rsidP="00F26270">
      <w:pPr>
        <w:pStyle w:val="BodyText1I"/>
        <w:ind w:leftChars="200" w:left="440" w:firstLine="300"/>
        <w:rPr>
          <w:rFonts w:ascii="仿宋" w:eastAsia="仿宋" w:hAnsi="仿宋" w:cs="仿宋"/>
          <w:sz w:val="30"/>
          <w:szCs w:val="30"/>
        </w:rPr>
      </w:pPr>
      <w:r>
        <w:rPr>
          <w:rFonts w:ascii="仿宋" w:eastAsia="仿宋" w:hAnsi="仿宋" w:cs="仿宋" w:hint="eastAsia"/>
          <w:sz w:val="30"/>
          <w:szCs w:val="30"/>
        </w:rPr>
        <w:t>1、产出指标满分30分，得分30分。其中：</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lastRenderedPageBreak/>
        <w:t>（1）数量指标20分，得分20分，得分的原因是</w:t>
      </w:r>
      <w:r w:rsidRPr="00F26270">
        <w:rPr>
          <w:rFonts w:ascii="仿宋" w:eastAsia="仿宋" w:hAnsi="仿宋" w:cs="仿宋" w:hint="eastAsia"/>
          <w:sz w:val="30"/>
          <w:szCs w:val="30"/>
        </w:rPr>
        <w:t>资金使用</w:t>
      </w:r>
      <w:r>
        <w:rPr>
          <w:rFonts w:ascii="仿宋" w:eastAsia="仿宋" w:hAnsi="仿宋" w:cs="仿宋" w:hint="eastAsia"/>
          <w:sz w:val="30"/>
          <w:szCs w:val="30"/>
        </w:rPr>
        <w:t>无</w:t>
      </w:r>
      <w:r w:rsidRPr="00F26270">
        <w:rPr>
          <w:rFonts w:ascii="仿宋" w:eastAsia="仿宋" w:hAnsi="仿宋" w:cs="仿宋" w:hint="eastAsia"/>
          <w:sz w:val="30"/>
          <w:szCs w:val="30"/>
        </w:rPr>
        <w:t>重大违规违纪问题</w:t>
      </w:r>
      <w:r>
        <w:rPr>
          <w:rFonts w:ascii="仿宋" w:eastAsia="仿宋" w:hAnsi="仿宋" w:cs="仿宋" w:hint="eastAsia"/>
          <w:sz w:val="30"/>
          <w:szCs w:val="30"/>
        </w:rPr>
        <w:t>。</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（2）质量指标10分，得分10分，得分的原因是</w:t>
      </w:r>
      <w:r w:rsidRPr="00F26270">
        <w:rPr>
          <w:rFonts w:ascii="仿宋" w:eastAsia="仿宋" w:hAnsi="仿宋" w:cs="仿宋" w:hint="eastAsia"/>
          <w:sz w:val="30"/>
          <w:szCs w:val="30"/>
        </w:rPr>
        <w:t>水生生物保护区建设完成率</w:t>
      </w:r>
      <w:r>
        <w:rPr>
          <w:rFonts w:ascii="仿宋" w:eastAsia="仿宋" w:hAnsi="仿宋" w:cs="仿宋" w:hint="eastAsia"/>
          <w:sz w:val="30"/>
          <w:szCs w:val="30"/>
        </w:rPr>
        <w:t>98%。</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（3）时效指标10分，得分10分，得分的原因是项目准时完工。</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2、效益指标满分40分，得分40分。其中：</w:t>
      </w:r>
    </w:p>
    <w:p w:rsidR="00F26270" w:rsidRDefault="00F26270" w:rsidP="00F26270">
      <w:pPr>
        <w:pStyle w:val="BodyText1I"/>
        <w:ind w:firstLine="300"/>
        <w:rPr>
          <w:rFonts w:ascii="仿宋" w:eastAsia="仿宋" w:hAnsi="仿宋" w:cs="仿宋"/>
          <w:sz w:val="30"/>
          <w:szCs w:val="30"/>
        </w:rPr>
      </w:pPr>
      <w:r>
        <w:rPr>
          <w:rFonts w:ascii="仿宋" w:eastAsia="仿宋" w:hAnsi="仿宋" w:cs="仿宋" w:hint="eastAsia"/>
          <w:sz w:val="30"/>
          <w:szCs w:val="30"/>
        </w:rPr>
        <w:t>（1）经济效益指标10分，得分10分，得分的原因是鱼类品种、数量提升25%。</w:t>
      </w:r>
    </w:p>
    <w:p w:rsidR="00F26270" w:rsidRDefault="00F26270" w:rsidP="00F26270">
      <w:pPr>
        <w:pStyle w:val="BodyText1I"/>
        <w:ind w:firstLine="300"/>
        <w:rPr>
          <w:rFonts w:ascii="仿宋" w:eastAsia="仿宋" w:hAnsi="仿宋" w:cs="仿宋"/>
          <w:sz w:val="30"/>
          <w:szCs w:val="30"/>
        </w:rPr>
      </w:pPr>
      <w:r>
        <w:rPr>
          <w:rFonts w:ascii="仿宋" w:eastAsia="仿宋" w:hAnsi="仿宋" w:cs="仿宋" w:hint="eastAsia"/>
          <w:sz w:val="30"/>
          <w:szCs w:val="30"/>
        </w:rPr>
        <w:t>（2）社会效益指标10分，得分10分，得分的原因是</w:t>
      </w:r>
      <w:r w:rsidRPr="00F26270">
        <w:rPr>
          <w:rFonts w:ascii="仿宋" w:eastAsia="仿宋" w:hAnsi="仿宋" w:cs="仿宋" w:hint="eastAsia"/>
          <w:sz w:val="30"/>
          <w:szCs w:val="30"/>
        </w:rPr>
        <w:t>保护区长效管理机制</w:t>
      </w:r>
      <w:r>
        <w:rPr>
          <w:rFonts w:ascii="仿宋" w:eastAsia="仿宋" w:hAnsi="仿宋" w:cs="仿宋" w:hint="eastAsia"/>
          <w:sz w:val="30"/>
          <w:szCs w:val="30"/>
        </w:rPr>
        <w:t>持续发展。</w:t>
      </w:r>
    </w:p>
    <w:p w:rsidR="00F26270" w:rsidRDefault="00F26270" w:rsidP="00F26270">
      <w:pPr>
        <w:pStyle w:val="BodyText1I"/>
        <w:ind w:firstLine="300"/>
        <w:rPr>
          <w:rFonts w:ascii="仿宋" w:eastAsia="仿宋" w:hAnsi="仿宋" w:cs="仿宋"/>
          <w:sz w:val="30"/>
          <w:szCs w:val="30"/>
        </w:rPr>
      </w:pPr>
      <w:r>
        <w:rPr>
          <w:rFonts w:ascii="仿宋" w:eastAsia="仿宋" w:hAnsi="仿宋" w:cs="仿宋" w:hint="eastAsia"/>
          <w:sz w:val="30"/>
          <w:szCs w:val="30"/>
        </w:rPr>
        <w:t>（3）生态效益指标10分，得分10分，得分原因是</w:t>
      </w:r>
      <w:r w:rsidRPr="00F26270">
        <w:rPr>
          <w:rFonts w:ascii="仿宋" w:eastAsia="仿宋" w:hAnsi="仿宋" w:cs="仿宋" w:hint="eastAsia"/>
          <w:sz w:val="30"/>
          <w:szCs w:val="30"/>
        </w:rPr>
        <w:t>重要水生生物物种多样性资源贡献率</w:t>
      </w:r>
      <w:r>
        <w:rPr>
          <w:rFonts w:ascii="仿宋" w:eastAsia="仿宋" w:hAnsi="仿宋" w:cs="仿宋" w:hint="eastAsia"/>
          <w:sz w:val="30"/>
          <w:szCs w:val="30"/>
        </w:rPr>
        <w:t>2%。</w:t>
      </w:r>
    </w:p>
    <w:p w:rsidR="00F26270" w:rsidRDefault="00F26270" w:rsidP="00F26270">
      <w:pPr>
        <w:pStyle w:val="BodyText1I"/>
        <w:ind w:firstLine="300"/>
        <w:rPr>
          <w:rFonts w:ascii="仿宋" w:eastAsia="仿宋" w:hAnsi="仿宋" w:cs="仿宋"/>
          <w:sz w:val="30"/>
          <w:szCs w:val="30"/>
        </w:rPr>
      </w:pPr>
      <w:r>
        <w:rPr>
          <w:rFonts w:ascii="仿宋" w:eastAsia="仿宋" w:hAnsi="仿宋" w:cs="仿宋" w:hint="eastAsia"/>
          <w:sz w:val="30"/>
          <w:szCs w:val="30"/>
        </w:rPr>
        <w:t>（4）可持续影响指标10分，得分10分，得分原因是渔业可持续稳步发展。</w:t>
      </w:r>
    </w:p>
    <w:p w:rsidR="00F26270" w:rsidRDefault="00F26270" w:rsidP="00F26270">
      <w:pPr>
        <w:pStyle w:val="BodyText1I"/>
        <w:ind w:left="0" w:firstLineChars="200" w:firstLine="602"/>
        <w:rPr>
          <w:rFonts w:ascii="仿宋" w:eastAsia="仿宋" w:hAnsi="仿宋" w:cs="仿宋"/>
          <w:sz w:val="30"/>
          <w:szCs w:val="30"/>
        </w:rPr>
      </w:pPr>
      <w:r>
        <w:rPr>
          <w:rFonts w:ascii="仿宋" w:eastAsia="仿宋" w:hAnsi="仿宋" w:cs="仿宋" w:hint="eastAsia"/>
          <w:b/>
          <w:bCs/>
          <w:sz w:val="30"/>
          <w:szCs w:val="30"/>
        </w:rPr>
        <w:t>3、</w:t>
      </w:r>
      <w:r>
        <w:rPr>
          <w:rFonts w:ascii="仿宋" w:eastAsia="仿宋" w:hAnsi="仿宋" w:cs="仿宋" w:hint="eastAsia"/>
          <w:sz w:val="30"/>
          <w:szCs w:val="30"/>
        </w:rPr>
        <w:t>满意度指标满分10分，得分10分，得分的原因是.群众满意率达95%以上。</w:t>
      </w:r>
    </w:p>
    <w:p w:rsidR="00F26270" w:rsidRDefault="00F26270" w:rsidP="00F26270">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4、成本指标10分，得分10分，得分的原因是完成项目15万元。</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四、存在问题</w:t>
      </w:r>
    </w:p>
    <w:p w:rsidR="00F26270" w:rsidRDefault="00F26270" w:rsidP="00F26270">
      <w:pPr>
        <w:pStyle w:val="a5"/>
        <w:widowControl/>
        <w:spacing w:before="0" w:beforeAutospacing="0" w:after="0" w:afterAutospacing="0" w:line="504" w:lineRule="atLeast"/>
        <w:ind w:leftChars="118" w:left="260" w:firstLineChars="100" w:firstLine="300"/>
        <w:rPr>
          <w:rFonts w:ascii="仿宋" w:eastAsia="仿宋" w:hAnsi="仿宋" w:cs="仿宋"/>
          <w:sz w:val="30"/>
          <w:szCs w:val="30"/>
        </w:rPr>
      </w:pPr>
      <w:r>
        <w:rPr>
          <w:rFonts w:ascii="仿宋" w:eastAsia="仿宋" w:hAnsi="仿宋" w:cs="仿宋"/>
          <w:sz w:val="30"/>
          <w:szCs w:val="30"/>
        </w:rPr>
        <w:t>（一）绩效目标管理履职不到位</w:t>
      </w:r>
    </w:p>
    <w:p w:rsidR="00F26270" w:rsidRDefault="00F26270" w:rsidP="00F26270">
      <w:pPr>
        <w:pStyle w:val="BodyText1I"/>
        <w:ind w:firstLineChars="200" w:firstLine="600"/>
        <w:rPr>
          <w:rFonts w:ascii="仿宋" w:eastAsia="仿宋" w:hAnsi="仿宋" w:cs="仿宋"/>
          <w:sz w:val="30"/>
          <w:szCs w:val="30"/>
        </w:rPr>
      </w:pPr>
      <w:r>
        <w:rPr>
          <w:rFonts w:ascii="仿宋" w:eastAsia="仿宋" w:hAnsi="仿宋" w:cs="仿宋"/>
          <w:sz w:val="30"/>
          <w:szCs w:val="30"/>
        </w:rPr>
        <w:t>部分绩效目标未通过清晰、可衡量的指标及指标值予以体现，未设定最能体现项目绩效目标实现程度和项目实施部门职能履职情况的关键的、核心的绩效指标。</w:t>
      </w:r>
    </w:p>
    <w:p w:rsidR="00F26270" w:rsidRDefault="00F26270" w:rsidP="00F26270">
      <w:pPr>
        <w:pStyle w:val="BodyText1I"/>
        <w:ind w:firstLineChars="200" w:firstLine="600"/>
        <w:rPr>
          <w:rFonts w:ascii="仿宋" w:eastAsia="仿宋" w:hAnsi="仿宋" w:cs="仿宋"/>
          <w:sz w:val="30"/>
          <w:szCs w:val="30"/>
        </w:rPr>
      </w:pPr>
      <w:r>
        <w:rPr>
          <w:rFonts w:ascii="仿宋" w:eastAsia="仿宋" w:hAnsi="仿宋" w:cs="仿宋"/>
          <w:sz w:val="30"/>
          <w:szCs w:val="30"/>
        </w:rPr>
        <w:lastRenderedPageBreak/>
        <w:t>（二）绩效跟踪履职不到位</w:t>
      </w:r>
    </w:p>
    <w:p w:rsidR="00F26270" w:rsidRDefault="00F26270" w:rsidP="00F26270">
      <w:pPr>
        <w:pStyle w:val="BodyText1I"/>
        <w:ind w:firstLineChars="200" w:firstLine="600"/>
        <w:rPr>
          <w:rFonts w:ascii="仿宋" w:eastAsia="仿宋" w:hAnsi="仿宋" w:cs="仿宋"/>
          <w:sz w:val="30"/>
          <w:szCs w:val="30"/>
        </w:rPr>
      </w:pPr>
      <w:r>
        <w:rPr>
          <w:rFonts w:ascii="仿宋" w:eastAsia="仿宋" w:hAnsi="仿宋" w:cs="仿宋"/>
          <w:sz w:val="30"/>
          <w:szCs w:val="30"/>
        </w:rPr>
        <w:t>未提供绩效跟踪相关资料，无法判断是否进行绩效跟踪有关工作。</w:t>
      </w:r>
    </w:p>
    <w:p w:rsidR="00F26270" w:rsidRDefault="00F26270" w:rsidP="00F26270">
      <w:pPr>
        <w:pStyle w:val="BodyText1I"/>
        <w:numPr>
          <w:ilvl w:val="0"/>
          <w:numId w:val="1"/>
        </w:numPr>
        <w:ind w:firstLine="300"/>
        <w:rPr>
          <w:rFonts w:ascii="仿宋" w:eastAsia="仿宋" w:hAnsi="仿宋" w:cs="仿宋"/>
          <w:sz w:val="30"/>
          <w:szCs w:val="30"/>
        </w:rPr>
      </w:pPr>
      <w:r>
        <w:rPr>
          <w:rFonts w:ascii="仿宋" w:eastAsia="仿宋" w:hAnsi="仿宋" w:cs="仿宋"/>
          <w:sz w:val="30"/>
          <w:szCs w:val="30"/>
        </w:rPr>
        <w:t>项目绩效目标设置不够科学</w:t>
      </w:r>
    </w:p>
    <w:p w:rsidR="00F26270" w:rsidRDefault="00F26270" w:rsidP="00F26270">
      <w:pPr>
        <w:pStyle w:val="BodyText1I"/>
        <w:ind w:leftChars="100" w:left="220" w:firstLineChars="200" w:firstLine="600"/>
        <w:rPr>
          <w:rFonts w:ascii="仿宋" w:eastAsia="仿宋" w:hAnsi="仿宋" w:cs="仿宋"/>
          <w:sz w:val="30"/>
          <w:szCs w:val="30"/>
        </w:rPr>
      </w:pPr>
      <w:r>
        <w:rPr>
          <w:rFonts w:ascii="仿宋" w:eastAsia="仿宋" w:hAnsi="仿宋" w:cs="仿宋"/>
          <w:sz w:val="30"/>
          <w:szCs w:val="30"/>
        </w:rPr>
        <w:t>绩效指标细化量化但部分指标缺乏合理性，产出指标及效益指标有待优化</w:t>
      </w:r>
      <w:r>
        <w:rPr>
          <w:rFonts w:ascii="仿宋" w:eastAsia="仿宋" w:hAnsi="仿宋" w:cs="仿宋" w:hint="eastAsia"/>
          <w:sz w:val="30"/>
          <w:szCs w:val="30"/>
        </w:rPr>
        <w:t>。</w:t>
      </w:r>
    </w:p>
    <w:p w:rsidR="009F2539" w:rsidRDefault="009F2539" w:rsidP="009F2539">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五、有关建议</w:t>
      </w:r>
    </w:p>
    <w:p w:rsidR="00F26270" w:rsidRDefault="00F26270" w:rsidP="00F26270">
      <w:pPr>
        <w:pStyle w:val="BodyText1I"/>
        <w:ind w:firstLine="300"/>
        <w:rPr>
          <w:rFonts w:ascii="仿宋" w:eastAsia="仿宋" w:hAnsi="仿宋" w:cs="仿宋"/>
          <w:sz w:val="30"/>
          <w:szCs w:val="30"/>
        </w:rPr>
      </w:pPr>
      <w:r>
        <w:rPr>
          <w:rFonts w:ascii="仿宋" w:eastAsia="仿宋" w:hAnsi="仿宋" w:cs="仿宋"/>
          <w:sz w:val="30"/>
          <w:szCs w:val="30"/>
        </w:rPr>
        <w:t>（一）加强预算绩效管理。在编制年度绩效目标时，应结合部门中长期规划、部门职能职责及年度的主要工作任务，梳理完善部门总体绩效目标和年度绩效目标，根据绩效目标确定具体的绩效指标，并设定明确可考核的绩效指标值；预算管理部门应加强预算编制的审核工作。</w:t>
      </w:r>
    </w:p>
    <w:p w:rsidR="00F26270" w:rsidRDefault="00F26270" w:rsidP="00F26270">
      <w:pPr>
        <w:pStyle w:val="BodyText1I"/>
        <w:ind w:firstLine="300"/>
        <w:rPr>
          <w:rFonts w:ascii="仿宋" w:eastAsia="仿宋" w:hAnsi="仿宋" w:cs="仿宋"/>
          <w:sz w:val="30"/>
          <w:szCs w:val="30"/>
        </w:rPr>
      </w:pPr>
      <w:r>
        <w:rPr>
          <w:rFonts w:ascii="仿宋" w:eastAsia="仿宋" w:hAnsi="仿宋" w:cs="仿宋"/>
          <w:sz w:val="30"/>
          <w:szCs w:val="30"/>
        </w:rPr>
        <w:t>（二）加强绩效运行监控。按照“谁支出、谁负责”的原则，完善用款计划管理，建立部门绩效运行监控机制，对绩效目标实现程度和预算执行进度实行“双监控”。逐步建立重大政策、项目绩效跟踪机制，按照项目进度和绩效情况拨款，确保财政资金安全。加强预算执行监测，切实提高预算执行效率。</w:t>
      </w:r>
    </w:p>
    <w:p w:rsidR="00F26270" w:rsidRDefault="00F26270" w:rsidP="009F2539">
      <w:pPr>
        <w:pStyle w:val="BodyText1I"/>
        <w:spacing w:line="580" w:lineRule="exact"/>
        <w:ind w:left="0" w:firstLineChars="0" w:firstLine="560"/>
        <w:rPr>
          <w:rFonts w:ascii="仿宋" w:eastAsia="仿宋" w:hAnsi="仿宋" w:cs="仿宋"/>
          <w:sz w:val="32"/>
          <w:szCs w:val="32"/>
        </w:rPr>
      </w:pPr>
    </w:p>
    <w:p w:rsidR="009F2539" w:rsidRDefault="009F2539" w:rsidP="009F2539">
      <w:pPr>
        <w:spacing w:line="580" w:lineRule="exact"/>
        <w:ind w:left="480" w:hanging="480"/>
        <w:rPr>
          <w:rFonts w:ascii="仿宋" w:eastAsia="仿宋" w:hAnsi="仿宋" w:cs="仿宋"/>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39" w:rsidRDefault="009F2539" w:rsidP="009F2539">
      <w:pPr>
        <w:spacing w:after="0"/>
      </w:pPr>
      <w:r>
        <w:separator/>
      </w:r>
    </w:p>
  </w:endnote>
  <w:endnote w:type="continuationSeparator" w:id="0">
    <w:p w:rsidR="009F2539" w:rsidRDefault="009F2539" w:rsidP="009F25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39" w:rsidRDefault="009F2539" w:rsidP="009F2539">
      <w:pPr>
        <w:spacing w:after="0"/>
      </w:pPr>
      <w:r>
        <w:separator/>
      </w:r>
    </w:p>
  </w:footnote>
  <w:footnote w:type="continuationSeparator" w:id="0">
    <w:p w:rsidR="009F2539" w:rsidRDefault="009F2539" w:rsidP="009F253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C6FD"/>
    <w:multiLevelType w:val="singleLevel"/>
    <w:tmpl w:val="155CC6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D31D50"/>
    <w:rsid w:val="00323B43"/>
    <w:rsid w:val="003D37D8"/>
    <w:rsid w:val="00426133"/>
    <w:rsid w:val="00432726"/>
    <w:rsid w:val="004358AB"/>
    <w:rsid w:val="008B7726"/>
    <w:rsid w:val="009270A5"/>
    <w:rsid w:val="009779EE"/>
    <w:rsid w:val="009F2539"/>
    <w:rsid w:val="00D31D50"/>
    <w:rsid w:val="00E55185"/>
    <w:rsid w:val="00F26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53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F2539"/>
    <w:rPr>
      <w:rFonts w:ascii="Tahoma" w:hAnsi="Tahoma"/>
      <w:sz w:val="18"/>
      <w:szCs w:val="18"/>
    </w:rPr>
  </w:style>
  <w:style w:type="paragraph" w:styleId="a4">
    <w:name w:val="footer"/>
    <w:basedOn w:val="a"/>
    <w:link w:val="Char0"/>
    <w:uiPriority w:val="99"/>
    <w:semiHidden/>
    <w:unhideWhenUsed/>
    <w:rsid w:val="009F2539"/>
    <w:pPr>
      <w:tabs>
        <w:tab w:val="center" w:pos="4153"/>
        <w:tab w:val="right" w:pos="8306"/>
      </w:tabs>
    </w:pPr>
    <w:rPr>
      <w:sz w:val="18"/>
      <w:szCs w:val="18"/>
    </w:rPr>
  </w:style>
  <w:style w:type="character" w:customStyle="1" w:styleId="Char0">
    <w:name w:val="页脚 Char"/>
    <w:basedOn w:val="a0"/>
    <w:link w:val="a4"/>
    <w:uiPriority w:val="99"/>
    <w:semiHidden/>
    <w:rsid w:val="009F2539"/>
    <w:rPr>
      <w:rFonts w:ascii="Tahoma" w:hAnsi="Tahoma"/>
      <w:sz w:val="18"/>
      <w:szCs w:val="18"/>
    </w:rPr>
  </w:style>
  <w:style w:type="paragraph" w:customStyle="1" w:styleId="BodyText1I">
    <w:name w:val="BodyText1I"/>
    <w:basedOn w:val="a"/>
    <w:uiPriority w:val="99"/>
    <w:qFormat/>
    <w:rsid w:val="009F2539"/>
    <w:pPr>
      <w:widowControl w:val="0"/>
      <w:adjustRightInd/>
      <w:spacing w:after="0" w:line="360" w:lineRule="auto"/>
      <w:ind w:left="150" w:firstLineChars="100" w:firstLine="420"/>
      <w:jc w:val="both"/>
    </w:pPr>
    <w:rPr>
      <w:rFonts w:ascii="Times New Roman" w:eastAsia="宋体" w:hAnsi="Times New Roman" w:cs="Times New Roman"/>
      <w:kern w:val="2"/>
      <w:sz w:val="28"/>
      <w:szCs w:val="20"/>
    </w:rPr>
  </w:style>
  <w:style w:type="paragraph" w:styleId="a5">
    <w:name w:val="Normal (Web)"/>
    <w:basedOn w:val="a"/>
    <w:qFormat/>
    <w:rsid w:val="00F26270"/>
    <w:pPr>
      <w:widowControl w:val="0"/>
      <w:adjustRightInd/>
      <w:snapToGrid/>
      <w:spacing w:before="100" w:beforeAutospacing="1" w:after="100" w:afterAutospacing="1" w:line="320" w:lineRule="exact"/>
      <w:ind w:left="150" w:hangingChars="150" w:hanging="150"/>
      <w:jc w:val="both"/>
    </w:pPr>
    <w:rPr>
      <w:rFonts w:ascii="Calibri" w:eastAsia="宋体" w:hAnsi="Calibri" w:cs="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2024-06-27T03:29:00Z</dcterms:modified>
</cp:coreProperties>
</file>