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60" w:right="641" w:hanging="66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新邵县畜牧水产事务中心2023年</w:t>
      </w:r>
    </w:p>
    <w:p>
      <w:pPr>
        <w:spacing w:line="580" w:lineRule="exact"/>
        <w:ind w:left="660" w:right="641" w:hanging="66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部门整体支出绩效自评报告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一、部门概况</w:t>
      </w:r>
    </w:p>
    <w:p>
      <w:pPr>
        <w:spacing w:after="0"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（一）部门基本情况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1、在职人员情况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我中心现有干部职工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52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人，其中参加公务员管理的1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人、事业编人员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40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人，退休人员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人。承担着全县的动物疫病防控、动物及其动物产品检疫、畜牧水产业发展、饲料兽药安全监管、定点屠宰场监管等工作。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主要职能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0" w:firstLineChars="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（1）贯彻执行党和政府有关畜牧水产工作的方针、政策、研究拟定全县畜牧水产业战略，中长期发展规划和年度指导性计划，经批准后实施。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（2）研究提出全县畜牧水产业发展政策建议，引导内部结构的合理调整和资源合理配置，参与研究拟定畜牧水产业方面的规范性文件，并监督实施。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3）组织畜牧水产业科技攻关，协调组织科研成果鉴定、开发和利用；推广畜牧水产实用技术，负责新技术、新品种、新成果的示范、推广应用和实践指导；预测畜牧水产业生产资料、产品供求情况等经济信息和科技信息；负责畜牧水产业统计及指导行业信息建设。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（4）指导全县草地资源保护、牧草基地建设和牧草资源合理开发利用，实施草地监督管理。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（5）负责全县渔业行政执法监督管理，保护渔业资源；负责渔船检验和渔船港安全监督管理；负责渔业水域生态环境及水生野生动物保护。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440" w:leftChars="200" w:firstLine="320" w:firstLineChars="1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（6）主管全县动物防疫工作。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（7）按照权限管理畜牧水产业专项资金，提出专项资金安排计划，组织畜牧水产业建设项目的立项、审批、申报和验收工作。负责定点屠宰监管工作。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8）组织贯彻实施行业法律法规，重点落实《畜牧法》、《动物防疫法》、《渔业法》、《草原法》、《农产品质量安全法》、《农业技术推广法》、《兽药管理条例》、《饲料和饲料添加剂管理条例》、《重大动物疫病应急管理条例》、《生猪屠宰管理条例》等法律法规，并按法律法规负责执法监督管理工作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440" w:leftChars="200" w:firstLine="320" w:firstLineChars="1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（9）指导乡镇畜牧水产站建设和相关业务工作。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440" w:leftChars="200" w:firstLine="320" w:firstLineChars="1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（10）承办县委、县政府交办的其他事项。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440" w:leftChars="200" w:firstLine="0" w:firstLineChars="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3、重点工作计划</w:t>
      </w:r>
    </w:p>
    <w:p>
      <w:pPr>
        <w:spacing w:line="580" w:lineRule="exact"/>
        <w:ind w:firstLine="480" w:firstLineChars="15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2023年，在县委、县政府的正确领导和上级业务部门的精心指导下，我们紧紧围绕县委经济工作目标和任务，以生态高效为主线，以科技创新为动力，以农业增效农民增收为目的，进一步转变工作作风，勤政务实，强化服务，狠抓生猪稳产保供、渔业生产发展、动物疫病防控和畜禽水产品质量安全，优化调整养殖业产业结构，我县的养殖业保持稳步发展的良好势头，养殖业工作取得可喜的成绩。一是畜牧业生产稳定发展；二是渔业生产优质、高产、高效发展；三是重大动物疫病防控，扎实有效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（二）部门整体支出情况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2023年部门整体支出2762.72万元，基本支出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1016.01</w:t>
      </w:r>
      <w:r>
        <w:rPr>
          <w:rFonts w:hint="eastAsia" w:ascii="仿宋" w:hAnsi="仿宋" w:eastAsia="仿宋" w:cs="仿宋"/>
          <w:sz w:val="32"/>
          <w:szCs w:val="32"/>
        </w:rPr>
        <w:t>万元，主要用于人员经费及公用经费开支；项目支出1746.71万元，主要用于生猪调出大县奖励资金、渔业补助、良种补助、增殖放流等。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（一）基本支出</w:t>
      </w:r>
    </w:p>
    <w:p>
      <w:pPr>
        <w:pStyle w:val="6"/>
        <w:spacing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2023年度财政拨款预算基本支出875.81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际执行数1016.01万元，其中：人员经费657.07万元，占基本支出的64.67%，主要包括基本工资、津贴补贴、奖金、伙食补助费、绩效工资等；公用经费294.15万元，占基本支出的28.95%，主要包括办公费、印刷费、咨询费、差旅费、培训费、工会经费等；对个人和家庭的补助64.79万元，占基本支出的6.38%，主要包括生活补助、救济费、个人农业生产补贴等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2023年“三公经费”支出</w:t>
      </w:r>
      <w:bookmarkStart w:id="0" w:name="_Toc419142213"/>
      <w:r>
        <w:rPr>
          <w:rFonts w:hint="eastAsia" w:ascii="仿宋" w:hAnsi="仿宋" w:eastAsia="仿宋"/>
          <w:sz w:val="32"/>
          <w:szCs w:val="32"/>
        </w:rPr>
        <w:t>6.73万元。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bookmarkEnd w:id="0"/>
      <w:r>
        <w:rPr>
          <w:rFonts w:hint="eastAsia" w:ascii="仿宋" w:hAnsi="仿宋" w:eastAsia="仿宋"/>
          <w:sz w:val="32"/>
          <w:szCs w:val="32"/>
        </w:rPr>
        <w:t>、“三公经费”预算执行</w:t>
      </w:r>
    </w:p>
    <w:tbl>
      <w:tblPr>
        <w:tblStyle w:val="7"/>
        <w:tblW w:w="84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095"/>
        <w:gridCol w:w="1095"/>
        <w:gridCol w:w="1319"/>
        <w:gridCol w:w="856"/>
        <w:gridCol w:w="1219"/>
        <w:gridCol w:w="1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费用项目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本年预算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本年决算</w:t>
            </w:r>
          </w:p>
        </w:tc>
        <w:tc>
          <w:tcPr>
            <w:tcW w:w="24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结余/超支（决算-预算）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基本支出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项目支出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基本支出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项目支出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基本支出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公务接待费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6.73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1.73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公车运行维护费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公务车购置费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因公出国费用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0.56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</w:tcPr>
          <w:p>
            <w:pPr>
              <w:ind w:left="315" w:hanging="315"/>
              <w:jc w:val="center"/>
              <w:textAlignment w:val="top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1.73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超预算1.73万元，主要是跨年度付款。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2、“三公经费”与上年度比较</w:t>
      </w:r>
    </w:p>
    <w:tbl>
      <w:tblPr>
        <w:tblStyle w:val="7"/>
        <w:tblW w:w="79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179"/>
        <w:gridCol w:w="1255"/>
        <w:gridCol w:w="1249"/>
        <w:gridCol w:w="2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费用项目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本年金额</w:t>
            </w:r>
          </w:p>
        </w:tc>
        <w:tc>
          <w:tcPr>
            <w:tcW w:w="1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上年金额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增减额（本年-上年）</w:t>
            </w:r>
          </w:p>
        </w:tc>
        <w:tc>
          <w:tcPr>
            <w:tcW w:w="2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增减率%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公务接待费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6.73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0.56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6.17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1101.78%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公车运行维护费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公务车辆购置费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因公出国(境)费用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6.73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0.56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6.17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1101.78%</w:t>
            </w:r>
          </w:p>
        </w:tc>
      </w:tr>
    </w:tbl>
    <w:p>
      <w:pPr>
        <w:spacing w:line="60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三公经费较去年增加6.17万元，增加1101.78%，主要是按照本年度支付上年度公务接待款。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（二）项目支出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1、项目资金（包括财政资金、自筹资金等）安排落实、总投入等情况。</w:t>
      </w:r>
    </w:p>
    <w:p>
      <w:pPr>
        <w:pStyle w:val="13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>2022年我中心专项项目支出1746.71万元，其中：动物防疫系列专项1029.22万元、生猪调出大县642.49万元、渔业增殖放流60万元、水生动物保护15万元。</w:t>
      </w:r>
    </w:p>
    <w:p>
      <w:pPr>
        <w:widowControl w:val="0"/>
        <w:numPr>
          <w:ilvl w:val="0"/>
          <w:numId w:val="1"/>
        </w:numPr>
        <w:spacing w:after="0" w:line="580" w:lineRule="exact"/>
        <w:ind w:left="15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项目组织情况分析。</w:t>
      </w:r>
    </w:p>
    <w:p>
      <w:pPr>
        <w:spacing w:line="60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项目资金中涉及的项目招投标、政府采购事项，我局均严格按照相关要求执行，委托政府采购代理招标认定单位进行公开招标，同时严格合同签订，落实采招物资和服务的验收，做好资金支付的审核审批手续。全年政府采购做到应采尽采。</w:t>
      </w:r>
    </w:p>
    <w:p>
      <w:pPr>
        <w:widowControl w:val="0"/>
        <w:numPr>
          <w:ilvl w:val="0"/>
          <w:numId w:val="1"/>
        </w:numPr>
        <w:spacing w:after="0" w:line="580" w:lineRule="exact"/>
        <w:ind w:left="15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项目管理情况分析。</w:t>
      </w:r>
    </w:p>
    <w:p>
      <w:pPr>
        <w:pStyle w:val="13"/>
        <w:spacing w:line="240" w:lineRule="auto"/>
        <w:ind w:left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一是为了加强专项资金的管理，提高经费使用效率，我中心成立了专项资金管理领导小组，组长:柳常青 。副组长:刘伟雄、周小波。 成员：何凌峰、彭更明、戴  琼、曾晓丽、张 蓓。二是专款专用，加强对资金使用情况的管理，杜绝挤占、截留、挪用现象发生，提高资金使用效率。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三、资产管理情况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2023年末，我单位资产总额708.57元，其中；流动资产174.71万元，固定资产净值363.59万元，在建工程170.27万元。</w:t>
      </w:r>
    </w:p>
    <w:p>
      <w:pPr>
        <w:pStyle w:val="1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2023年固定资产变动情况（单位：万元）</w:t>
      </w:r>
    </w:p>
    <w:tbl>
      <w:tblPr>
        <w:tblStyle w:val="7"/>
        <w:tblW w:w="79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179"/>
        <w:gridCol w:w="1255"/>
        <w:gridCol w:w="1249"/>
        <w:gridCol w:w="2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固定资产大类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年初余额</w:t>
            </w:r>
          </w:p>
        </w:tc>
        <w:tc>
          <w:tcPr>
            <w:tcW w:w="1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本年新增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本年处置</w:t>
            </w:r>
          </w:p>
        </w:tc>
        <w:tc>
          <w:tcPr>
            <w:tcW w:w="2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年末余额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房屋及构筑物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306.55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306.55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专用设备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101.70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101.70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通用设备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61.71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2.28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63.99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家具、用具、装具及动植物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38.39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38.39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508.35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2.28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 w:themeFill="background2"/>
            <w:tcMar>
              <w:left w:w="15" w:type="dxa"/>
              <w:right w:w="15" w:type="dxa"/>
            </w:tcMar>
            <w:vAlign w:val="center"/>
          </w:tcPr>
          <w:p>
            <w:pPr>
              <w:ind w:left="315" w:hanging="315"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510.63</w:t>
            </w:r>
          </w:p>
        </w:tc>
      </w:tr>
    </w:tbl>
    <w:p>
      <w:pPr>
        <w:pStyle w:val="13"/>
        <w:ind w:left="0" w:firstLine="0" w:firstLineChars="0"/>
      </w:pPr>
    </w:p>
    <w:p>
      <w:pPr>
        <w:tabs>
          <w:tab w:val="left" w:pos="8595"/>
        </w:tabs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截至2023年12月31日，我单位固定资产成新率为80.99%；公共基础设施成新率为0%；保障性住房成新率为0%。本单位制定了国有资产管理制度，对国有资产的购买配置以及日常的管理都进行了详细的规定。从使用状况来看，无空闲的设备，所有的资产都得到合理地利用，达到了预期的目的。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四、政府性基金预算支出情况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五、国有资本经营预算支出情况</w:t>
      </w:r>
      <w:bookmarkStart w:id="2" w:name="_GoBack"/>
      <w:bookmarkEnd w:id="2"/>
    </w:p>
    <w:p>
      <w:pPr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六、社会保险基金预算支出情况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七、部门整体支出主要绩效</w:t>
      </w:r>
    </w:p>
    <w:p>
      <w:pPr>
        <w:spacing w:line="580" w:lineRule="exact"/>
        <w:ind w:firstLine="640" w:firstLineChars="200"/>
        <w:rPr>
          <w:color w:val="1E1E1E"/>
          <w:szCs w:val="21"/>
        </w:rPr>
      </w:pPr>
      <w:bookmarkStart w:id="1" w:name="OLE_LINK1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23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年，我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中心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在各级领导的大力支持下，在县委、县政府的正确领导下，认真履职，创新工作机制，落实完成县委、县政府养殖工作任务，严格执行财政预算绩效目标管理要求，强化费用管理和监督，严格控制非生产性开支，杜绝不合理开支，部门整体支出合理、合法、高效、安全。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Times New Roman" w:hAnsi="Times New Roman"/>
          <w:color w:val="1E1E1E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一）经济性评价。我中心严格按照要求编制了部门预算，对财政预算资金进行了科学安排，严格按政策使用预算资金，严格控制非生产性开支。同时，切实加强对预算资金的使用监督，严格执行资金使用标准，确保资金使用合理、合法。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Times New Roman" w:hAnsi="Times New Roman"/>
          <w:color w:val="1E1E1E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二）行政效能评价。一是完善了对财务制度、固定资产管理制度、专项资金管理制度、预算绩效管理监督考核办法和操作细则等制度。二是加强预算绩效管理监督，促进预算绩效管理监督考核工作制度化、规范化、科学化，提高财政资金、项目资金的使用效益。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Times New Roman" w:hAnsi="Times New Roman"/>
          <w:color w:val="1E1E1E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（三）项目产出及实现的社会效益。一是全县畜禽免疫密度均达到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100%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，屠宰检疫率达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100%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达到预定目标，有效预防重大疫病的发生，促进畜牧业持续健康发展和农民增收，保障动物卫生和公共安全，保护人民群众身体健康。二是与饲料兽药生产经营企业、生猪肉牛肉羊养殖场（户）、生猪贩运销售经纪人签订《不生产、不销售、不使用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瘦肉精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承诺书》，承诺书签订率达到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100%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。认真建立好阶段档案，登记好各种台账。三是对定点屠宰场监管到位。通过打击私屠滥宰，净化了生猪肉品市场，保证了上市生猪肉猪的质量安全。全年无重大动物疫情发生，无畜禽水产品质量安全事件。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Times New Roman" w:hAnsi="Times New Roman"/>
          <w:color w:val="1E1E1E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（四）可持续性分析。搞好全县动物防疫工作，加强畜禽水产品质量安全监管，将会使畜牧业经济效益和社会效益大幅提升，促进县域经济社会的快速、持续发展。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Times New Roman" w:hAnsi="Times New Roman"/>
          <w:color w:val="1E1E1E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（五）社会公众满意度。我们通过发放调查问卷等方式，群众对我们在动物防疫方面所作出的成绩给予了高度评价。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（六）部门整体绩效得分。我中心财政预算秉着严格高效的原则，将财政资金使用效益最大化。因此，整体绩效自评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98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分。</w:t>
      </w:r>
    </w:p>
    <w:bookmarkEnd w:id="1"/>
    <w:p>
      <w:pPr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八、存在的问题</w:t>
      </w:r>
    </w:p>
    <w:p>
      <w:pPr>
        <w:pStyle w:val="5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一是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经费严重不足。一是我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中心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现有在职人员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52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人，其中事业编人员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40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人，津补贴财政只拨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70%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，其余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30%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需单位自筹。二是县机关事业单位其他津贴。除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个月工资外，其余全部要单位自筹，资金缺口大。三是所有资金大都是专项资金，需要专款专用，用于正常运转的比较少。四是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预算编制的科学化和细化程度有待提高，预算编制过程中存在小的工作差错现象。</w:t>
      </w:r>
    </w:p>
    <w:p>
      <w:pPr>
        <w:spacing w:after="0"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九、改进措施和有关建议</w:t>
      </w:r>
    </w:p>
    <w:p>
      <w:pPr>
        <w:spacing w:after="0"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1、加强预算管理，完善管理制度，严格预算执行，建立绩效评价的长期机制，提高资金使用效益。</w:t>
      </w:r>
    </w:p>
    <w:p>
      <w:pPr>
        <w:spacing w:after="0"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2、建立健全内部控制体系，将内部控制建设与执行效果纳入绩效考核体系，确保内部控制不断完善并得到有效执行，使得内部控制体系建设实现管理制度化、制度流程化、流程信化。</w:t>
      </w:r>
    </w:p>
    <w:p>
      <w:pPr>
        <w:spacing w:after="0"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3、加强财务人员的业务培训，努力提高财务人员的整体素质，力求年度预算的配置做到更切合实际，更科学更合理。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042B2"/>
    <w:multiLevelType w:val="singleLevel"/>
    <w:tmpl w:val="6B2042B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2ZkMGQ0ZmQ2OGZiNjI2MjNkYzRhMWRhZDIyZjNhNDIifQ=="/>
  </w:docVars>
  <w:rsids>
    <w:rsidRoot w:val="00D31D50"/>
    <w:rsid w:val="001D3AD5"/>
    <w:rsid w:val="002A0910"/>
    <w:rsid w:val="00323B43"/>
    <w:rsid w:val="003D37D8"/>
    <w:rsid w:val="00426133"/>
    <w:rsid w:val="004358AB"/>
    <w:rsid w:val="0048459D"/>
    <w:rsid w:val="00654205"/>
    <w:rsid w:val="006C04AB"/>
    <w:rsid w:val="007500FC"/>
    <w:rsid w:val="008B7726"/>
    <w:rsid w:val="008C37C2"/>
    <w:rsid w:val="009352E1"/>
    <w:rsid w:val="009504F6"/>
    <w:rsid w:val="00A4425F"/>
    <w:rsid w:val="00B414B9"/>
    <w:rsid w:val="00B60B08"/>
    <w:rsid w:val="00BF3BC3"/>
    <w:rsid w:val="00D203FB"/>
    <w:rsid w:val="00D31D50"/>
    <w:rsid w:val="00D86A82"/>
    <w:rsid w:val="00D9772A"/>
    <w:rsid w:val="00DD2B52"/>
    <w:rsid w:val="00E3767A"/>
    <w:rsid w:val="00F07F83"/>
    <w:rsid w:val="0B07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 w:line="320" w:lineRule="exact"/>
      <w:ind w:left="150" w:hanging="150" w:hangingChars="150"/>
      <w:jc w:val="both"/>
    </w:pPr>
    <w:rPr>
      <w:rFonts w:ascii="Calibri" w:hAnsi="Calibri" w:eastAsia="宋体" w:cs="Times New Roman"/>
      <w:kern w:val="2"/>
      <w:sz w:val="24"/>
    </w:rPr>
  </w:style>
  <w:style w:type="paragraph" w:styleId="6">
    <w:name w:val="Body Text First Indent 2"/>
    <w:basedOn w:val="2"/>
    <w:link w:val="12"/>
    <w:qFormat/>
    <w:uiPriority w:val="0"/>
    <w:pPr>
      <w:widowControl w:val="0"/>
      <w:adjustRightInd/>
      <w:snapToGrid/>
      <w:spacing w:after="0" w:line="32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</w:rPr>
  </w:style>
  <w:style w:type="character" w:customStyle="1" w:styleId="9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正文文本缩进 Char"/>
    <w:basedOn w:val="8"/>
    <w:link w:val="2"/>
    <w:semiHidden/>
    <w:qFormat/>
    <w:uiPriority w:val="99"/>
    <w:rPr>
      <w:rFonts w:ascii="Tahoma" w:hAnsi="Tahoma"/>
    </w:rPr>
  </w:style>
  <w:style w:type="character" w:customStyle="1" w:styleId="12">
    <w:name w:val="正文首行缩进 2 Char"/>
    <w:basedOn w:val="11"/>
    <w:link w:val="6"/>
    <w:qFormat/>
    <w:uiPriority w:val="0"/>
    <w:rPr>
      <w:rFonts w:ascii="Times New Roman" w:hAnsi="Times New Roman" w:eastAsia="宋体" w:cs="Times New Roman"/>
      <w:kern w:val="2"/>
      <w:sz w:val="21"/>
    </w:rPr>
  </w:style>
  <w:style w:type="paragraph" w:customStyle="1" w:styleId="13">
    <w:name w:val="正文缩进2"/>
    <w:basedOn w:val="1"/>
    <w:qFormat/>
    <w:uiPriority w:val="0"/>
    <w:pPr>
      <w:widowControl w:val="0"/>
      <w:adjustRightInd/>
      <w:snapToGrid/>
      <w:spacing w:after="0" w:line="360" w:lineRule="auto"/>
      <w:ind w:left="150" w:firstLine="640" w:firstLineChars="200"/>
      <w:jc w:val="both"/>
    </w:pPr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561</Words>
  <Characters>3200</Characters>
  <Lines>26</Lines>
  <Paragraphs>7</Paragraphs>
  <TotalTime>50</TotalTime>
  <ScaleCrop>false</ScaleCrop>
  <LinksUpToDate>false</LinksUpToDate>
  <CharactersWithSpaces>3754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Administrator.OEM-20140806DBJ</dc:creator>
  <cp:lastModifiedBy>木脑壳</cp:lastModifiedBy>
  <cp:lastPrinted>2024-06-27T07:36:00Z</cp:lastPrinted>
  <dcterms:modified xsi:type="dcterms:W3CDTF">2024-11-29T04:10:37Z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02772523DAB44D65A4F5FFA7F1DAB29D_12</vt:lpwstr>
  </property>
</Properties>
</file>