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Style w:val="6"/>
          <w:rFonts w:hint="default" w:ascii="宋体" w:hAnsi="宋体" w:eastAsia="宋体"/>
          <w:sz w:val="44"/>
          <w:szCs w:val="44"/>
          <w:lang w:val="en-US" w:eastAsia="zh-CN"/>
        </w:rPr>
      </w:pPr>
      <w:r>
        <w:rPr>
          <w:rStyle w:val="6"/>
          <w:rFonts w:hint="eastAsia" w:ascii="宋体" w:hAnsi="宋体"/>
          <w:sz w:val="44"/>
          <w:szCs w:val="44"/>
          <w:lang w:eastAsia="zh-CN"/>
        </w:rPr>
        <w:t>双清区委编办</w:t>
      </w:r>
      <w:r>
        <w:rPr>
          <w:rStyle w:val="6"/>
          <w:rFonts w:hint="eastAsia" w:ascii="宋体" w:hAnsi="宋体"/>
          <w:sz w:val="44"/>
          <w:szCs w:val="44"/>
          <w:lang w:val="en-US" w:eastAsia="zh-CN"/>
        </w:rPr>
        <w:t>2020年度部门整体支出绩效评价报告</w:t>
      </w:r>
    </w:p>
    <w:p>
      <w:pPr>
        <w:ind w:firstLine="640" w:firstLineChars="200"/>
        <w:rPr>
          <w:rStyle w:val="6"/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Style w:val="6"/>
          <w:rFonts w:ascii="宋体"/>
          <w:sz w:val="32"/>
          <w:szCs w:val="32"/>
        </w:rPr>
      </w:pPr>
      <w:r>
        <w:rPr>
          <w:rStyle w:val="6"/>
          <w:rFonts w:hint="eastAsia" w:ascii="宋体" w:hAnsi="宋体"/>
          <w:sz w:val="32"/>
          <w:szCs w:val="32"/>
        </w:rPr>
        <w:t>一、政府部门工作目标完成情况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20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Style w:val="6"/>
          <w:rFonts w:hint="eastAsia" w:ascii="宋体" w:hAnsi="宋体"/>
          <w:sz w:val="32"/>
          <w:szCs w:val="32"/>
        </w:rPr>
        <w:t>年，我单位进一步加强机构编制管理工作</w:t>
      </w:r>
      <w:r>
        <w:rPr>
          <w:rStyle w:val="6"/>
          <w:rFonts w:ascii="宋体"/>
          <w:sz w:val="32"/>
          <w:szCs w:val="32"/>
        </w:rPr>
        <w:t>,</w:t>
      </w:r>
      <w:r>
        <w:rPr>
          <w:rStyle w:val="6"/>
          <w:rFonts w:hint="eastAsia" w:ascii="宋体" w:hAnsi="宋体"/>
          <w:sz w:val="32"/>
          <w:szCs w:val="32"/>
        </w:rPr>
        <w:t>为全区经济社会发展提供体制机制保障。一是按照中央、省委、市委、区委的统一部署，全面贯彻落实中央、省、市机构改革精神，推进新一轮党政机构改革实施，统筹谋划、周密安排、精心实施，稳步推进完成了全区党政群及乡镇街道机构改革、人员转隶等工作任务。二是切实做好全区机构编制实名制管理工作。我办严格按照机构编制实名制管理的目标任务和措施要求，加强机构编制实名制信息系统的管理和维护，实行</w:t>
      </w:r>
      <w:r>
        <w:rPr>
          <w:rStyle w:val="6"/>
          <w:rFonts w:hint="eastAsia" w:ascii="宋体"/>
          <w:sz w:val="32"/>
          <w:szCs w:val="32"/>
        </w:rPr>
        <w:t>“</w:t>
      </w:r>
      <w:r>
        <w:rPr>
          <w:rStyle w:val="6"/>
          <w:rFonts w:hint="eastAsia" w:ascii="宋体" w:hAnsi="宋体"/>
          <w:sz w:val="32"/>
          <w:szCs w:val="32"/>
        </w:rPr>
        <w:t>职能有转有变、机构有设有撤、编制有增有减、人员有进有出</w:t>
      </w:r>
      <w:r>
        <w:rPr>
          <w:rStyle w:val="6"/>
          <w:rFonts w:hint="eastAsia" w:ascii="宋体"/>
          <w:sz w:val="32"/>
          <w:szCs w:val="32"/>
        </w:rPr>
        <w:t>”</w:t>
      </w:r>
      <w:r>
        <w:rPr>
          <w:rStyle w:val="6"/>
          <w:rFonts w:hint="eastAsia" w:ascii="宋体" w:hAnsi="宋体"/>
          <w:sz w:val="32"/>
          <w:szCs w:val="32"/>
        </w:rPr>
        <w:t>的动态管理办法，强化机构编制动态管理，推进人员编制有序流转。三是落实各类事业单位统一登记管理制度，依法依规开展事业单位法人登记和年检年审工作。开展事业单位登记管理工作抽查及法人运行情况调查，深化事业单位法人依法经营、自觉接受监督的意识。扎实推进全区统一社会信用代码赋码工作，积极做好机构改革后新部门的统一社会信用代码赋码工作，代码赋码发放率百分之百。四是加强我区党政群机关和事业单位中文域名注册管理工作，搞好中文域名注册成功后的后续服务工作。有效提高党政群机关和事业单位网站的权威性、可信度和认知度，提高社会管理和公共服务水平，保障公众知情权、参与权和监督权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二、政府部门财务状况分析</w:t>
      </w:r>
    </w:p>
    <w:p>
      <w:pPr>
        <w:ind w:firstLine="640" w:firstLineChars="200"/>
        <w:rPr>
          <w:rStyle w:val="6"/>
          <w:rFonts w:ascii="宋体"/>
          <w:sz w:val="32"/>
          <w:szCs w:val="32"/>
        </w:rPr>
      </w:pPr>
      <w:r>
        <w:rPr>
          <w:rStyle w:val="6"/>
          <w:rFonts w:ascii="宋体" w:hAnsi="宋体"/>
          <w:sz w:val="32"/>
          <w:szCs w:val="32"/>
        </w:rPr>
        <w:t xml:space="preserve">   1.</w:t>
      </w:r>
      <w:r>
        <w:rPr>
          <w:rStyle w:val="6"/>
          <w:rFonts w:hint="eastAsia" w:ascii="宋体" w:hAnsi="宋体"/>
          <w:sz w:val="32"/>
          <w:szCs w:val="32"/>
        </w:rPr>
        <w:t>年初预算分析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本年度财政预算为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82.37万</w:t>
      </w:r>
      <w:r>
        <w:rPr>
          <w:rStyle w:val="6"/>
          <w:rFonts w:hint="eastAsia" w:ascii="宋体" w:hAnsi="宋体"/>
          <w:sz w:val="32"/>
          <w:szCs w:val="32"/>
        </w:rPr>
        <w:t>元，比上年</w:t>
      </w:r>
      <w:r>
        <w:rPr>
          <w:rStyle w:val="6"/>
          <w:rFonts w:hint="eastAsia" w:ascii="宋体" w:hAnsi="宋体"/>
          <w:sz w:val="32"/>
          <w:szCs w:val="32"/>
          <w:lang w:eastAsia="zh-CN"/>
        </w:rPr>
        <w:t>减少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6.32万</w:t>
      </w:r>
      <w:r>
        <w:rPr>
          <w:rStyle w:val="6"/>
          <w:rFonts w:hint="eastAsia" w:ascii="宋体" w:hAnsi="宋体"/>
          <w:sz w:val="32"/>
          <w:szCs w:val="32"/>
        </w:rPr>
        <w:t>元</w:t>
      </w:r>
      <w:r>
        <w:rPr>
          <w:rStyle w:val="6"/>
          <w:rFonts w:hint="eastAsia" w:ascii="宋体" w:hAnsi="宋体"/>
          <w:sz w:val="32"/>
          <w:szCs w:val="32"/>
          <w:lang w:eastAsia="zh-CN"/>
        </w:rPr>
        <w:t>，</w:t>
      </w:r>
      <w:r>
        <w:rPr>
          <w:rStyle w:val="6"/>
          <w:rFonts w:hint="eastAsia" w:ascii="宋体" w:hAnsi="宋体"/>
          <w:sz w:val="32"/>
          <w:szCs w:val="32"/>
        </w:rPr>
        <w:t>比上年</w:t>
      </w:r>
      <w:r>
        <w:rPr>
          <w:rStyle w:val="6"/>
          <w:rFonts w:hint="eastAsia" w:ascii="宋体" w:hAnsi="宋体"/>
          <w:sz w:val="32"/>
          <w:szCs w:val="32"/>
          <w:lang w:eastAsia="zh-CN"/>
        </w:rPr>
        <w:t>减少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6.99</w:t>
      </w:r>
      <w:r>
        <w:rPr>
          <w:rStyle w:val="6"/>
          <w:rFonts w:ascii="宋体" w:hAnsi="宋体"/>
          <w:sz w:val="32"/>
          <w:szCs w:val="32"/>
        </w:rPr>
        <w:t>%</w:t>
      </w:r>
      <w:r>
        <w:rPr>
          <w:rStyle w:val="6"/>
          <w:rFonts w:hint="eastAsia" w:ascii="宋体" w:hAnsi="宋体"/>
          <w:sz w:val="32"/>
          <w:szCs w:val="32"/>
        </w:rPr>
        <w:t>。其中，基本支出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64.21万</w:t>
      </w:r>
      <w:r>
        <w:rPr>
          <w:rStyle w:val="6"/>
          <w:rFonts w:hint="eastAsia" w:ascii="宋体" w:hAnsi="宋体"/>
          <w:sz w:val="32"/>
          <w:szCs w:val="32"/>
        </w:rPr>
        <w:t>元</w:t>
      </w:r>
      <w:r>
        <w:rPr>
          <w:rStyle w:val="6"/>
          <w:rFonts w:hint="eastAsia" w:ascii="宋体" w:hAnsi="宋体"/>
          <w:sz w:val="32"/>
          <w:szCs w:val="32"/>
          <w:lang w:eastAsia="zh-CN"/>
        </w:rPr>
        <w:t>，</w:t>
      </w:r>
      <w:r>
        <w:rPr>
          <w:rStyle w:val="6"/>
          <w:rFonts w:hint="eastAsia" w:ascii="宋体" w:hAnsi="宋体"/>
          <w:sz w:val="32"/>
          <w:szCs w:val="32"/>
        </w:rPr>
        <w:t>项目支出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26.40万</w:t>
      </w:r>
      <w:r>
        <w:rPr>
          <w:rStyle w:val="6"/>
          <w:rFonts w:hint="eastAsia" w:ascii="宋体" w:hAnsi="宋体"/>
          <w:sz w:val="32"/>
          <w:szCs w:val="32"/>
        </w:rPr>
        <w:t>元。基本支出</w:t>
      </w:r>
      <w:r>
        <w:rPr>
          <w:rStyle w:val="6"/>
          <w:rFonts w:hint="eastAsia" w:ascii="宋体" w:hAnsi="宋体"/>
          <w:sz w:val="32"/>
          <w:szCs w:val="32"/>
          <w:lang w:eastAsia="zh-CN"/>
        </w:rPr>
        <w:t>减少</w:t>
      </w:r>
      <w:r>
        <w:rPr>
          <w:rStyle w:val="6"/>
          <w:rFonts w:hint="eastAsia" w:ascii="宋体" w:hAnsi="宋体"/>
          <w:sz w:val="32"/>
          <w:szCs w:val="32"/>
        </w:rPr>
        <w:t>的原因是：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2020</w:t>
      </w:r>
      <w:r>
        <w:rPr>
          <w:rStyle w:val="6"/>
          <w:rFonts w:hint="eastAsia" w:ascii="宋体" w:hAnsi="宋体"/>
          <w:sz w:val="32"/>
          <w:szCs w:val="32"/>
        </w:rPr>
        <w:t>年</w:t>
      </w:r>
      <w:r>
        <w:rPr>
          <w:rStyle w:val="6"/>
          <w:rFonts w:hint="eastAsia" w:ascii="宋体" w:hAnsi="宋体"/>
          <w:sz w:val="32"/>
          <w:szCs w:val="32"/>
          <w:lang w:eastAsia="zh-CN"/>
        </w:rPr>
        <w:t>压缩公共支出</w:t>
      </w:r>
      <w:r>
        <w:rPr>
          <w:rStyle w:val="6"/>
          <w:rFonts w:hint="eastAsia" w:ascii="宋体" w:hAnsi="宋体"/>
          <w:sz w:val="32"/>
          <w:szCs w:val="32"/>
        </w:rPr>
        <w:t>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2.</w:t>
      </w:r>
      <w:r>
        <w:rPr>
          <w:rStyle w:val="6"/>
          <w:rFonts w:hint="eastAsia" w:ascii="宋体" w:hAnsi="宋体"/>
          <w:sz w:val="32"/>
          <w:szCs w:val="32"/>
        </w:rPr>
        <w:t>本年预算执行情况分析</w:t>
      </w:r>
      <w:bookmarkStart w:id="0" w:name="_GoBack"/>
      <w:bookmarkEnd w:id="0"/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</w:t>
      </w:r>
      <w:r>
        <w:rPr>
          <w:rStyle w:val="6"/>
          <w:rFonts w:hint="eastAsia" w:ascii="宋体" w:hAnsi="宋体"/>
          <w:sz w:val="32"/>
          <w:szCs w:val="32"/>
        </w:rPr>
        <w:t>（</w:t>
      </w:r>
      <w:r>
        <w:rPr>
          <w:rStyle w:val="6"/>
          <w:rFonts w:ascii="宋体" w:hAnsi="宋体"/>
          <w:sz w:val="32"/>
          <w:szCs w:val="32"/>
        </w:rPr>
        <w:t>1</w:t>
      </w:r>
      <w:r>
        <w:rPr>
          <w:rStyle w:val="6"/>
          <w:rFonts w:hint="eastAsia" w:ascii="宋体" w:hAnsi="宋体"/>
          <w:sz w:val="32"/>
          <w:szCs w:val="32"/>
        </w:rPr>
        <w:t>）收入情况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公共财政拨款收入全年共拨入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76.52万</w:t>
      </w:r>
      <w:r>
        <w:rPr>
          <w:rStyle w:val="6"/>
          <w:rFonts w:hint="eastAsia" w:ascii="宋体" w:hAnsi="宋体"/>
          <w:sz w:val="32"/>
          <w:szCs w:val="32"/>
        </w:rPr>
        <w:t>元，上级补助收入</w:t>
      </w:r>
      <w:r>
        <w:rPr>
          <w:rStyle w:val="6"/>
          <w:rFonts w:ascii="宋体"/>
          <w:sz w:val="32"/>
          <w:szCs w:val="32"/>
        </w:rPr>
        <w:t>0</w:t>
      </w:r>
      <w:r>
        <w:rPr>
          <w:rStyle w:val="6"/>
          <w:rFonts w:hint="eastAsia" w:ascii="宋体" w:hAnsi="宋体"/>
          <w:sz w:val="32"/>
          <w:szCs w:val="32"/>
        </w:rPr>
        <w:t>元，其他收入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7.64万</w:t>
      </w:r>
      <w:r>
        <w:rPr>
          <w:rStyle w:val="6"/>
          <w:rFonts w:hint="eastAsia" w:ascii="宋体" w:hAnsi="宋体"/>
          <w:sz w:val="32"/>
          <w:szCs w:val="32"/>
        </w:rPr>
        <w:t>元。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</w:t>
      </w:r>
      <w:r>
        <w:rPr>
          <w:rStyle w:val="6"/>
          <w:rFonts w:hint="eastAsia" w:ascii="宋体" w:hAnsi="宋体"/>
          <w:sz w:val="32"/>
          <w:szCs w:val="32"/>
        </w:rPr>
        <w:t>（</w:t>
      </w:r>
      <w:r>
        <w:rPr>
          <w:rStyle w:val="6"/>
          <w:rFonts w:ascii="宋体" w:hAnsi="宋体"/>
          <w:sz w:val="32"/>
          <w:szCs w:val="32"/>
        </w:rPr>
        <w:t>2</w:t>
      </w:r>
      <w:r>
        <w:rPr>
          <w:rStyle w:val="6"/>
          <w:rFonts w:hint="eastAsia" w:ascii="宋体" w:hAnsi="宋体"/>
          <w:sz w:val="32"/>
          <w:szCs w:val="32"/>
        </w:rPr>
        <w:t>）支出情况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全年共支出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84.15万</w:t>
      </w:r>
      <w:r>
        <w:rPr>
          <w:rStyle w:val="6"/>
          <w:rFonts w:hint="eastAsia" w:ascii="宋体" w:hAnsi="宋体"/>
          <w:sz w:val="32"/>
          <w:szCs w:val="32"/>
        </w:rPr>
        <w:t>元，其中：基本支出全年共支出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84.15万</w:t>
      </w:r>
      <w:r>
        <w:rPr>
          <w:rStyle w:val="6"/>
          <w:rFonts w:hint="eastAsia" w:ascii="宋体" w:hAnsi="宋体"/>
          <w:sz w:val="32"/>
          <w:szCs w:val="32"/>
        </w:rPr>
        <w:t>元</w:t>
      </w:r>
      <w:r>
        <w:rPr>
          <w:rStyle w:val="6"/>
          <w:rFonts w:ascii="宋体" w:hAnsi="宋体"/>
          <w:sz w:val="32"/>
          <w:szCs w:val="32"/>
        </w:rPr>
        <w:t>(</w:t>
      </w:r>
      <w:r>
        <w:rPr>
          <w:rStyle w:val="6"/>
          <w:rFonts w:hint="eastAsia" w:ascii="宋体" w:hAnsi="宋体"/>
          <w:sz w:val="32"/>
          <w:szCs w:val="32"/>
        </w:rPr>
        <w:t>工资福利支出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61.61万</w:t>
      </w:r>
      <w:r>
        <w:rPr>
          <w:rStyle w:val="6"/>
          <w:rFonts w:hint="eastAsia" w:ascii="宋体" w:hAnsi="宋体"/>
          <w:sz w:val="32"/>
          <w:szCs w:val="32"/>
        </w:rPr>
        <w:t>元，商品和服务支出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22.54万</w:t>
      </w:r>
      <w:r>
        <w:rPr>
          <w:rStyle w:val="6"/>
          <w:rFonts w:hint="eastAsia" w:ascii="宋体" w:hAnsi="宋体"/>
          <w:sz w:val="32"/>
          <w:szCs w:val="32"/>
        </w:rPr>
        <w:t>元</w:t>
      </w:r>
      <w:r>
        <w:rPr>
          <w:rStyle w:val="6"/>
          <w:rFonts w:ascii="宋体" w:hAnsi="宋体"/>
          <w:sz w:val="32"/>
          <w:szCs w:val="32"/>
        </w:rPr>
        <w:t>)</w:t>
      </w:r>
      <w:r>
        <w:rPr>
          <w:rStyle w:val="6"/>
          <w:rFonts w:hint="eastAsia" w:ascii="宋体" w:hAnsi="宋体"/>
          <w:sz w:val="32"/>
          <w:szCs w:val="32"/>
        </w:rPr>
        <w:t>，项目支出全年共支出</w:t>
      </w:r>
      <w:r>
        <w:rPr>
          <w:rStyle w:val="6"/>
          <w:rFonts w:ascii="宋体"/>
          <w:sz w:val="32"/>
          <w:szCs w:val="32"/>
        </w:rPr>
        <w:t>0</w:t>
      </w:r>
      <w:r>
        <w:rPr>
          <w:rStyle w:val="6"/>
          <w:rFonts w:hint="eastAsia" w:ascii="宋体" w:hAnsi="宋体"/>
          <w:sz w:val="32"/>
          <w:szCs w:val="32"/>
        </w:rPr>
        <w:t>元。在所有支出中，工资福利支出开支较大，主要原因是</w:t>
      </w:r>
      <w:r>
        <w:rPr>
          <w:rStyle w:val="6"/>
          <w:rFonts w:hint="eastAsia" w:ascii="宋体" w:hAnsi="宋体"/>
          <w:sz w:val="32"/>
          <w:szCs w:val="32"/>
          <w:lang w:eastAsia="zh-CN"/>
        </w:rPr>
        <w:t>人员经费增加，</w:t>
      </w:r>
      <w:r>
        <w:rPr>
          <w:rStyle w:val="6"/>
          <w:rFonts w:hint="eastAsia" w:ascii="宋体" w:hAnsi="宋体"/>
          <w:sz w:val="32"/>
          <w:szCs w:val="32"/>
        </w:rPr>
        <w:t>支付单位职工工资福利待遇</w:t>
      </w:r>
      <w:r>
        <w:rPr>
          <w:rStyle w:val="6"/>
          <w:rFonts w:hint="eastAsia" w:ascii="宋体" w:hAnsi="宋体"/>
          <w:sz w:val="32"/>
          <w:szCs w:val="32"/>
          <w:lang w:eastAsia="zh-CN"/>
        </w:rPr>
        <w:t>增加</w:t>
      </w:r>
      <w:r>
        <w:rPr>
          <w:rStyle w:val="6"/>
          <w:rFonts w:hint="eastAsia" w:ascii="宋体" w:hAnsi="宋体"/>
          <w:sz w:val="32"/>
          <w:szCs w:val="32"/>
        </w:rPr>
        <w:t>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202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0</w:t>
      </w:r>
      <w:r>
        <w:rPr>
          <w:rStyle w:val="6"/>
          <w:rFonts w:hint="eastAsia" w:ascii="宋体" w:hAnsi="宋体"/>
          <w:sz w:val="32"/>
          <w:szCs w:val="32"/>
        </w:rPr>
        <w:t>年机关运行经费支出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14.91万</w:t>
      </w:r>
      <w:r>
        <w:rPr>
          <w:rStyle w:val="6"/>
          <w:rFonts w:hint="eastAsia" w:ascii="宋体" w:hAnsi="宋体"/>
          <w:sz w:val="32"/>
          <w:szCs w:val="32"/>
        </w:rPr>
        <w:t>元，政府采购支出</w:t>
      </w:r>
      <w:r>
        <w:rPr>
          <w:rStyle w:val="6"/>
          <w:rFonts w:ascii="宋体"/>
          <w:sz w:val="32"/>
          <w:szCs w:val="32"/>
        </w:rPr>
        <w:t>0</w:t>
      </w:r>
      <w:r>
        <w:rPr>
          <w:rStyle w:val="6"/>
          <w:rFonts w:hint="eastAsia" w:ascii="宋体" w:hAnsi="宋体"/>
          <w:sz w:val="32"/>
          <w:szCs w:val="32"/>
        </w:rPr>
        <w:t>元，</w:t>
      </w:r>
      <w:r>
        <w:rPr>
          <w:rStyle w:val="6"/>
          <w:rFonts w:hint="eastAsia" w:ascii="宋体"/>
          <w:sz w:val="32"/>
          <w:szCs w:val="32"/>
        </w:rPr>
        <w:t>“</w:t>
      </w:r>
      <w:r>
        <w:rPr>
          <w:rStyle w:val="6"/>
          <w:rFonts w:hint="eastAsia" w:ascii="宋体" w:hAnsi="宋体"/>
          <w:sz w:val="32"/>
          <w:szCs w:val="32"/>
        </w:rPr>
        <w:t>三公</w:t>
      </w:r>
      <w:r>
        <w:rPr>
          <w:rStyle w:val="6"/>
          <w:rFonts w:hint="eastAsia" w:ascii="宋体"/>
          <w:sz w:val="32"/>
          <w:szCs w:val="32"/>
        </w:rPr>
        <w:t>”</w:t>
      </w:r>
      <w:r>
        <w:rPr>
          <w:rStyle w:val="6"/>
          <w:rFonts w:hint="eastAsia" w:ascii="宋体" w:hAnsi="宋体"/>
          <w:sz w:val="32"/>
          <w:szCs w:val="32"/>
        </w:rPr>
        <w:t>经费支出</w:t>
      </w:r>
      <w:r>
        <w:rPr>
          <w:rStyle w:val="6"/>
          <w:rFonts w:ascii="宋体"/>
          <w:sz w:val="32"/>
          <w:szCs w:val="32"/>
        </w:rPr>
        <w:t>0</w:t>
      </w:r>
      <w:r>
        <w:rPr>
          <w:rStyle w:val="6"/>
          <w:rFonts w:hint="eastAsia" w:ascii="宋体" w:hAnsi="宋体"/>
          <w:sz w:val="32"/>
          <w:szCs w:val="32"/>
        </w:rPr>
        <w:t>元，会议费支出</w:t>
      </w:r>
      <w:r>
        <w:rPr>
          <w:rStyle w:val="6"/>
          <w:rFonts w:ascii="宋体"/>
          <w:sz w:val="32"/>
          <w:szCs w:val="32"/>
        </w:rPr>
        <w:t>0</w:t>
      </w:r>
      <w:r>
        <w:rPr>
          <w:rStyle w:val="6"/>
          <w:rFonts w:hint="eastAsia" w:ascii="宋体" w:hAnsi="宋体"/>
          <w:sz w:val="32"/>
          <w:szCs w:val="32"/>
        </w:rPr>
        <w:t>元，培训费支出</w:t>
      </w:r>
      <w:r>
        <w:rPr>
          <w:rStyle w:val="6"/>
          <w:rFonts w:ascii="宋体"/>
          <w:sz w:val="32"/>
          <w:szCs w:val="32"/>
        </w:rPr>
        <w:t>0</w:t>
      </w:r>
      <w:r>
        <w:rPr>
          <w:rStyle w:val="6"/>
          <w:rFonts w:hint="eastAsia" w:ascii="宋体" w:hAnsi="宋体"/>
          <w:sz w:val="32"/>
          <w:szCs w:val="32"/>
        </w:rPr>
        <w:t>元。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3.</w:t>
      </w:r>
      <w:r>
        <w:rPr>
          <w:rStyle w:val="6"/>
          <w:rFonts w:hint="eastAsia" w:ascii="宋体" w:hAnsi="宋体"/>
          <w:sz w:val="32"/>
          <w:szCs w:val="32"/>
        </w:rPr>
        <w:t>年终决算情况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本年度单位共收入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84.15万</w:t>
      </w:r>
      <w:r>
        <w:rPr>
          <w:rStyle w:val="6"/>
          <w:rFonts w:hint="eastAsia" w:ascii="宋体" w:hAnsi="宋体"/>
          <w:sz w:val="32"/>
          <w:szCs w:val="32"/>
        </w:rPr>
        <w:t>元，共支</w:t>
      </w:r>
      <w:r>
        <w:rPr>
          <w:rStyle w:val="6"/>
          <w:rFonts w:hint="eastAsia" w:ascii="宋体" w:hAnsi="宋体"/>
          <w:sz w:val="32"/>
          <w:szCs w:val="32"/>
          <w:lang w:eastAsia="zh-CN"/>
        </w:rPr>
        <w:t>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84.15万</w:t>
      </w:r>
      <w:r>
        <w:rPr>
          <w:rStyle w:val="6"/>
          <w:rFonts w:hint="eastAsia" w:ascii="宋体" w:hAnsi="宋体"/>
          <w:sz w:val="32"/>
          <w:szCs w:val="32"/>
        </w:rPr>
        <w:t>元。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三、政府部门运行情况分析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根据《中共邵阳市双清区委机构编制委员会办公室职能配置、内设机构和人员编制规定》（双办字〔</w:t>
      </w:r>
      <w:r>
        <w:rPr>
          <w:rStyle w:val="6"/>
          <w:rFonts w:ascii="宋体" w:hAnsi="宋体"/>
          <w:sz w:val="32"/>
          <w:szCs w:val="32"/>
        </w:rPr>
        <w:t>2019</w:t>
      </w:r>
      <w:r>
        <w:rPr>
          <w:rStyle w:val="6"/>
          <w:rFonts w:hint="eastAsia" w:ascii="宋体" w:hAnsi="宋体"/>
          <w:sz w:val="32"/>
          <w:szCs w:val="32"/>
        </w:rPr>
        <w:t>〕</w:t>
      </w:r>
      <w:r>
        <w:rPr>
          <w:rStyle w:val="6"/>
          <w:rFonts w:ascii="宋体" w:hAnsi="宋体"/>
          <w:sz w:val="32"/>
          <w:szCs w:val="32"/>
        </w:rPr>
        <w:t>36</w:t>
      </w:r>
      <w:r>
        <w:rPr>
          <w:rStyle w:val="6"/>
          <w:rFonts w:hint="eastAsia" w:ascii="宋体" w:hAnsi="宋体"/>
          <w:sz w:val="32"/>
          <w:szCs w:val="32"/>
        </w:rPr>
        <w:t>号）文件，我办机关行政编制</w:t>
      </w:r>
      <w:r>
        <w:rPr>
          <w:rStyle w:val="6"/>
          <w:rFonts w:ascii="宋体" w:hAnsi="宋体"/>
          <w:sz w:val="32"/>
          <w:szCs w:val="32"/>
        </w:rPr>
        <w:t>4</w:t>
      </w:r>
      <w:r>
        <w:rPr>
          <w:rStyle w:val="6"/>
          <w:rFonts w:hint="eastAsia" w:ascii="宋体" w:hAnsi="宋体"/>
          <w:sz w:val="32"/>
          <w:szCs w:val="32"/>
        </w:rPr>
        <w:t>名，其中主任</w:t>
      </w:r>
      <w:r>
        <w:rPr>
          <w:rStyle w:val="6"/>
          <w:rFonts w:ascii="宋体" w:hAnsi="宋体"/>
          <w:sz w:val="32"/>
          <w:szCs w:val="32"/>
        </w:rPr>
        <w:t>1</w:t>
      </w:r>
      <w:r>
        <w:rPr>
          <w:rStyle w:val="6"/>
          <w:rFonts w:hint="eastAsia" w:ascii="宋体" w:hAnsi="宋体"/>
          <w:sz w:val="32"/>
          <w:szCs w:val="32"/>
        </w:rPr>
        <w:t>名，副主任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Style w:val="6"/>
          <w:rFonts w:hint="eastAsia" w:ascii="宋体" w:hAnsi="宋体"/>
          <w:sz w:val="32"/>
          <w:szCs w:val="32"/>
        </w:rPr>
        <w:t>名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,</w:t>
      </w:r>
      <w:r>
        <w:rPr>
          <w:rStyle w:val="6"/>
          <w:rFonts w:hint="eastAsia" w:ascii="宋体" w:hAnsi="宋体"/>
          <w:sz w:val="32"/>
          <w:szCs w:val="32"/>
        </w:rPr>
        <w:t>机关现有在职人员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Style w:val="6"/>
          <w:rFonts w:hint="eastAsia" w:ascii="宋体" w:hAnsi="宋体"/>
          <w:sz w:val="32"/>
          <w:szCs w:val="32"/>
        </w:rPr>
        <w:t>人，退休人员</w:t>
      </w:r>
      <w:r>
        <w:rPr>
          <w:rStyle w:val="6"/>
          <w:rFonts w:ascii="宋体" w:hAnsi="宋体"/>
          <w:sz w:val="32"/>
          <w:szCs w:val="32"/>
        </w:rPr>
        <w:t>1</w:t>
      </w:r>
      <w:r>
        <w:rPr>
          <w:rStyle w:val="6"/>
          <w:rFonts w:hint="eastAsia" w:ascii="宋体" w:hAnsi="宋体"/>
          <w:sz w:val="32"/>
          <w:szCs w:val="32"/>
        </w:rPr>
        <w:t>人。机关设</w:t>
      </w:r>
      <w:r>
        <w:rPr>
          <w:rStyle w:val="6"/>
          <w:rFonts w:ascii="宋体" w:hAnsi="宋体"/>
          <w:sz w:val="32"/>
          <w:szCs w:val="32"/>
        </w:rPr>
        <w:t>4</w:t>
      </w:r>
      <w:r>
        <w:rPr>
          <w:rStyle w:val="6"/>
          <w:rFonts w:hint="eastAsia" w:ascii="宋体" w:hAnsi="宋体"/>
          <w:sz w:val="32"/>
          <w:szCs w:val="32"/>
        </w:rPr>
        <w:t>个内设科室，即综合办公室、机构编制股、实名制管理股、事业单位登记管理办公室。下属管理</w:t>
      </w:r>
      <w:r>
        <w:rPr>
          <w:rStyle w:val="6"/>
          <w:rFonts w:ascii="宋体" w:hAnsi="宋体"/>
          <w:sz w:val="32"/>
          <w:szCs w:val="32"/>
        </w:rPr>
        <w:t>1</w:t>
      </w:r>
      <w:r>
        <w:rPr>
          <w:rStyle w:val="6"/>
          <w:rFonts w:hint="eastAsia" w:ascii="宋体" w:hAnsi="宋体"/>
          <w:sz w:val="32"/>
          <w:szCs w:val="32"/>
        </w:rPr>
        <w:t>个事业单位，即双清区机构编制管理信息中心（副科级事业单位），核定事业编制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Style w:val="6"/>
          <w:rFonts w:hint="eastAsia" w:ascii="宋体" w:hAnsi="宋体"/>
          <w:sz w:val="32"/>
          <w:szCs w:val="32"/>
        </w:rPr>
        <w:t>名，现有在职人员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Style w:val="6"/>
          <w:rFonts w:hint="eastAsia" w:ascii="宋体" w:hAnsi="宋体"/>
          <w:sz w:val="32"/>
          <w:szCs w:val="32"/>
        </w:rPr>
        <w:t>人。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四、政府部门财务管理情况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1</w:t>
      </w:r>
      <w:r>
        <w:rPr>
          <w:rStyle w:val="6"/>
          <w:rFonts w:hint="eastAsia" w:ascii="宋体" w:hAnsi="宋体"/>
          <w:sz w:val="32"/>
          <w:szCs w:val="32"/>
        </w:rPr>
        <w:t>、预算管理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我单位不断强化预算意识，实行部门综合预算管理，形成以单位领导支持、财务部门牵头、其他部门密切配合的工作格局，保证预算编制质量。结合单位业务情况，进行科学合理分配细化，部门预算经批复后，跟踪预算执行进度，及时组织收入，科学合理安排支出，降低预算支出的波动幅度。严格执行项目支出预算，积极组织项目实施，对于达到政府采购标准的项目支出，明确规定采购项目的采购期限，督促尽快组织实施采购计划。加强对预算执行过程的控制和结果的反馈，对预算执行差异及时分析成因和影响，并及时向领导和相关科室进行反馈，以采取措施纠正执行偏差，促进预算目标的全面完成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2</w:t>
      </w:r>
      <w:r>
        <w:rPr>
          <w:rStyle w:val="6"/>
          <w:rFonts w:hint="eastAsia" w:ascii="宋体" w:hAnsi="宋体"/>
          <w:sz w:val="32"/>
          <w:szCs w:val="32"/>
        </w:rPr>
        <w:t>、内控管理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健全完善部门内控制度，全面梳理业务流程，明确业务环节，分析风险隐患，完善风险评估机制，制定风险应对策略</w:t>
      </w:r>
      <w:r>
        <w:rPr>
          <w:rStyle w:val="6"/>
          <w:rFonts w:ascii="宋体" w:hAnsi="宋体"/>
          <w:sz w:val="32"/>
          <w:szCs w:val="32"/>
        </w:rPr>
        <w:t>;</w:t>
      </w:r>
      <w:r>
        <w:rPr>
          <w:rStyle w:val="6"/>
          <w:rFonts w:hint="eastAsia" w:ascii="宋体" w:hAnsi="宋体"/>
          <w:sz w:val="32"/>
          <w:szCs w:val="32"/>
        </w:rPr>
        <w:t>有效运用不相容岗位相互分离、内部授权审批控制、归口管理、预算控制、财产保护控制、会计控制、单据控制、信息内部公开等内部控制基本方法，加强对单位层面和业务层面的内部控制，实现内部控制体系全面、有效实施。建立单位内控监督约束机制，让单位纪检、审计、业务部门参与到资金使用监督环节，确保资金安全、合理、有效使用，最大限度发挥财政资金使用效益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3</w:t>
      </w:r>
      <w:r>
        <w:rPr>
          <w:rStyle w:val="6"/>
          <w:rFonts w:hint="eastAsia" w:ascii="宋体" w:hAnsi="宋体"/>
          <w:sz w:val="32"/>
          <w:szCs w:val="32"/>
        </w:rPr>
        <w:t>、资产管理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一是加强会计核算工作。严格执行现行固定资产管理制度，对购入的固定资产、收到的捐赠资产等及时入账，并按照数量、金额登记明细账，编制固定资产卡片，确保账面上能真实、完整地反映单位的固定资产情况，并结合本单位的实际情况，完善固定资产管理制度。二是加强程序管理。对纳入政府采购目录范围内的资产采购，必须报政府采购中心进行政府采购；未纳入政府采购目录范围内的资产采购，采用其他形式采购。未纳入预算的固定资产，不得随意采购，确需急用，必须经相关部门批准。三是加强内部监督。定期或不定期的对固定资产进行抽查。检查固定资产的购置、领用、处置等程序是否合规，账实是否相符等，防止国有资产的流失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4</w:t>
      </w:r>
      <w:r>
        <w:rPr>
          <w:rStyle w:val="6"/>
          <w:rFonts w:hint="eastAsia" w:ascii="宋体" w:hAnsi="宋体"/>
          <w:sz w:val="32"/>
          <w:szCs w:val="32"/>
        </w:rPr>
        <w:t>、绩效管理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我单位进一步提高预算绩效管理认识，强化以</w:t>
      </w:r>
      <w:r>
        <w:rPr>
          <w:rStyle w:val="6"/>
          <w:rFonts w:hint="eastAsia" w:ascii="宋体"/>
          <w:sz w:val="32"/>
          <w:szCs w:val="32"/>
        </w:rPr>
        <w:t>“</w:t>
      </w:r>
      <w:r>
        <w:rPr>
          <w:rStyle w:val="6"/>
          <w:rFonts w:hint="eastAsia" w:ascii="宋体" w:hAnsi="宋体"/>
          <w:sz w:val="32"/>
          <w:szCs w:val="32"/>
        </w:rPr>
        <w:t>绩效为中心、对支出结果负责、对社会公众负责</w:t>
      </w:r>
      <w:r>
        <w:rPr>
          <w:rStyle w:val="6"/>
          <w:rFonts w:hint="eastAsia" w:ascii="宋体"/>
          <w:sz w:val="32"/>
          <w:szCs w:val="32"/>
        </w:rPr>
        <w:t>”</w:t>
      </w:r>
      <w:r>
        <w:rPr>
          <w:rStyle w:val="6"/>
          <w:rFonts w:hint="eastAsia" w:ascii="宋体" w:hAnsi="宋体"/>
          <w:sz w:val="32"/>
          <w:szCs w:val="32"/>
        </w:rPr>
        <w:t>的理念，在绩效目标编制方面，针对绩效目标设置指向不清、预算和目标匹配不足，数量目标和质量目标量化不细，效益目标编制不完整等方面加以了改善。加强预算绩效动态监控管理，及时跟踪项目进度，对项目实施中存在的具体问题采取纠偏措施。加强财务人员的业务培训，进一步提高预算绩效评价质量。</w:t>
      </w:r>
      <w:r>
        <w:rPr>
          <w:rStyle w:val="6"/>
          <w:rFonts w:ascii="宋体"/>
          <w:sz w:val="32"/>
          <w:szCs w:val="32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WY0ZTBiZmMxYThjYjgxMGJkMjJjMjdkZTExMTgifQ=="/>
  </w:docVars>
  <w:rsids>
    <w:rsidRoot w:val="00E0183A"/>
    <w:rsid w:val="000071EF"/>
    <w:rsid w:val="00070598"/>
    <w:rsid w:val="00074863"/>
    <w:rsid w:val="000C3DE6"/>
    <w:rsid w:val="00121FAD"/>
    <w:rsid w:val="00255711"/>
    <w:rsid w:val="003C3F17"/>
    <w:rsid w:val="00553445"/>
    <w:rsid w:val="005F02A8"/>
    <w:rsid w:val="006D666C"/>
    <w:rsid w:val="00853FD7"/>
    <w:rsid w:val="00B011F7"/>
    <w:rsid w:val="00B507F6"/>
    <w:rsid w:val="00E0183A"/>
    <w:rsid w:val="00E9321C"/>
    <w:rsid w:val="00F953FF"/>
    <w:rsid w:val="00FA2DF7"/>
    <w:rsid w:val="0828277A"/>
    <w:rsid w:val="08A4495B"/>
    <w:rsid w:val="29DD578B"/>
    <w:rsid w:val="44416637"/>
    <w:rsid w:val="4E295DFF"/>
    <w:rsid w:val="58A43C1E"/>
    <w:rsid w:val="63551DBE"/>
    <w:rsid w:val="675B1839"/>
    <w:rsid w:val="6D4B6820"/>
    <w:rsid w:val="6E42488B"/>
    <w:rsid w:val="6EF621A1"/>
    <w:rsid w:val="781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99"/>
  </w:style>
  <w:style w:type="paragraph" w:customStyle="1" w:styleId="7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Footer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5</Pages>
  <Words>2075</Words>
  <Characters>2149</Characters>
  <Lines>0</Lines>
  <Paragraphs>0</Paragraphs>
  <TotalTime>1</TotalTime>
  <ScaleCrop>false</ScaleCrop>
  <LinksUpToDate>false</LinksUpToDate>
  <CharactersWithSpaces>2238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2021-06-11T03:15:00Z</dcterms:created>
  <dc:creator>a</dc:creator>
  <cp:lastModifiedBy>sqzf2</cp:lastModifiedBy>
  <cp:lastPrinted>2021-05-31T00:55:00Z</cp:lastPrinted>
  <dcterms:modified xsi:type="dcterms:W3CDTF">2022-06-28T08:46:19Z</dcterms:modified>
  <dc:title>一、政府部门工作目标完成情况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1E1F33568F544B0ABF7B2D7D666CD118</vt:lpwstr>
  </property>
</Properties>
</file>