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微软雅黑" w:hAnsi="微软雅黑" w:eastAsia="微软雅黑" w:cs="宋体"/>
          <w:color w:val="444444"/>
          <w:kern w:val="0"/>
          <w:sz w:val="24"/>
          <w:szCs w:val="24"/>
        </w:rPr>
      </w:pPr>
      <w:r>
        <w:rPr>
          <w:rFonts w:hint="eastAsia" w:ascii="MS Mincho" w:hAnsi="MS Mincho" w:eastAsia="MS Mincho" w:cs="MS Mincho"/>
          <w:color w:val="444444"/>
          <w:kern w:val="0"/>
          <w:sz w:val="24"/>
          <w:szCs w:val="24"/>
          <w:shd w:val="clear" w:color="auto" w:fill="FFFFFF"/>
        </w:rPr>
        <w:t> </w:t>
      </w:r>
    </w:p>
    <w:p>
      <w:pPr>
        <w:widowControl/>
        <w:shd w:val="clear" w:color="auto" w:fill="FFFFFF"/>
        <w:jc w:val="center"/>
        <w:rPr>
          <w:rFonts w:hint="eastAsia" w:ascii="微软雅黑" w:hAnsi="微软雅黑" w:eastAsia="微软雅黑" w:cs="宋体"/>
          <w:color w:val="444444"/>
          <w:kern w:val="0"/>
          <w:sz w:val="48"/>
          <w:szCs w:val="48"/>
        </w:rPr>
      </w:pPr>
      <w:r>
        <w:rPr>
          <w:rFonts w:hint="eastAsia" w:ascii="宋体" w:hAnsi="宋体" w:eastAsia="宋体" w:cs="宋体"/>
          <w:b/>
          <w:bCs/>
          <w:color w:val="444444"/>
          <w:kern w:val="0"/>
          <w:sz w:val="48"/>
          <w:szCs w:val="48"/>
          <w:lang w:eastAsia="zh-CN"/>
        </w:rPr>
        <w:t>中共邵阳市双清区委统战部</w:t>
      </w:r>
      <w:r>
        <w:rPr>
          <w:rFonts w:hint="eastAsia" w:ascii="宋体" w:hAnsi="宋体" w:eastAsia="宋体" w:cs="宋体"/>
          <w:b/>
          <w:bCs/>
          <w:color w:val="444444"/>
          <w:kern w:val="0"/>
          <w:sz w:val="48"/>
          <w:szCs w:val="48"/>
        </w:rPr>
        <w:t>202</w:t>
      </w:r>
      <w:r>
        <w:rPr>
          <w:rFonts w:hint="eastAsia" w:ascii="宋体" w:hAnsi="宋体" w:eastAsia="宋体" w:cs="宋体"/>
          <w:b/>
          <w:bCs/>
          <w:color w:val="444444"/>
          <w:kern w:val="0"/>
          <w:sz w:val="48"/>
          <w:szCs w:val="48"/>
          <w:lang w:val="en-US" w:eastAsia="zh-CN"/>
        </w:rPr>
        <w:t>1</w:t>
      </w:r>
      <w:r>
        <w:rPr>
          <w:rFonts w:hint="eastAsia" w:ascii="宋体" w:hAnsi="宋体" w:eastAsia="宋体" w:cs="宋体"/>
          <w:b/>
          <w:bCs/>
          <w:color w:val="444444"/>
          <w:kern w:val="0"/>
          <w:sz w:val="48"/>
          <w:szCs w:val="48"/>
        </w:rPr>
        <w:t>年度部门</w:t>
      </w:r>
      <w:r>
        <w:rPr>
          <w:rFonts w:hint="eastAsia" w:ascii="宋体" w:hAnsi="宋体" w:eastAsia="宋体" w:cs="宋体"/>
          <w:b/>
          <w:bCs/>
          <w:color w:val="444444"/>
          <w:kern w:val="0"/>
          <w:sz w:val="48"/>
          <w:szCs w:val="48"/>
          <w:lang w:eastAsia="zh-CN"/>
        </w:rPr>
        <w:t>整体支出</w:t>
      </w:r>
      <w:r>
        <w:rPr>
          <w:rFonts w:hint="eastAsia" w:ascii="宋体" w:hAnsi="宋体" w:eastAsia="宋体" w:cs="宋体"/>
          <w:b/>
          <w:bCs/>
          <w:color w:val="444444"/>
          <w:kern w:val="0"/>
          <w:sz w:val="48"/>
          <w:szCs w:val="48"/>
        </w:rPr>
        <w:t>绩效评价报告</w:t>
      </w:r>
    </w:p>
    <w:p>
      <w:pPr>
        <w:widowControl/>
        <w:shd w:val="clear" w:color="auto" w:fill="FFFFFF"/>
        <w:spacing w:line="600" w:lineRule="atLeast"/>
        <w:ind w:firstLine="640"/>
        <w:jc w:val="left"/>
        <w:rPr>
          <w:rFonts w:hint="eastAsia" w:ascii="黑体" w:hAnsi="黑体" w:eastAsia="黑体" w:cs="宋体"/>
          <w:color w:val="444444"/>
          <w:kern w:val="0"/>
          <w:sz w:val="28"/>
          <w:szCs w:val="28"/>
        </w:rPr>
      </w:pPr>
    </w:p>
    <w:p>
      <w:pPr>
        <w:widowControl/>
        <w:numPr>
          <w:numId w:val="0"/>
        </w:numPr>
        <w:shd w:val="clear" w:color="auto" w:fill="FFFFFF"/>
        <w:spacing w:line="600" w:lineRule="atLeast"/>
        <w:ind w:firstLine="640" w:firstLineChars="200"/>
        <w:jc w:val="left"/>
        <w:rPr>
          <w:rFonts w:hint="eastAsia" w:asciiTheme="minorEastAsia" w:hAnsiTheme="minorEastAsia" w:eastAsiaTheme="minorEastAsia" w:cstheme="minorEastAsia"/>
          <w:b/>
          <w:bCs/>
          <w:color w:val="444444"/>
          <w:kern w:val="0"/>
          <w:sz w:val="32"/>
          <w:szCs w:val="32"/>
        </w:rPr>
      </w:pPr>
      <w:r>
        <w:rPr>
          <w:rFonts w:hint="eastAsia" w:ascii="仿宋" w:hAnsi="仿宋" w:eastAsia="仿宋" w:cs="仿宋"/>
          <w:b w:val="0"/>
          <w:bCs/>
          <w:sz w:val="32"/>
          <w:szCs w:val="32"/>
          <w:lang w:eastAsia="zh-CN"/>
        </w:rPr>
        <w:t>为</w:t>
      </w:r>
      <w:r>
        <w:rPr>
          <w:rFonts w:hint="eastAsia" w:ascii="仿宋" w:hAnsi="仿宋" w:eastAsia="仿宋" w:cs="仿宋"/>
          <w:b w:val="0"/>
          <w:bCs/>
          <w:sz w:val="32"/>
          <w:szCs w:val="32"/>
          <w:lang w:val="en-US" w:eastAsia="zh-CN"/>
        </w:rPr>
        <w:t>了全面实施财政资金预算绩效管理，切实</w:t>
      </w:r>
      <w:r>
        <w:rPr>
          <w:rFonts w:hint="eastAsia" w:ascii="仿宋" w:hAnsi="仿宋" w:eastAsia="仿宋" w:cs="仿宋"/>
          <w:b w:val="0"/>
          <w:bCs/>
          <w:sz w:val="32"/>
          <w:szCs w:val="32"/>
          <w:lang w:eastAsia="zh-CN"/>
        </w:rPr>
        <w:t>提高财政资金使用效益，</w:t>
      </w:r>
      <w:r>
        <w:rPr>
          <w:rFonts w:hint="eastAsia" w:ascii="仿宋" w:hAnsi="仿宋" w:eastAsia="仿宋" w:cs="仿宋"/>
          <w:b w:val="0"/>
          <w:bCs/>
          <w:sz w:val="32"/>
          <w:szCs w:val="32"/>
          <w:lang w:val="en-US" w:eastAsia="zh-CN"/>
        </w:rPr>
        <w:t>进一步提高财政资金科学化精细化管理水平</w:t>
      </w:r>
      <w:r>
        <w:rPr>
          <w:rFonts w:hint="eastAsia" w:ascii="仿宋" w:hAnsi="仿宋" w:eastAsia="仿宋" w:cs="仿宋"/>
          <w:b w:val="0"/>
          <w:bCs/>
          <w:sz w:val="32"/>
          <w:szCs w:val="32"/>
          <w:lang w:eastAsia="zh-CN"/>
        </w:rPr>
        <w:t>。根据相关</w:t>
      </w:r>
      <w:r>
        <w:rPr>
          <w:rFonts w:hint="eastAsia" w:ascii="仿宋" w:hAnsi="仿宋" w:eastAsia="仿宋" w:cs="仿宋"/>
          <w:b w:val="0"/>
          <w:bCs/>
          <w:sz w:val="32"/>
          <w:szCs w:val="32"/>
          <w:lang w:val="en-US" w:eastAsia="zh-CN"/>
        </w:rPr>
        <w:t>文件精神，结合实际，现将我单位2021年度部门整体支出绩效自评结果报告如下：</w:t>
      </w:r>
    </w:p>
    <w:p>
      <w:pPr>
        <w:widowControl/>
        <w:numPr>
          <w:ilvl w:val="0"/>
          <w:numId w:val="1"/>
        </w:numPr>
        <w:shd w:val="clear" w:color="auto" w:fill="FFFFFF"/>
        <w:spacing w:line="600" w:lineRule="atLeast"/>
        <w:ind w:firstLine="640"/>
        <w:jc w:val="left"/>
        <w:rPr>
          <w:rFonts w:hint="eastAsia" w:asciiTheme="minorEastAsia" w:hAnsiTheme="minorEastAsia" w:eastAsiaTheme="minorEastAsia" w:cstheme="minorEastAsia"/>
          <w:b/>
          <w:bCs/>
          <w:color w:val="444444"/>
          <w:kern w:val="0"/>
          <w:sz w:val="32"/>
          <w:szCs w:val="32"/>
        </w:rPr>
      </w:pPr>
      <w:r>
        <w:rPr>
          <w:rFonts w:hint="eastAsia" w:asciiTheme="minorEastAsia" w:hAnsiTheme="minorEastAsia" w:eastAsiaTheme="minorEastAsia" w:cstheme="minorEastAsia"/>
          <w:b/>
          <w:bCs/>
          <w:color w:val="444444"/>
          <w:kern w:val="0"/>
          <w:sz w:val="32"/>
          <w:szCs w:val="32"/>
        </w:rPr>
        <w:t>部门概况</w:t>
      </w:r>
    </w:p>
    <w:p>
      <w:pPr>
        <w:widowControl/>
        <w:shd w:val="clear" w:color="auto" w:fill="FFFFFF"/>
        <w:spacing w:line="600" w:lineRule="atLeast"/>
        <w:ind w:firstLine="643"/>
        <w:jc w:val="left"/>
        <w:rPr>
          <w:rFonts w:hint="eastAsia" w:asciiTheme="minorEastAsia" w:hAnsiTheme="minorEastAsia" w:eastAsiaTheme="minorEastAsia" w:cstheme="minorEastAsia"/>
          <w:color w:val="444444"/>
          <w:kern w:val="0"/>
          <w:sz w:val="32"/>
          <w:szCs w:val="32"/>
        </w:rPr>
      </w:pPr>
      <w:r>
        <w:rPr>
          <w:rFonts w:hint="eastAsia" w:asciiTheme="minorEastAsia" w:hAnsiTheme="minorEastAsia" w:eastAsiaTheme="minorEastAsia" w:cstheme="minorEastAsia"/>
          <w:b/>
          <w:bCs/>
          <w:color w:val="444444"/>
          <w:kern w:val="0"/>
          <w:sz w:val="32"/>
          <w:szCs w:val="32"/>
        </w:rPr>
        <w:t>（</w:t>
      </w:r>
      <w:r>
        <w:rPr>
          <w:rFonts w:hint="eastAsia" w:asciiTheme="minorEastAsia" w:hAnsiTheme="minorEastAsia" w:eastAsiaTheme="minorEastAsia" w:cstheme="minorEastAsia"/>
          <w:b/>
          <w:bCs/>
          <w:color w:val="444444"/>
          <w:kern w:val="0"/>
          <w:sz w:val="32"/>
          <w:szCs w:val="32"/>
          <w:shd w:val="clear" w:color="auto" w:fill="FFFFFF"/>
        </w:rPr>
        <w:t>一）部门基本情况</w:t>
      </w:r>
    </w:p>
    <w:p>
      <w:pPr>
        <w:widowControl/>
        <w:shd w:val="clear" w:color="auto" w:fill="FFFFFF"/>
        <w:spacing w:line="579" w:lineRule="atLeast"/>
        <w:ind w:firstLine="640"/>
        <w:jc w:val="left"/>
        <w:rPr>
          <w:rFonts w:hint="eastAsia" w:asciiTheme="minorEastAsia" w:hAnsiTheme="minorEastAsia" w:eastAsiaTheme="minorEastAsia" w:cstheme="minorEastAsia"/>
          <w:b/>
          <w:color w:val="444444"/>
          <w:kern w:val="0"/>
          <w:sz w:val="32"/>
          <w:szCs w:val="32"/>
        </w:rPr>
      </w:pPr>
      <w:r>
        <w:rPr>
          <w:rFonts w:hint="eastAsia" w:asciiTheme="minorEastAsia" w:hAnsiTheme="minorEastAsia" w:eastAsiaTheme="minorEastAsia" w:cstheme="minorEastAsia"/>
          <w:b/>
          <w:color w:val="444444"/>
          <w:kern w:val="0"/>
          <w:sz w:val="32"/>
          <w:szCs w:val="32"/>
          <w:shd w:val="clear" w:color="auto" w:fill="FFFFFF"/>
        </w:rPr>
        <w:t>主要职责：</w:t>
      </w:r>
    </w:p>
    <w:p>
      <w:pPr>
        <w:pStyle w:val="12"/>
        <w:shd w:val="clear" w:color="auto" w:fill="FFFFFF"/>
        <w:spacing w:before="0" w:beforeAutospacing="0" w:after="0" w:afterAutospacing="0"/>
        <w:ind w:firstLine="640"/>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333333"/>
          <w:sz w:val="32"/>
          <w:szCs w:val="32"/>
          <w:shd w:val="clear" w:color="auto" w:fill="FFFFFF"/>
        </w:rPr>
        <w:t>1、贯彻执行中央和省委、</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"http://www.so.com/s?q=%E5%B8%82%E5%A7%94&amp;ie=utf-8&amp;src=internal_wenda_recommend_textn" </w:instrText>
      </w:r>
      <w:r>
        <w:rPr>
          <w:rFonts w:hint="eastAsia" w:asciiTheme="minorEastAsia" w:hAnsiTheme="minorEastAsia" w:eastAsiaTheme="minorEastAsia" w:cstheme="minorEastAsia"/>
          <w:sz w:val="32"/>
          <w:szCs w:val="32"/>
        </w:rPr>
        <w:fldChar w:fldCharType="separate"/>
      </w:r>
      <w:r>
        <w:rPr>
          <w:rStyle w:val="13"/>
          <w:rFonts w:hint="eastAsia" w:asciiTheme="minorEastAsia" w:hAnsiTheme="minorEastAsia" w:eastAsiaTheme="minorEastAsia" w:cstheme="minorEastAsia"/>
          <w:color w:val="333333"/>
          <w:sz w:val="32"/>
          <w:szCs w:val="32"/>
          <w:shd w:val="clear" w:color="auto" w:fill="FFFFFF"/>
        </w:rPr>
        <w:t>市委</w:t>
      </w:r>
      <w:r>
        <w:rPr>
          <w:rStyle w:val="13"/>
          <w:rFonts w:hint="eastAsia" w:asciiTheme="minorEastAsia" w:hAnsiTheme="minorEastAsia" w:eastAsiaTheme="minorEastAsia" w:cstheme="minorEastAsia"/>
          <w:color w:val="333333"/>
          <w:sz w:val="32"/>
          <w:szCs w:val="32"/>
          <w:shd w:val="clear" w:color="auto" w:fill="FFFFFF"/>
        </w:rPr>
        <w:fldChar w:fldCharType="end"/>
      </w:r>
      <w:r>
        <w:rPr>
          <w:rFonts w:hint="eastAsia" w:asciiTheme="minorEastAsia" w:hAnsiTheme="minorEastAsia" w:eastAsiaTheme="minorEastAsia" w:cstheme="minorEastAsia"/>
          <w:color w:val="333333"/>
          <w:sz w:val="32"/>
          <w:szCs w:val="32"/>
          <w:shd w:val="clear" w:color="auto" w:fill="FFFFFF"/>
        </w:rPr>
        <w:t>、区委有关方针、政策；调查研究统一战线理论和方针、政策，向区委反映统一战线情况，提出</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"http://www.so.com/s?q=%E7%BB%9F%E6%88%98%E5%B7%A5%E4%BD%9C&amp;ie=utf-8&amp;src=internal_wenda_recommend_textn" </w:instrText>
      </w:r>
      <w:r>
        <w:rPr>
          <w:rFonts w:hint="eastAsia" w:asciiTheme="minorEastAsia" w:hAnsiTheme="minorEastAsia" w:eastAsiaTheme="minorEastAsia" w:cstheme="minorEastAsia"/>
          <w:sz w:val="32"/>
          <w:szCs w:val="32"/>
        </w:rPr>
        <w:fldChar w:fldCharType="separate"/>
      </w:r>
      <w:r>
        <w:rPr>
          <w:rStyle w:val="13"/>
          <w:rFonts w:hint="eastAsia" w:asciiTheme="minorEastAsia" w:hAnsiTheme="minorEastAsia" w:eastAsiaTheme="minorEastAsia" w:cstheme="minorEastAsia"/>
          <w:color w:val="333333"/>
          <w:sz w:val="32"/>
          <w:szCs w:val="32"/>
          <w:shd w:val="clear" w:color="auto" w:fill="FFFFFF"/>
        </w:rPr>
        <w:t>统战工作</w:t>
      </w:r>
      <w:r>
        <w:rPr>
          <w:rStyle w:val="13"/>
          <w:rFonts w:hint="eastAsia" w:asciiTheme="minorEastAsia" w:hAnsiTheme="minorEastAsia" w:eastAsiaTheme="minorEastAsia" w:cstheme="minorEastAsia"/>
          <w:color w:val="333333"/>
          <w:sz w:val="32"/>
          <w:szCs w:val="32"/>
          <w:shd w:val="clear" w:color="auto" w:fill="FFFFFF"/>
        </w:rPr>
        <w:fldChar w:fldCharType="end"/>
      </w:r>
      <w:r>
        <w:rPr>
          <w:rFonts w:hint="eastAsia" w:asciiTheme="minorEastAsia" w:hAnsiTheme="minorEastAsia" w:eastAsiaTheme="minorEastAsia" w:cstheme="minorEastAsia"/>
          <w:color w:val="333333"/>
          <w:sz w:val="32"/>
          <w:szCs w:val="32"/>
          <w:shd w:val="clear" w:color="auto" w:fill="FFFFFF"/>
        </w:rPr>
        <w:t>的意见和建议；检查统战政策执行情况，协调统一战线各</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"http://www.so.com/s?q=%E6%96%B9%E9%9D%A2&amp;ie=utf-8&amp;src=internal_wenda_recommend_textn" </w:instrText>
      </w:r>
      <w:r>
        <w:rPr>
          <w:rFonts w:hint="eastAsia" w:asciiTheme="minorEastAsia" w:hAnsiTheme="minorEastAsia" w:eastAsiaTheme="minorEastAsia" w:cstheme="minorEastAsia"/>
          <w:sz w:val="32"/>
          <w:szCs w:val="32"/>
        </w:rPr>
        <w:fldChar w:fldCharType="separate"/>
      </w:r>
      <w:r>
        <w:rPr>
          <w:rStyle w:val="13"/>
          <w:rFonts w:hint="eastAsia" w:asciiTheme="minorEastAsia" w:hAnsiTheme="minorEastAsia" w:eastAsiaTheme="minorEastAsia" w:cstheme="minorEastAsia"/>
          <w:color w:val="333333"/>
          <w:sz w:val="32"/>
          <w:szCs w:val="32"/>
          <w:shd w:val="clear" w:color="auto" w:fill="FFFFFF"/>
        </w:rPr>
        <w:t>方面</w:t>
      </w:r>
      <w:r>
        <w:rPr>
          <w:rStyle w:val="13"/>
          <w:rFonts w:hint="eastAsia" w:asciiTheme="minorEastAsia" w:hAnsiTheme="minorEastAsia" w:eastAsiaTheme="minorEastAsia" w:cstheme="minorEastAsia"/>
          <w:color w:val="333333"/>
          <w:sz w:val="32"/>
          <w:szCs w:val="32"/>
          <w:shd w:val="clear" w:color="auto" w:fill="FFFFFF"/>
        </w:rPr>
        <w:fldChar w:fldCharType="end"/>
      </w:r>
      <w:r>
        <w:rPr>
          <w:rFonts w:hint="eastAsia" w:asciiTheme="minorEastAsia" w:hAnsiTheme="minorEastAsia" w:eastAsiaTheme="minorEastAsia" w:cstheme="minorEastAsia"/>
          <w:color w:val="333333"/>
          <w:sz w:val="32"/>
          <w:szCs w:val="32"/>
          <w:shd w:val="clear" w:color="auto" w:fill="FFFFFF"/>
        </w:rPr>
        <w:t>的</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"http://www.so.com/s?q=%E5%85%B3%E7%B3%BB&amp;ie=utf-8&amp;src=internal_wenda_recommend_textn" </w:instrText>
      </w:r>
      <w:r>
        <w:rPr>
          <w:rFonts w:hint="eastAsia" w:asciiTheme="minorEastAsia" w:hAnsiTheme="minorEastAsia" w:eastAsiaTheme="minorEastAsia" w:cstheme="minorEastAsia"/>
          <w:sz w:val="32"/>
          <w:szCs w:val="32"/>
        </w:rPr>
        <w:fldChar w:fldCharType="separate"/>
      </w:r>
      <w:r>
        <w:rPr>
          <w:rStyle w:val="13"/>
          <w:rFonts w:hint="eastAsia" w:asciiTheme="minorEastAsia" w:hAnsiTheme="minorEastAsia" w:eastAsiaTheme="minorEastAsia" w:cstheme="minorEastAsia"/>
          <w:color w:val="333333"/>
          <w:sz w:val="32"/>
          <w:szCs w:val="32"/>
          <w:shd w:val="clear" w:color="auto" w:fill="FFFFFF"/>
        </w:rPr>
        <w:t>关系</w:t>
      </w:r>
      <w:r>
        <w:rPr>
          <w:rStyle w:val="13"/>
          <w:rFonts w:hint="eastAsia" w:asciiTheme="minorEastAsia" w:hAnsiTheme="minorEastAsia" w:eastAsiaTheme="minorEastAsia" w:cstheme="minorEastAsia"/>
          <w:color w:val="333333"/>
          <w:sz w:val="32"/>
          <w:szCs w:val="32"/>
          <w:shd w:val="clear" w:color="auto" w:fill="FFFFFF"/>
        </w:rPr>
        <w:fldChar w:fldCharType="end"/>
      </w:r>
      <w:r>
        <w:rPr>
          <w:rFonts w:hint="eastAsia" w:asciiTheme="minorEastAsia" w:hAnsiTheme="minorEastAsia" w:eastAsiaTheme="minorEastAsia" w:cstheme="minorEastAsia"/>
          <w:color w:val="333333"/>
          <w:sz w:val="32"/>
          <w:szCs w:val="32"/>
          <w:shd w:val="clear" w:color="auto" w:fill="FFFFFF"/>
        </w:rPr>
        <w:t>。</w:t>
      </w:r>
    </w:p>
    <w:p>
      <w:pPr>
        <w:pStyle w:val="12"/>
        <w:shd w:val="clear" w:color="auto" w:fill="FFFFFF"/>
        <w:spacing w:before="0" w:beforeAutospacing="0" w:after="0" w:afterAutospacing="0"/>
        <w:ind w:firstLine="640"/>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333333"/>
          <w:sz w:val="32"/>
          <w:szCs w:val="32"/>
          <w:shd w:val="clear" w:color="auto" w:fill="FFFFFF"/>
        </w:rPr>
        <w:t>2、负责联系各</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"http://www.so.com/s?q=%E6%B0%91%E4%B8%BB%E5%85%9A%E6%B4%BE&amp;ie=utf-8&amp;src=internal_wenda_recommend_textn" </w:instrText>
      </w:r>
      <w:r>
        <w:rPr>
          <w:rFonts w:hint="eastAsia" w:asciiTheme="minorEastAsia" w:hAnsiTheme="minorEastAsia" w:eastAsiaTheme="minorEastAsia" w:cstheme="minorEastAsia"/>
          <w:sz w:val="32"/>
          <w:szCs w:val="32"/>
        </w:rPr>
        <w:fldChar w:fldCharType="separate"/>
      </w:r>
      <w:r>
        <w:rPr>
          <w:rStyle w:val="13"/>
          <w:rFonts w:hint="eastAsia" w:asciiTheme="minorEastAsia" w:hAnsiTheme="minorEastAsia" w:eastAsiaTheme="minorEastAsia" w:cstheme="minorEastAsia"/>
          <w:color w:val="333333"/>
          <w:sz w:val="32"/>
          <w:szCs w:val="32"/>
          <w:shd w:val="clear" w:color="auto" w:fill="FFFFFF"/>
        </w:rPr>
        <w:t>民主党派</w:t>
      </w:r>
      <w:r>
        <w:rPr>
          <w:rStyle w:val="13"/>
          <w:rFonts w:hint="eastAsia" w:asciiTheme="minorEastAsia" w:hAnsiTheme="minorEastAsia" w:eastAsiaTheme="minorEastAsia" w:cstheme="minorEastAsia"/>
          <w:color w:val="333333"/>
          <w:sz w:val="32"/>
          <w:szCs w:val="32"/>
          <w:shd w:val="clear" w:color="auto" w:fill="FFFFFF"/>
        </w:rPr>
        <w:fldChar w:fldCharType="end"/>
      </w:r>
      <w:r>
        <w:rPr>
          <w:rFonts w:hint="eastAsia" w:asciiTheme="minorEastAsia" w:hAnsiTheme="minorEastAsia" w:eastAsiaTheme="minorEastAsia" w:cstheme="minorEastAsia"/>
          <w:color w:val="333333"/>
          <w:sz w:val="32"/>
          <w:szCs w:val="32"/>
          <w:shd w:val="clear" w:color="auto" w:fill="FFFFFF"/>
        </w:rPr>
        <w:t>和无党派代表人士，通报情况，反映意见和建议；研究、贯彻落实与完善</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"http://www.so.com/s?q=%E5%A4%9A%E5%85%9A%E5%90%88%E4%BD%9C&amp;ie=utf-8&amp;src=internal_wenda_recommend_textn" </w:instrText>
      </w:r>
      <w:r>
        <w:rPr>
          <w:rFonts w:hint="eastAsia" w:asciiTheme="minorEastAsia" w:hAnsiTheme="minorEastAsia" w:eastAsiaTheme="minorEastAsia" w:cstheme="minorEastAsia"/>
          <w:sz w:val="32"/>
          <w:szCs w:val="32"/>
        </w:rPr>
        <w:fldChar w:fldCharType="separate"/>
      </w:r>
      <w:r>
        <w:rPr>
          <w:rStyle w:val="13"/>
          <w:rFonts w:hint="eastAsia" w:asciiTheme="minorEastAsia" w:hAnsiTheme="minorEastAsia" w:eastAsiaTheme="minorEastAsia" w:cstheme="minorEastAsia"/>
          <w:color w:val="333333"/>
          <w:sz w:val="32"/>
          <w:szCs w:val="32"/>
          <w:shd w:val="clear" w:color="auto" w:fill="FFFFFF"/>
        </w:rPr>
        <w:t>多党合作</w:t>
      </w:r>
      <w:r>
        <w:rPr>
          <w:rStyle w:val="13"/>
          <w:rFonts w:hint="eastAsia" w:asciiTheme="minorEastAsia" w:hAnsiTheme="minorEastAsia" w:eastAsiaTheme="minorEastAsia" w:cstheme="minorEastAsia"/>
          <w:color w:val="333333"/>
          <w:sz w:val="32"/>
          <w:szCs w:val="32"/>
          <w:shd w:val="clear" w:color="auto" w:fill="FFFFFF"/>
        </w:rPr>
        <w:fldChar w:fldCharType="end"/>
      </w:r>
      <w:r>
        <w:rPr>
          <w:rFonts w:hint="eastAsia" w:asciiTheme="minorEastAsia" w:hAnsiTheme="minorEastAsia" w:eastAsiaTheme="minorEastAsia" w:cstheme="minorEastAsia"/>
          <w:color w:val="333333"/>
          <w:sz w:val="32"/>
          <w:szCs w:val="32"/>
          <w:shd w:val="clear" w:color="auto" w:fill="FFFFFF"/>
        </w:rPr>
        <w:t>和</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"http://www.so.com/s?q=%E6%94%BF%E6%B2%BB%E5%8D%8F%E5%95%86%E5%88%B6%E5%BA%A6&amp;ie=utf-8&amp;src=internal_wenda_recommend_textn" </w:instrText>
      </w:r>
      <w:r>
        <w:rPr>
          <w:rFonts w:hint="eastAsia" w:asciiTheme="minorEastAsia" w:hAnsiTheme="minorEastAsia" w:eastAsiaTheme="minorEastAsia" w:cstheme="minorEastAsia"/>
          <w:sz w:val="32"/>
          <w:szCs w:val="32"/>
        </w:rPr>
        <w:fldChar w:fldCharType="separate"/>
      </w:r>
      <w:r>
        <w:rPr>
          <w:rStyle w:val="13"/>
          <w:rFonts w:hint="eastAsia" w:asciiTheme="minorEastAsia" w:hAnsiTheme="minorEastAsia" w:eastAsiaTheme="minorEastAsia" w:cstheme="minorEastAsia"/>
          <w:color w:val="333333"/>
          <w:sz w:val="32"/>
          <w:szCs w:val="32"/>
          <w:shd w:val="clear" w:color="auto" w:fill="FFFFFF"/>
        </w:rPr>
        <w:t>政治协商制度</w:t>
      </w:r>
      <w:r>
        <w:rPr>
          <w:rStyle w:val="13"/>
          <w:rFonts w:hint="eastAsia" w:asciiTheme="minorEastAsia" w:hAnsiTheme="minorEastAsia" w:eastAsiaTheme="minorEastAsia" w:cstheme="minorEastAsia"/>
          <w:color w:val="333333"/>
          <w:sz w:val="32"/>
          <w:szCs w:val="32"/>
          <w:shd w:val="clear" w:color="auto" w:fill="FFFFFF"/>
        </w:rPr>
        <w:fldChar w:fldCharType="end"/>
      </w:r>
      <w:r>
        <w:rPr>
          <w:rFonts w:hint="eastAsia" w:asciiTheme="minorEastAsia" w:hAnsiTheme="minorEastAsia" w:eastAsiaTheme="minorEastAsia" w:cstheme="minorEastAsia"/>
          <w:color w:val="333333"/>
          <w:sz w:val="32"/>
          <w:szCs w:val="32"/>
          <w:shd w:val="clear" w:color="auto" w:fill="FFFFFF"/>
        </w:rPr>
        <w:t>以及对民主党派工作的有关方针、政策；落实中央和省委、市委、区委关于发挥民主党派和无党派代表人士参政议政和民主监督作用的工作；为区委与区各民主党派进行</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"http://www.so.com/s?q=%E6%94%BF%E6%B2%BB%E5%8D%8F%E5%95%86&amp;ie=utf-8&amp;src=internal_wenda_recommend_textn" </w:instrText>
      </w:r>
      <w:r>
        <w:rPr>
          <w:rFonts w:hint="eastAsia" w:asciiTheme="minorEastAsia" w:hAnsiTheme="minorEastAsia" w:eastAsiaTheme="minorEastAsia" w:cstheme="minorEastAsia"/>
          <w:sz w:val="32"/>
          <w:szCs w:val="32"/>
        </w:rPr>
        <w:fldChar w:fldCharType="separate"/>
      </w:r>
      <w:r>
        <w:rPr>
          <w:rStyle w:val="13"/>
          <w:rFonts w:hint="eastAsia" w:asciiTheme="minorEastAsia" w:hAnsiTheme="minorEastAsia" w:eastAsiaTheme="minorEastAsia" w:cstheme="minorEastAsia"/>
          <w:color w:val="333333"/>
          <w:sz w:val="32"/>
          <w:szCs w:val="32"/>
          <w:shd w:val="clear" w:color="auto" w:fill="FFFFFF"/>
        </w:rPr>
        <w:t>政治协商</w:t>
      </w:r>
      <w:r>
        <w:rPr>
          <w:rStyle w:val="13"/>
          <w:rFonts w:hint="eastAsia" w:asciiTheme="minorEastAsia" w:hAnsiTheme="minorEastAsia" w:eastAsiaTheme="minorEastAsia" w:cstheme="minorEastAsia"/>
          <w:color w:val="333333"/>
          <w:sz w:val="32"/>
          <w:szCs w:val="32"/>
          <w:shd w:val="clear" w:color="auto" w:fill="FFFFFF"/>
        </w:rPr>
        <w:fldChar w:fldCharType="end"/>
      </w:r>
      <w:r>
        <w:rPr>
          <w:rFonts w:hint="eastAsia" w:asciiTheme="minorEastAsia" w:hAnsiTheme="minorEastAsia" w:eastAsiaTheme="minorEastAsia" w:cstheme="minorEastAsia"/>
          <w:color w:val="333333"/>
          <w:sz w:val="32"/>
          <w:szCs w:val="32"/>
          <w:shd w:val="clear" w:color="auto" w:fill="FFFFFF"/>
        </w:rPr>
        <w:t>做好组织联络工作；受区委委托，向民主党派、无党派人士通报区委精神；支持、帮助区各民主党派加强自身建设，选拔培养新一代代表人物；协助有关</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"http://www.so.com/s?q=%E9%83%A8%E9%97%A8&amp;ie=utf-8&amp;src=internal_wenda_recommend_textn" </w:instrText>
      </w:r>
      <w:r>
        <w:rPr>
          <w:rFonts w:hint="eastAsia" w:asciiTheme="minorEastAsia" w:hAnsiTheme="minorEastAsia" w:eastAsiaTheme="minorEastAsia" w:cstheme="minorEastAsia"/>
          <w:sz w:val="32"/>
          <w:szCs w:val="32"/>
        </w:rPr>
        <w:fldChar w:fldCharType="separate"/>
      </w:r>
      <w:r>
        <w:rPr>
          <w:rStyle w:val="13"/>
          <w:rFonts w:hint="eastAsia" w:asciiTheme="minorEastAsia" w:hAnsiTheme="minorEastAsia" w:eastAsiaTheme="minorEastAsia" w:cstheme="minorEastAsia"/>
          <w:color w:val="333333"/>
          <w:sz w:val="32"/>
          <w:szCs w:val="32"/>
          <w:shd w:val="clear" w:color="auto" w:fill="FFFFFF"/>
        </w:rPr>
        <w:t>部门</w:t>
      </w:r>
      <w:r>
        <w:rPr>
          <w:rStyle w:val="13"/>
          <w:rFonts w:hint="eastAsia" w:asciiTheme="minorEastAsia" w:hAnsiTheme="minorEastAsia" w:eastAsiaTheme="minorEastAsia" w:cstheme="minorEastAsia"/>
          <w:color w:val="333333"/>
          <w:sz w:val="32"/>
          <w:szCs w:val="32"/>
          <w:shd w:val="clear" w:color="auto" w:fill="FFFFFF"/>
        </w:rPr>
        <w:fldChar w:fldCharType="end"/>
      </w:r>
      <w:r>
        <w:rPr>
          <w:rFonts w:hint="eastAsia" w:asciiTheme="minorEastAsia" w:hAnsiTheme="minorEastAsia" w:eastAsiaTheme="minorEastAsia" w:cstheme="minorEastAsia"/>
          <w:color w:val="333333"/>
          <w:sz w:val="32"/>
          <w:szCs w:val="32"/>
          <w:shd w:val="clear" w:color="auto" w:fill="FFFFFF"/>
        </w:rPr>
        <w:t>帮助区各民主党派改善工作条件。</w:t>
      </w:r>
    </w:p>
    <w:p>
      <w:pPr>
        <w:pStyle w:val="12"/>
        <w:shd w:val="clear" w:color="auto" w:fill="FFFFFF"/>
        <w:spacing w:before="0" w:beforeAutospacing="0" w:after="0" w:afterAutospacing="0"/>
        <w:ind w:firstLine="640"/>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333333"/>
          <w:sz w:val="32"/>
          <w:szCs w:val="32"/>
          <w:shd w:val="clear" w:color="auto" w:fill="FFFFFF"/>
        </w:rPr>
        <w:t>3、负责各民主党派组织、党外人士的政治安排；会同有关部门做好培养、考察、选拔、推荐、安排民主党派党外人士担任</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"http://www.so.com/s?q=%E6%94%BF%E5%BA%9C&amp;ie=utf-8&amp;src=internal_wenda_recommend_textn" </w:instrText>
      </w:r>
      <w:r>
        <w:rPr>
          <w:rFonts w:hint="eastAsia" w:asciiTheme="minorEastAsia" w:hAnsiTheme="minorEastAsia" w:eastAsiaTheme="minorEastAsia" w:cstheme="minorEastAsia"/>
          <w:sz w:val="32"/>
          <w:szCs w:val="32"/>
        </w:rPr>
        <w:fldChar w:fldCharType="separate"/>
      </w:r>
      <w:r>
        <w:rPr>
          <w:rStyle w:val="13"/>
          <w:rFonts w:hint="eastAsia" w:asciiTheme="minorEastAsia" w:hAnsiTheme="minorEastAsia" w:eastAsiaTheme="minorEastAsia" w:cstheme="minorEastAsia"/>
          <w:color w:val="333333"/>
          <w:sz w:val="32"/>
          <w:szCs w:val="32"/>
          <w:shd w:val="clear" w:color="auto" w:fill="FFFFFF"/>
        </w:rPr>
        <w:t>政府</w:t>
      </w:r>
      <w:r>
        <w:rPr>
          <w:rStyle w:val="13"/>
          <w:rFonts w:hint="eastAsia" w:asciiTheme="minorEastAsia" w:hAnsiTheme="minorEastAsia" w:eastAsiaTheme="minorEastAsia" w:cstheme="minorEastAsia"/>
          <w:color w:val="333333"/>
          <w:sz w:val="32"/>
          <w:szCs w:val="32"/>
          <w:shd w:val="clear" w:color="auto" w:fill="FFFFFF"/>
        </w:rPr>
        <w:fldChar w:fldCharType="end"/>
      </w:r>
      <w:r>
        <w:rPr>
          <w:rFonts w:hint="eastAsia" w:asciiTheme="minorEastAsia" w:hAnsiTheme="minorEastAsia" w:eastAsiaTheme="minorEastAsia" w:cstheme="minorEastAsia"/>
          <w:color w:val="333333"/>
          <w:sz w:val="32"/>
          <w:szCs w:val="32"/>
          <w:shd w:val="clear" w:color="auto" w:fill="FFFFFF"/>
        </w:rPr>
        <w:t>及其部门和</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"http://www.so.com/s?q=%E5%8F%B8%E6%B3%95%E6%9C%BA%E5%85%B3&amp;ie=utf-8&amp;src=internal_wenda_recommend_textn" </w:instrText>
      </w:r>
      <w:r>
        <w:rPr>
          <w:rFonts w:hint="eastAsia" w:asciiTheme="minorEastAsia" w:hAnsiTheme="minorEastAsia" w:eastAsiaTheme="minorEastAsia" w:cstheme="minorEastAsia"/>
          <w:sz w:val="32"/>
          <w:szCs w:val="32"/>
        </w:rPr>
        <w:fldChar w:fldCharType="separate"/>
      </w:r>
      <w:r>
        <w:rPr>
          <w:rStyle w:val="13"/>
          <w:rFonts w:hint="eastAsia" w:asciiTheme="minorEastAsia" w:hAnsiTheme="minorEastAsia" w:eastAsiaTheme="minorEastAsia" w:cstheme="minorEastAsia"/>
          <w:color w:val="333333"/>
          <w:sz w:val="32"/>
          <w:szCs w:val="32"/>
          <w:shd w:val="clear" w:color="auto" w:fill="FFFFFF"/>
        </w:rPr>
        <w:t>司法机关</w:t>
      </w:r>
      <w:r>
        <w:rPr>
          <w:rStyle w:val="13"/>
          <w:rFonts w:hint="eastAsia" w:asciiTheme="minorEastAsia" w:hAnsiTheme="minorEastAsia" w:eastAsiaTheme="minorEastAsia" w:cstheme="minorEastAsia"/>
          <w:color w:val="333333"/>
          <w:sz w:val="32"/>
          <w:szCs w:val="32"/>
          <w:shd w:val="clear" w:color="auto" w:fill="FFFFFF"/>
        </w:rPr>
        <w:fldChar w:fldCharType="end"/>
      </w:r>
      <w:r>
        <w:rPr>
          <w:rFonts w:hint="eastAsia" w:asciiTheme="minorEastAsia" w:hAnsiTheme="minorEastAsia" w:eastAsiaTheme="minorEastAsia" w:cstheme="minorEastAsia"/>
          <w:color w:val="333333"/>
          <w:sz w:val="32"/>
          <w:szCs w:val="32"/>
          <w:shd w:val="clear" w:color="auto" w:fill="FFFFFF"/>
        </w:rPr>
        <w:t>领导职务的工作；协同做好民主党派、无党派人士代表的培训工作；协助民主党派、工商联管理干部工作。</w:t>
      </w:r>
    </w:p>
    <w:p>
      <w:pPr>
        <w:pStyle w:val="12"/>
        <w:shd w:val="clear" w:color="auto" w:fill="FFFFFF"/>
        <w:spacing w:before="0" w:beforeAutospacing="0" w:after="0" w:afterAutospacing="0"/>
        <w:ind w:firstLine="640"/>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333333"/>
          <w:sz w:val="32"/>
          <w:szCs w:val="32"/>
          <w:shd w:val="clear" w:color="auto" w:fill="FFFFFF"/>
        </w:rPr>
        <w:t>4、调查研究并反映</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"http://www.so.com/s?q=%E9%9D%9E%E5%85%AC%E6%9C%89%E5%88%B6%E7%BB%8F%E6%B5%8E&amp;ie=utf-8&amp;src=internal_wenda_recommend_textn" </w:instrText>
      </w:r>
      <w:r>
        <w:rPr>
          <w:rFonts w:hint="eastAsia" w:asciiTheme="minorEastAsia" w:hAnsiTheme="minorEastAsia" w:eastAsiaTheme="minorEastAsia" w:cstheme="minorEastAsia"/>
          <w:sz w:val="32"/>
          <w:szCs w:val="32"/>
        </w:rPr>
        <w:fldChar w:fldCharType="separate"/>
      </w:r>
      <w:r>
        <w:rPr>
          <w:rStyle w:val="13"/>
          <w:rFonts w:hint="eastAsia" w:asciiTheme="minorEastAsia" w:hAnsiTheme="minorEastAsia" w:eastAsiaTheme="minorEastAsia" w:cstheme="minorEastAsia"/>
          <w:color w:val="333333"/>
          <w:sz w:val="32"/>
          <w:szCs w:val="32"/>
          <w:shd w:val="clear" w:color="auto" w:fill="FFFFFF"/>
        </w:rPr>
        <w:t>非公有制经济</w:t>
      </w:r>
      <w:r>
        <w:rPr>
          <w:rStyle w:val="13"/>
          <w:rFonts w:hint="eastAsia" w:asciiTheme="minorEastAsia" w:hAnsiTheme="minorEastAsia" w:eastAsiaTheme="minorEastAsia" w:cstheme="minorEastAsia"/>
          <w:color w:val="333333"/>
          <w:sz w:val="32"/>
          <w:szCs w:val="32"/>
          <w:shd w:val="clear" w:color="auto" w:fill="FFFFFF"/>
        </w:rPr>
        <w:fldChar w:fldCharType="end"/>
      </w:r>
      <w:r>
        <w:rPr>
          <w:rFonts w:hint="eastAsia" w:asciiTheme="minorEastAsia" w:hAnsiTheme="minorEastAsia" w:eastAsiaTheme="minorEastAsia" w:cstheme="minorEastAsia"/>
          <w:color w:val="333333"/>
          <w:sz w:val="32"/>
          <w:szCs w:val="32"/>
          <w:shd w:val="clear" w:color="auto" w:fill="FFFFFF"/>
        </w:rPr>
        <w:t>代表人士的情况，</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"http://www.so.com/s?q=%E5%8D%8F%E8%B0%83%E5%85%B3%E7%B3%BB&amp;ie=utf-8&amp;src=internal_wenda_recommend_textn" </w:instrText>
      </w:r>
      <w:r>
        <w:rPr>
          <w:rFonts w:hint="eastAsia" w:asciiTheme="minorEastAsia" w:hAnsiTheme="minorEastAsia" w:eastAsiaTheme="minorEastAsia" w:cstheme="minorEastAsia"/>
          <w:sz w:val="32"/>
          <w:szCs w:val="32"/>
        </w:rPr>
        <w:fldChar w:fldCharType="separate"/>
      </w:r>
      <w:r>
        <w:rPr>
          <w:rStyle w:val="13"/>
          <w:rFonts w:hint="eastAsia" w:asciiTheme="minorEastAsia" w:hAnsiTheme="minorEastAsia" w:eastAsiaTheme="minorEastAsia" w:cstheme="minorEastAsia"/>
          <w:color w:val="333333"/>
          <w:sz w:val="32"/>
          <w:szCs w:val="32"/>
          <w:shd w:val="clear" w:color="auto" w:fill="FFFFFF"/>
        </w:rPr>
        <w:t>协调关系</w:t>
      </w:r>
      <w:r>
        <w:rPr>
          <w:rStyle w:val="13"/>
          <w:rFonts w:hint="eastAsia" w:asciiTheme="minorEastAsia" w:hAnsiTheme="minorEastAsia" w:eastAsiaTheme="minorEastAsia" w:cstheme="minorEastAsia"/>
          <w:color w:val="333333"/>
          <w:sz w:val="32"/>
          <w:szCs w:val="32"/>
          <w:shd w:val="clear" w:color="auto" w:fill="FFFFFF"/>
        </w:rPr>
        <w:fldChar w:fldCharType="end"/>
      </w:r>
      <w:r>
        <w:rPr>
          <w:rFonts w:hint="eastAsia" w:asciiTheme="minorEastAsia" w:hAnsiTheme="minorEastAsia" w:eastAsiaTheme="minorEastAsia" w:cstheme="minorEastAsia"/>
          <w:color w:val="333333"/>
          <w:sz w:val="32"/>
          <w:szCs w:val="32"/>
          <w:shd w:val="clear" w:color="auto" w:fill="FFFFFF"/>
        </w:rPr>
        <w:t>，提出政策建议；团结、帮助、引导、教育非公有制经济人士，开展</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"http://www.so.com/s?q=%E6%80%9D%E6%83%B3%E6%94%BF%E6%B2%BB%E5%B7%A5%E4%BD%9C&amp;ie=utf-8&amp;src=internal_wenda_recommend_textn" </w:instrText>
      </w:r>
      <w:r>
        <w:rPr>
          <w:rFonts w:hint="eastAsia" w:asciiTheme="minorEastAsia" w:hAnsiTheme="minorEastAsia" w:eastAsiaTheme="minorEastAsia" w:cstheme="minorEastAsia"/>
          <w:sz w:val="32"/>
          <w:szCs w:val="32"/>
        </w:rPr>
        <w:fldChar w:fldCharType="separate"/>
      </w:r>
      <w:r>
        <w:rPr>
          <w:rStyle w:val="13"/>
          <w:rFonts w:hint="eastAsia" w:asciiTheme="minorEastAsia" w:hAnsiTheme="minorEastAsia" w:eastAsiaTheme="minorEastAsia" w:cstheme="minorEastAsia"/>
          <w:color w:val="333333"/>
          <w:sz w:val="32"/>
          <w:szCs w:val="32"/>
          <w:shd w:val="clear" w:color="auto" w:fill="FFFFFF"/>
        </w:rPr>
        <w:t>思想政治工作</w:t>
      </w:r>
      <w:r>
        <w:rPr>
          <w:rStyle w:val="13"/>
          <w:rFonts w:hint="eastAsia" w:asciiTheme="minorEastAsia" w:hAnsiTheme="minorEastAsia" w:eastAsiaTheme="minorEastAsia" w:cstheme="minorEastAsia"/>
          <w:color w:val="333333"/>
          <w:sz w:val="32"/>
          <w:szCs w:val="32"/>
          <w:shd w:val="clear" w:color="auto" w:fill="FFFFFF"/>
        </w:rPr>
        <w:fldChar w:fldCharType="end"/>
      </w:r>
      <w:r>
        <w:rPr>
          <w:rFonts w:hint="eastAsia" w:asciiTheme="minorEastAsia" w:hAnsiTheme="minorEastAsia" w:eastAsiaTheme="minorEastAsia" w:cstheme="minorEastAsia"/>
          <w:color w:val="333333"/>
          <w:sz w:val="32"/>
          <w:szCs w:val="32"/>
          <w:shd w:val="clear" w:color="auto" w:fill="FFFFFF"/>
        </w:rPr>
        <w:t>。</w:t>
      </w:r>
    </w:p>
    <w:p>
      <w:pPr>
        <w:pStyle w:val="12"/>
        <w:shd w:val="clear" w:color="auto" w:fill="FFFFFF"/>
        <w:spacing w:before="0" w:beforeAutospacing="0" w:after="0" w:afterAutospacing="0"/>
        <w:ind w:firstLine="640"/>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333333"/>
          <w:sz w:val="32"/>
          <w:szCs w:val="32"/>
          <w:shd w:val="clear" w:color="auto" w:fill="FFFFFF"/>
        </w:rPr>
        <w:t>5、负责开展以祖国统一为</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"http://www.so.com/s?q=%E9%87%8D%E7%82%B9&amp;ie=utf-8&amp;src=internal_wenda_recommend_textn" </w:instrText>
      </w:r>
      <w:r>
        <w:rPr>
          <w:rFonts w:hint="eastAsia" w:asciiTheme="minorEastAsia" w:hAnsiTheme="minorEastAsia" w:eastAsiaTheme="minorEastAsia" w:cstheme="minorEastAsia"/>
          <w:sz w:val="32"/>
          <w:szCs w:val="32"/>
        </w:rPr>
        <w:fldChar w:fldCharType="separate"/>
      </w:r>
      <w:r>
        <w:rPr>
          <w:rStyle w:val="13"/>
          <w:rFonts w:hint="eastAsia" w:asciiTheme="minorEastAsia" w:hAnsiTheme="minorEastAsia" w:eastAsiaTheme="minorEastAsia" w:cstheme="minorEastAsia"/>
          <w:color w:val="333333"/>
          <w:sz w:val="32"/>
          <w:szCs w:val="32"/>
          <w:shd w:val="clear" w:color="auto" w:fill="FFFFFF"/>
        </w:rPr>
        <w:t>重点</w:t>
      </w:r>
      <w:r>
        <w:rPr>
          <w:rStyle w:val="13"/>
          <w:rFonts w:hint="eastAsia" w:asciiTheme="minorEastAsia" w:hAnsiTheme="minorEastAsia" w:eastAsiaTheme="minorEastAsia" w:cstheme="minorEastAsia"/>
          <w:color w:val="333333"/>
          <w:sz w:val="32"/>
          <w:szCs w:val="32"/>
          <w:shd w:val="clear" w:color="auto" w:fill="FFFFFF"/>
        </w:rPr>
        <w:fldChar w:fldCharType="end"/>
      </w:r>
      <w:r>
        <w:rPr>
          <w:rFonts w:hint="eastAsia" w:asciiTheme="minorEastAsia" w:hAnsiTheme="minorEastAsia" w:eastAsiaTheme="minorEastAsia" w:cstheme="minorEastAsia"/>
          <w:color w:val="333333"/>
          <w:sz w:val="32"/>
          <w:szCs w:val="32"/>
          <w:shd w:val="clear" w:color="auto" w:fill="FFFFFF"/>
        </w:rPr>
        <w:t>的海外统战工作；联系香港、澳门、台湾和海外有关</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"http://www.so.com/s?q=%E7%A4%BE%E5%9B%A2&amp;ie=utf-8&amp;src=internal_wenda_recommend_textn" </w:instrText>
      </w:r>
      <w:r>
        <w:rPr>
          <w:rFonts w:hint="eastAsia" w:asciiTheme="minorEastAsia" w:hAnsiTheme="minorEastAsia" w:eastAsiaTheme="minorEastAsia" w:cstheme="minorEastAsia"/>
          <w:sz w:val="32"/>
          <w:szCs w:val="32"/>
        </w:rPr>
        <w:fldChar w:fldCharType="separate"/>
      </w:r>
      <w:r>
        <w:rPr>
          <w:rStyle w:val="13"/>
          <w:rFonts w:hint="eastAsia" w:asciiTheme="minorEastAsia" w:hAnsiTheme="minorEastAsia" w:eastAsiaTheme="minorEastAsia" w:cstheme="minorEastAsia"/>
          <w:color w:val="333333"/>
          <w:sz w:val="32"/>
          <w:szCs w:val="32"/>
          <w:shd w:val="clear" w:color="auto" w:fill="FFFFFF"/>
        </w:rPr>
        <w:t>社团</w:t>
      </w:r>
      <w:r>
        <w:rPr>
          <w:rStyle w:val="13"/>
          <w:rFonts w:hint="eastAsia" w:asciiTheme="minorEastAsia" w:hAnsiTheme="minorEastAsia" w:eastAsiaTheme="minorEastAsia" w:cstheme="minorEastAsia"/>
          <w:color w:val="333333"/>
          <w:sz w:val="32"/>
          <w:szCs w:val="32"/>
          <w:shd w:val="clear" w:color="auto" w:fill="FFFFFF"/>
        </w:rPr>
        <w:fldChar w:fldCharType="end"/>
      </w:r>
      <w:r>
        <w:rPr>
          <w:rFonts w:hint="eastAsia" w:asciiTheme="minorEastAsia" w:hAnsiTheme="minorEastAsia" w:eastAsiaTheme="minorEastAsia" w:cstheme="minorEastAsia"/>
          <w:color w:val="333333"/>
          <w:sz w:val="32"/>
          <w:szCs w:val="32"/>
          <w:shd w:val="clear" w:color="auto" w:fill="FFFFFF"/>
        </w:rPr>
        <w:t>及代表人士；协调港澳台统战工作。</w:t>
      </w:r>
    </w:p>
    <w:p>
      <w:pPr>
        <w:pStyle w:val="12"/>
        <w:shd w:val="clear" w:color="auto" w:fill="FFFFFF"/>
        <w:spacing w:before="0" w:beforeAutospacing="0" w:after="0" w:afterAutospacing="0"/>
        <w:ind w:firstLine="640"/>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333333"/>
          <w:sz w:val="32"/>
          <w:szCs w:val="32"/>
          <w:shd w:val="clear" w:color="auto" w:fill="FFFFFF"/>
        </w:rPr>
        <w:t>6、指导乡镇街道、系统、科局党委统战工作；协调政府各有关部门的统战工作；指导和协调区委台办、区民宗局、区工商联、区侨联</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"http://www.so.com/s?q=%E4%BA%8B%E5%8A%A1&amp;ie=utf-8&amp;src=internal_wenda_recommend_textn" </w:instrText>
      </w:r>
      <w:r>
        <w:rPr>
          <w:rFonts w:hint="eastAsia" w:asciiTheme="minorEastAsia" w:hAnsiTheme="minorEastAsia" w:eastAsiaTheme="minorEastAsia" w:cstheme="minorEastAsia"/>
          <w:sz w:val="32"/>
          <w:szCs w:val="32"/>
        </w:rPr>
        <w:fldChar w:fldCharType="separate"/>
      </w:r>
      <w:r>
        <w:rPr>
          <w:rStyle w:val="13"/>
          <w:rFonts w:hint="eastAsia" w:asciiTheme="minorEastAsia" w:hAnsiTheme="minorEastAsia" w:eastAsiaTheme="minorEastAsia" w:cstheme="minorEastAsia"/>
          <w:color w:val="333333"/>
          <w:sz w:val="32"/>
          <w:szCs w:val="32"/>
          <w:shd w:val="clear" w:color="auto" w:fill="FFFFFF"/>
        </w:rPr>
        <w:t>事务</w:t>
      </w:r>
      <w:r>
        <w:rPr>
          <w:rStyle w:val="13"/>
          <w:rFonts w:hint="eastAsia" w:asciiTheme="minorEastAsia" w:hAnsiTheme="minorEastAsia" w:eastAsiaTheme="minorEastAsia" w:cstheme="minorEastAsia"/>
          <w:color w:val="333333"/>
          <w:sz w:val="32"/>
          <w:szCs w:val="32"/>
          <w:shd w:val="clear" w:color="auto" w:fill="FFFFFF"/>
        </w:rPr>
        <w:fldChar w:fldCharType="end"/>
      </w:r>
      <w:r>
        <w:rPr>
          <w:rFonts w:hint="eastAsia" w:asciiTheme="minorEastAsia" w:hAnsiTheme="minorEastAsia" w:eastAsiaTheme="minorEastAsia" w:cstheme="minorEastAsia"/>
          <w:color w:val="333333"/>
          <w:sz w:val="32"/>
          <w:szCs w:val="32"/>
          <w:shd w:val="clear" w:color="auto" w:fill="FFFFFF"/>
        </w:rPr>
        <w:t>等各项统战工作。</w:t>
      </w:r>
    </w:p>
    <w:p>
      <w:pPr>
        <w:pStyle w:val="12"/>
        <w:shd w:val="clear" w:color="auto" w:fill="FFFFFF"/>
        <w:spacing w:before="0" w:beforeAutospacing="0" w:after="0" w:afterAutospacing="0"/>
        <w:ind w:firstLine="640"/>
        <w:rPr>
          <w:rFonts w:hint="eastAsia" w:asciiTheme="minorEastAsia" w:hAnsiTheme="minorEastAsia" w:eastAsiaTheme="minorEastAsia" w:cstheme="minorEastAsia"/>
          <w:color w:val="333333"/>
          <w:sz w:val="32"/>
          <w:szCs w:val="32"/>
        </w:rPr>
      </w:pPr>
      <w:r>
        <w:rPr>
          <w:rFonts w:hint="eastAsia" w:asciiTheme="minorEastAsia" w:hAnsiTheme="minorEastAsia" w:eastAsiaTheme="minorEastAsia" w:cstheme="minorEastAsia"/>
          <w:color w:val="333333"/>
          <w:sz w:val="32"/>
          <w:szCs w:val="32"/>
          <w:shd w:val="clear" w:color="auto" w:fill="FFFFFF"/>
        </w:rPr>
        <w:t>7、承办区委和省、市委统战部交办的其他</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"http://www.so.com/s?q=%E4%BA%8B%E9%A1%B9&amp;ie=utf-8&amp;src=internal_wenda_recommend_textn" </w:instrText>
      </w:r>
      <w:r>
        <w:rPr>
          <w:rFonts w:hint="eastAsia" w:asciiTheme="minorEastAsia" w:hAnsiTheme="minorEastAsia" w:eastAsiaTheme="minorEastAsia" w:cstheme="minorEastAsia"/>
          <w:sz w:val="32"/>
          <w:szCs w:val="32"/>
        </w:rPr>
        <w:fldChar w:fldCharType="separate"/>
      </w:r>
      <w:r>
        <w:rPr>
          <w:rStyle w:val="13"/>
          <w:rFonts w:hint="eastAsia" w:asciiTheme="minorEastAsia" w:hAnsiTheme="minorEastAsia" w:eastAsiaTheme="minorEastAsia" w:cstheme="minorEastAsia"/>
          <w:color w:val="333333"/>
          <w:sz w:val="32"/>
          <w:szCs w:val="32"/>
          <w:shd w:val="clear" w:color="auto" w:fill="FFFFFF"/>
        </w:rPr>
        <w:t>事项</w:t>
      </w:r>
      <w:r>
        <w:rPr>
          <w:rStyle w:val="13"/>
          <w:rFonts w:hint="eastAsia" w:asciiTheme="minorEastAsia" w:hAnsiTheme="minorEastAsia" w:eastAsiaTheme="minorEastAsia" w:cstheme="minorEastAsia"/>
          <w:color w:val="333333"/>
          <w:sz w:val="32"/>
          <w:szCs w:val="32"/>
          <w:shd w:val="clear" w:color="auto" w:fill="FFFFFF"/>
        </w:rPr>
        <w:fldChar w:fldCharType="end"/>
      </w:r>
      <w:r>
        <w:rPr>
          <w:rFonts w:hint="eastAsia" w:asciiTheme="minorEastAsia" w:hAnsiTheme="minorEastAsia" w:eastAsiaTheme="minorEastAsia" w:cstheme="minorEastAsia"/>
          <w:color w:val="333333"/>
          <w:sz w:val="32"/>
          <w:szCs w:val="32"/>
          <w:shd w:val="clear" w:color="auto" w:fill="FFFFFF"/>
        </w:rPr>
        <w:t>。</w:t>
      </w:r>
    </w:p>
    <w:p>
      <w:pPr>
        <w:widowControl/>
        <w:shd w:val="clear" w:color="auto" w:fill="FFFFFF"/>
        <w:spacing w:line="579" w:lineRule="atLeast"/>
        <w:ind w:firstLine="600"/>
        <w:jc w:val="left"/>
        <w:rPr>
          <w:rFonts w:hint="eastAsia" w:asciiTheme="minorEastAsia" w:hAnsiTheme="minorEastAsia" w:eastAsiaTheme="minorEastAsia" w:cstheme="minorEastAsia"/>
          <w:color w:val="333333"/>
          <w:kern w:val="0"/>
          <w:sz w:val="32"/>
          <w:szCs w:val="32"/>
          <w:shd w:val="clear" w:color="auto" w:fill="FFFFFF"/>
          <w:lang w:val="en-US" w:eastAsia="zh-CN" w:bidi="ar-SA"/>
        </w:rPr>
      </w:pPr>
      <w:r>
        <w:rPr>
          <w:rFonts w:hint="eastAsia" w:asciiTheme="minorEastAsia" w:hAnsiTheme="minorEastAsia" w:eastAsiaTheme="minorEastAsia" w:cstheme="minorEastAsia"/>
          <w:b/>
          <w:bCs/>
          <w:color w:val="444444"/>
          <w:kern w:val="0"/>
          <w:sz w:val="32"/>
          <w:szCs w:val="32"/>
        </w:rPr>
        <w:t>机构基本情况：</w:t>
      </w:r>
      <w:r>
        <w:rPr>
          <w:rFonts w:hint="eastAsia" w:asciiTheme="minorEastAsia" w:hAnsiTheme="minorEastAsia" w:eastAsiaTheme="minorEastAsia" w:cstheme="minorEastAsia"/>
          <w:color w:val="333333"/>
          <w:kern w:val="0"/>
          <w:sz w:val="32"/>
          <w:szCs w:val="32"/>
          <w:shd w:val="clear" w:color="auto" w:fill="FFFFFF"/>
          <w:lang w:val="en-US" w:eastAsia="zh-CN" w:bidi="ar-SA"/>
        </w:rPr>
        <w:t>单位构成包括双清区委统战部，双清区统一战线事务服务中心。区编办核定编制人数</w:t>
      </w:r>
      <w:r>
        <w:rPr>
          <w:rFonts w:hint="eastAsia" w:asciiTheme="minorEastAsia" w:hAnsiTheme="minorEastAsia" w:cstheme="minorEastAsia"/>
          <w:color w:val="333333"/>
          <w:kern w:val="0"/>
          <w:sz w:val="32"/>
          <w:szCs w:val="32"/>
          <w:shd w:val="clear" w:color="auto" w:fill="FFFFFF"/>
          <w:lang w:val="en-US" w:eastAsia="zh-CN" w:bidi="ar-SA"/>
        </w:rPr>
        <w:t>8</w:t>
      </w:r>
      <w:r>
        <w:rPr>
          <w:rFonts w:hint="eastAsia" w:asciiTheme="minorEastAsia" w:hAnsiTheme="minorEastAsia" w:eastAsiaTheme="minorEastAsia" w:cstheme="minorEastAsia"/>
          <w:color w:val="333333"/>
          <w:kern w:val="0"/>
          <w:sz w:val="32"/>
          <w:szCs w:val="32"/>
          <w:shd w:val="clear" w:color="auto" w:fill="FFFFFF"/>
          <w:lang w:val="en-US" w:eastAsia="zh-CN" w:bidi="ar-SA"/>
        </w:rPr>
        <w:t>人（其中行政编制</w:t>
      </w:r>
      <w:r>
        <w:rPr>
          <w:rFonts w:hint="eastAsia" w:asciiTheme="minorEastAsia" w:hAnsiTheme="minorEastAsia" w:cstheme="minorEastAsia"/>
          <w:color w:val="333333"/>
          <w:kern w:val="0"/>
          <w:sz w:val="32"/>
          <w:szCs w:val="32"/>
          <w:shd w:val="clear" w:color="auto" w:fill="FFFFFF"/>
          <w:lang w:val="en-US" w:eastAsia="zh-CN" w:bidi="ar-SA"/>
        </w:rPr>
        <w:t>5</w:t>
      </w:r>
      <w:r>
        <w:rPr>
          <w:rFonts w:hint="eastAsia" w:asciiTheme="minorEastAsia" w:hAnsiTheme="minorEastAsia" w:eastAsiaTheme="minorEastAsia" w:cstheme="minorEastAsia"/>
          <w:color w:val="333333"/>
          <w:kern w:val="0"/>
          <w:sz w:val="32"/>
          <w:szCs w:val="32"/>
          <w:shd w:val="clear" w:color="auto" w:fill="FFFFFF"/>
          <w:lang w:val="en-US" w:eastAsia="zh-CN" w:bidi="ar-SA"/>
        </w:rPr>
        <w:t>人、政法编制0人、事业编制</w:t>
      </w:r>
      <w:r>
        <w:rPr>
          <w:rFonts w:hint="eastAsia" w:asciiTheme="minorEastAsia" w:hAnsiTheme="minorEastAsia" w:cstheme="minorEastAsia"/>
          <w:color w:val="333333"/>
          <w:kern w:val="0"/>
          <w:sz w:val="32"/>
          <w:szCs w:val="32"/>
          <w:shd w:val="clear" w:color="auto" w:fill="FFFFFF"/>
          <w:lang w:val="en-US" w:eastAsia="zh-CN" w:bidi="ar-SA"/>
        </w:rPr>
        <w:t>3</w:t>
      </w:r>
      <w:r>
        <w:rPr>
          <w:rFonts w:hint="eastAsia" w:asciiTheme="minorEastAsia" w:hAnsiTheme="minorEastAsia" w:eastAsiaTheme="minorEastAsia" w:cstheme="minorEastAsia"/>
          <w:color w:val="333333"/>
          <w:kern w:val="0"/>
          <w:sz w:val="32"/>
          <w:szCs w:val="32"/>
          <w:shd w:val="clear" w:color="auto" w:fill="FFFFFF"/>
          <w:lang w:val="en-US" w:eastAsia="zh-CN" w:bidi="ar-SA"/>
        </w:rPr>
        <w:t>人、工勤编制0人），实有人数1</w:t>
      </w:r>
      <w:r>
        <w:rPr>
          <w:rFonts w:hint="eastAsia" w:asciiTheme="minorEastAsia" w:hAnsiTheme="minorEastAsia" w:cstheme="minorEastAsia"/>
          <w:color w:val="333333"/>
          <w:kern w:val="0"/>
          <w:sz w:val="32"/>
          <w:szCs w:val="32"/>
          <w:shd w:val="clear" w:color="auto" w:fill="FFFFFF"/>
          <w:lang w:val="en-US" w:eastAsia="zh-CN" w:bidi="ar-SA"/>
        </w:rPr>
        <w:t>2</w:t>
      </w:r>
      <w:r>
        <w:rPr>
          <w:rFonts w:hint="eastAsia" w:asciiTheme="minorEastAsia" w:hAnsiTheme="minorEastAsia" w:eastAsiaTheme="minorEastAsia" w:cstheme="minorEastAsia"/>
          <w:color w:val="333333"/>
          <w:kern w:val="0"/>
          <w:sz w:val="32"/>
          <w:szCs w:val="32"/>
          <w:shd w:val="clear" w:color="auto" w:fill="FFFFFF"/>
          <w:lang w:val="en-US" w:eastAsia="zh-CN" w:bidi="ar-SA"/>
        </w:rPr>
        <w:t>人，其中在职人员</w:t>
      </w:r>
      <w:r>
        <w:rPr>
          <w:rFonts w:hint="eastAsia" w:asciiTheme="minorEastAsia" w:hAnsiTheme="minorEastAsia" w:cstheme="minorEastAsia"/>
          <w:color w:val="333333"/>
          <w:kern w:val="0"/>
          <w:sz w:val="32"/>
          <w:szCs w:val="32"/>
          <w:shd w:val="clear" w:color="auto" w:fill="FFFFFF"/>
          <w:lang w:val="en-US" w:eastAsia="zh-CN" w:bidi="ar-SA"/>
        </w:rPr>
        <w:t>8</w:t>
      </w:r>
      <w:r>
        <w:rPr>
          <w:rFonts w:hint="eastAsia" w:asciiTheme="minorEastAsia" w:hAnsiTheme="minorEastAsia" w:eastAsiaTheme="minorEastAsia" w:cstheme="minorEastAsia"/>
          <w:color w:val="333333"/>
          <w:kern w:val="0"/>
          <w:sz w:val="32"/>
          <w:szCs w:val="32"/>
          <w:shd w:val="clear" w:color="auto" w:fill="FFFFFF"/>
          <w:lang w:val="en-US" w:eastAsia="zh-CN" w:bidi="ar-SA"/>
        </w:rPr>
        <w:t>人，退休人员4人。</w:t>
      </w:r>
    </w:p>
    <w:p>
      <w:pPr>
        <w:widowControl/>
        <w:numPr>
          <w:ilvl w:val="0"/>
          <w:numId w:val="1"/>
        </w:numPr>
        <w:shd w:val="clear" w:color="auto" w:fill="FFFFFF"/>
        <w:spacing w:line="579" w:lineRule="atLeast"/>
        <w:ind w:left="0" w:leftChars="0" w:firstLine="640" w:firstLineChars="0"/>
        <w:jc w:val="left"/>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部门整体支出管理及使用情况</w:t>
      </w:r>
    </w:p>
    <w:p>
      <w:pPr>
        <w:keepNext w:val="0"/>
        <w:keepLines w:val="0"/>
        <w:pageBreakBefore w:val="0"/>
        <w:widowControl/>
        <w:kinsoku/>
        <w:wordWrap/>
        <w:overflowPunct/>
        <w:topLinePunct w:val="0"/>
        <w:autoSpaceDE/>
        <w:autoSpaceDN/>
        <w:bidi w:val="0"/>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宋体" w:hAnsi="宋体" w:eastAsia="宋体" w:cs="宋体"/>
          <w:i w:val="0"/>
          <w:iCs w:val="0"/>
          <w:caps w:val="0"/>
          <w:color w:val="000000"/>
          <w:spacing w:val="0"/>
          <w:sz w:val="32"/>
          <w:szCs w:val="32"/>
        </w:rPr>
        <w:t>2021年度</w:t>
      </w:r>
      <w:r>
        <w:rPr>
          <w:rFonts w:hint="eastAsia" w:asciiTheme="minorEastAsia" w:hAnsiTheme="minorEastAsia" w:eastAsiaTheme="minorEastAsia" w:cstheme="minorEastAsia"/>
          <w:color w:val="333333"/>
          <w:kern w:val="0"/>
          <w:sz w:val="32"/>
          <w:szCs w:val="32"/>
          <w:shd w:val="clear" w:color="auto" w:fill="FFFFFF"/>
          <w:lang w:val="en-US" w:eastAsia="zh-CN" w:bidi="ar-SA"/>
        </w:rPr>
        <w:t>双清区委统战部</w:t>
      </w:r>
      <w:r>
        <w:rPr>
          <w:rFonts w:hint="eastAsia" w:ascii="宋体" w:hAnsi="宋体" w:eastAsia="宋体" w:cs="宋体"/>
          <w:i w:val="0"/>
          <w:iCs w:val="0"/>
          <w:caps w:val="0"/>
          <w:color w:val="000000"/>
          <w:spacing w:val="0"/>
          <w:sz w:val="32"/>
          <w:szCs w:val="32"/>
        </w:rPr>
        <w:t>收、支总计277.45万元。与上一年度相比，收、支总计各增加150.77万元，增长119.02%。主要是因为人员增加，统战事务工作经费增加。</w:t>
      </w:r>
    </w:p>
    <w:p>
      <w:pPr>
        <w:keepNext w:val="0"/>
        <w:keepLines w:val="0"/>
        <w:pageBreakBefore w:val="0"/>
        <w:widowControl/>
        <w:kinsoku/>
        <w:wordWrap/>
        <w:overflowPunct/>
        <w:topLinePunct w:val="0"/>
        <w:autoSpaceDE/>
        <w:autoSpaceDN/>
        <w:bidi w:val="0"/>
        <w:spacing w:line="540" w:lineRule="exact"/>
        <w:ind w:firstLine="640"/>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w:t>
      </w:r>
      <w:r>
        <w:rPr>
          <w:rFonts w:hint="default" w:ascii="仿宋" w:hAnsi="仿宋" w:eastAsia="仿宋" w:cs="仿宋"/>
          <w:b/>
          <w:bCs/>
          <w:sz w:val="32"/>
          <w:szCs w:val="32"/>
          <w:lang w:val="en-US" w:eastAsia="zh-CN"/>
        </w:rPr>
        <w:t>1</w:t>
      </w:r>
      <w:r>
        <w:rPr>
          <w:rFonts w:hint="eastAsia" w:ascii="仿宋" w:hAnsi="仿宋" w:eastAsia="仿宋" w:cs="仿宋"/>
          <w:b/>
          <w:bCs/>
          <w:sz w:val="32"/>
          <w:szCs w:val="32"/>
          <w:lang w:val="en-US" w:eastAsia="zh-CN"/>
        </w:rPr>
        <w:t>）</w:t>
      </w:r>
      <w:r>
        <w:rPr>
          <w:rFonts w:hint="default" w:ascii="仿宋" w:hAnsi="仿宋" w:eastAsia="仿宋" w:cs="仿宋"/>
          <w:b/>
          <w:bCs/>
          <w:sz w:val="32"/>
          <w:szCs w:val="32"/>
          <w:lang w:val="en-US" w:eastAsia="zh-CN"/>
        </w:rPr>
        <w:t xml:space="preserve">基本支出 </w:t>
      </w:r>
    </w:p>
    <w:p>
      <w:pPr>
        <w:keepNext w:val="0"/>
        <w:keepLines w:val="0"/>
        <w:pageBreakBefore w:val="0"/>
        <w:widowControl/>
        <w:kinsoku/>
        <w:wordWrap/>
        <w:overflowPunct/>
        <w:topLinePunct w:val="0"/>
        <w:autoSpaceDE/>
        <w:autoSpaceDN/>
        <w:bidi w:val="0"/>
        <w:spacing w:line="540" w:lineRule="exact"/>
        <w:ind w:firstLine="640"/>
        <w:jc w:val="both"/>
        <w:textAlignment w:val="auto"/>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lang w:val="en-US" w:eastAsia="zh-CN"/>
        </w:rPr>
        <w:t>2</w:t>
      </w:r>
      <w:r>
        <w:rPr>
          <w:rFonts w:hint="eastAsia" w:ascii="宋体" w:hAnsi="宋体" w:eastAsia="宋体" w:cs="宋体"/>
          <w:i w:val="0"/>
          <w:iCs w:val="0"/>
          <w:caps w:val="0"/>
          <w:color w:val="000000"/>
          <w:spacing w:val="0"/>
          <w:sz w:val="32"/>
          <w:szCs w:val="32"/>
        </w:rPr>
        <w:t>021年度财政拨款基本支出277.45万元，其中：人员经费152.4万元，占基本支出的54.93%，主要包括：基本工资、津贴补贴、奖金、伙食补助费、绩效工资、机关事业单位基本养老保险缴费、职业年金缴费、职工基本医疗保险缴费、公务员医疗补助缴费、住房公积金、其他工资福利支出、退休费、生活补助、其他对个人和家庭的补助。公用经费125.05万元，占基本支出的45.07%，主要包括：办公费、印刷费、差旅费、维修（护）费、劳务费、委托业务费、工会经费、其他交通费用、其他商品和服务支出。</w:t>
      </w:r>
    </w:p>
    <w:p>
      <w:pPr>
        <w:keepNext w:val="0"/>
        <w:keepLines w:val="0"/>
        <w:pageBreakBefore w:val="0"/>
        <w:widowControl/>
        <w:kinsoku/>
        <w:wordWrap/>
        <w:overflowPunct/>
        <w:topLinePunct w:val="0"/>
        <w:autoSpaceDE/>
        <w:autoSpaceDN/>
        <w:bidi w:val="0"/>
        <w:spacing w:line="54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w:t>
      </w:r>
      <w:r>
        <w:rPr>
          <w:rFonts w:hint="default" w:ascii="仿宋" w:hAnsi="仿宋" w:eastAsia="仿宋" w:cs="仿宋"/>
          <w:b/>
          <w:bCs/>
          <w:sz w:val="32"/>
          <w:szCs w:val="32"/>
          <w:lang w:val="en-US" w:eastAsia="zh-CN"/>
        </w:rPr>
        <w:t>2</w:t>
      </w:r>
      <w:r>
        <w:rPr>
          <w:rFonts w:hint="eastAsia" w:ascii="仿宋" w:hAnsi="仿宋" w:eastAsia="仿宋" w:cs="仿宋"/>
          <w:b/>
          <w:bCs/>
          <w:sz w:val="32"/>
          <w:szCs w:val="32"/>
          <w:lang w:val="en-US" w:eastAsia="zh-CN"/>
        </w:rPr>
        <w:t>）</w:t>
      </w:r>
      <w:r>
        <w:rPr>
          <w:rFonts w:hint="default" w:ascii="仿宋" w:hAnsi="仿宋" w:eastAsia="仿宋" w:cs="仿宋"/>
          <w:b/>
          <w:bCs/>
          <w:sz w:val="32"/>
          <w:szCs w:val="32"/>
          <w:lang w:val="en-US" w:eastAsia="zh-CN"/>
        </w:rPr>
        <w:t>项目支出</w:t>
      </w:r>
      <w:r>
        <w:rPr>
          <w:rFonts w:hint="default"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spacing w:line="540" w:lineRule="exact"/>
        <w:ind w:firstLine="640"/>
        <w:jc w:val="both"/>
        <w:textAlignment w:val="auto"/>
        <w:rPr>
          <w:rFonts w:hint="default" w:ascii="宋体" w:hAnsi="宋体" w:eastAsia="宋体" w:cs="宋体"/>
          <w:i w:val="0"/>
          <w:iCs w:val="0"/>
          <w:caps w:val="0"/>
          <w:color w:val="000000"/>
          <w:spacing w:val="0"/>
          <w:sz w:val="32"/>
          <w:szCs w:val="32"/>
          <w:lang w:val="en-US" w:eastAsia="zh-CN"/>
        </w:rPr>
      </w:pPr>
      <w:r>
        <w:rPr>
          <w:rFonts w:hint="default" w:ascii="宋体" w:hAnsi="宋体" w:eastAsia="宋体" w:cs="宋体"/>
          <w:i w:val="0"/>
          <w:iCs w:val="0"/>
          <w:caps w:val="0"/>
          <w:color w:val="000000"/>
          <w:spacing w:val="0"/>
          <w:sz w:val="32"/>
          <w:szCs w:val="32"/>
          <w:lang w:val="en-US" w:eastAsia="zh-CN"/>
        </w:rPr>
        <w:t>项目支出</w:t>
      </w:r>
      <w:r>
        <w:rPr>
          <w:rFonts w:hint="eastAsia" w:ascii="宋体" w:hAnsi="宋体" w:eastAsia="宋体" w:cs="宋体"/>
          <w:i w:val="0"/>
          <w:iCs w:val="0"/>
          <w:caps w:val="0"/>
          <w:color w:val="000000"/>
          <w:spacing w:val="0"/>
          <w:sz w:val="32"/>
          <w:szCs w:val="32"/>
          <w:lang w:val="en-US" w:eastAsia="zh-CN"/>
        </w:rPr>
        <w:t>决算</w:t>
      </w:r>
      <w:r>
        <w:rPr>
          <w:rFonts w:hint="eastAsia" w:ascii="宋体" w:hAnsi="宋体" w:eastAsia="宋体" w:cs="宋体"/>
          <w:i w:val="0"/>
          <w:iCs w:val="0"/>
          <w:caps w:val="0"/>
          <w:color w:val="000000"/>
          <w:spacing w:val="0"/>
          <w:sz w:val="32"/>
          <w:szCs w:val="32"/>
        </w:rPr>
        <w:t>30.15</w:t>
      </w:r>
      <w:r>
        <w:rPr>
          <w:rFonts w:hint="default" w:ascii="宋体" w:hAnsi="宋体" w:eastAsia="宋体" w:cs="宋体"/>
          <w:i w:val="0"/>
          <w:iCs w:val="0"/>
          <w:caps w:val="0"/>
          <w:color w:val="000000"/>
          <w:spacing w:val="0"/>
          <w:sz w:val="32"/>
          <w:szCs w:val="32"/>
          <w:lang w:val="en-US" w:eastAsia="zh-CN"/>
        </w:rPr>
        <w:t>万元。项目支出是在基本支出之外为完成其特定的行政工作任务而发生的支出。</w:t>
      </w:r>
      <w:r>
        <w:rPr>
          <w:rFonts w:hint="eastAsia" w:ascii="宋体" w:hAnsi="宋体" w:eastAsia="宋体" w:cs="宋体"/>
          <w:i w:val="0"/>
          <w:iCs w:val="0"/>
          <w:caps w:val="0"/>
          <w:color w:val="000000"/>
          <w:spacing w:val="0"/>
          <w:sz w:val="32"/>
          <w:szCs w:val="32"/>
          <w:lang w:val="en-US" w:eastAsia="zh-CN"/>
        </w:rPr>
        <w:t>2021</w:t>
      </w:r>
      <w:r>
        <w:rPr>
          <w:rFonts w:hint="default" w:ascii="宋体" w:hAnsi="宋体" w:eastAsia="宋体" w:cs="宋体"/>
          <w:i w:val="0"/>
          <w:iCs w:val="0"/>
          <w:caps w:val="0"/>
          <w:color w:val="000000"/>
          <w:spacing w:val="0"/>
          <w:sz w:val="32"/>
          <w:szCs w:val="32"/>
          <w:lang w:val="en-US" w:eastAsia="zh-CN"/>
        </w:rPr>
        <w:t>年全年支出</w:t>
      </w:r>
      <w:r>
        <w:rPr>
          <w:rFonts w:hint="eastAsia" w:ascii="宋体" w:hAnsi="宋体" w:eastAsia="宋体" w:cs="宋体"/>
          <w:i w:val="0"/>
          <w:iCs w:val="0"/>
          <w:caps w:val="0"/>
          <w:color w:val="000000"/>
          <w:spacing w:val="0"/>
          <w:sz w:val="32"/>
          <w:szCs w:val="32"/>
        </w:rPr>
        <w:t>30.15</w:t>
      </w:r>
      <w:r>
        <w:rPr>
          <w:rFonts w:hint="default" w:ascii="宋体" w:hAnsi="宋体" w:eastAsia="宋体" w:cs="宋体"/>
          <w:i w:val="0"/>
          <w:iCs w:val="0"/>
          <w:caps w:val="0"/>
          <w:color w:val="000000"/>
          <w:spacing w:val="0"/>
          <w:sz w:val="32"/>
          <w:szCs w:val="32"/>
          <w:lang w:val="en-US" w:eastAsia="zh-CN"/>
        </w:rPr>
        <w:t>万元</w:t>
      </w:r>
      <w:r>
        <w:rPr>
          <w:rFonts w:hint="eastAsia" w:ascii="宋体" w:hAnsi="宋体" w:eastAsia="宋体" w:cs="宋体"/>
          <w:i w:val="0"/>
          <w:iCs w:val="0"/>
          <w:caps w:val="0"/>
          <w:color w:val="000000"/>
          <w:spacing w:val="0"/>
          <w:sz w:val="32"/>
          <w:szCs w:val="32"/>
          <w:lang w:val="en-US" w:eastAsia="zh-CN"/>
        </w:rPr>
        <w:t>，</w:t>
      </w:r>
      <w:r>
        <w:rPr>
          <w:rFonts w:hint="default" w:ascii="宋体" w:hAnsi="宋体" w:eastAsia="宋体" w:cs="宋体"/>
          <w:i w:val="0"/>
          <w:iCs w:val="0"/>
          <w:caps w:val="0"/>
          <w:color w:val="000000"/>
          <w:spacing w:val="0"/>
          <w:sz w:val="32"/>
          <w:szCs w:val="32"/>
          <w:lang w:val="en-US" w:eastAsia="zh-CN"/>
        </w:rPr>
        <w:t>主要用于</w:t>
      </w:r>
      <w:r>
        <w:rPr>
          <w:rFonts w:hint="eastAsia" w:ascii="宋体" w:hAnsi="宋体" w:eastAsia="宋体" w:cs="宋体"/>
          <w:i w:val="0"/>
          <w:iCs w:val="0"/>
          <w:caps w:val="0"/>
          <w:color w:val="000000"/>
          <w:spacing w:val="0"/>
          <w:sz w:val="32"/>
          <w:szCs w:val="32"/>
          <w:lang w:val="en-US" w:eastAsia="zh-CN"/>
        </w:rPr>
        <w:t>委托业务费、劳务费等开支。</w:t>
      </w:r>
    </w:p>
    <w:p>
      <w:pPr>
        <w:keepNext w:val="0"/>
        <w:keepLines w:val="0"/>
        <w:pageBreakBefore w:val="0"/>
        <w:widowControl/>
        <w:kinsoku/>
        <w:wordWrap/>
        <w:overflowPunct/>
        <w:topLinePunct w:val="0"/>
        <w:autoSpaceDE/>
        <w:autoSpaceDN/>
        <w:bidi w:val="0"/>
        <w:spacing w:line="540" w:lineRule="exact"/>
        <w:ind w:firstLine="64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（3）三公经费的支出情况</w:t>
      </w:r>
      <w:r>
        <w:rPr>
          <w:rFonts w:hint="default" w:ascii="仿宋" w:hAnsi="仿宋" w:eastAsia="仿宋" w:cs="仿宋"/>
          <w:b/>
          <w:bCs/>
          <w:sz w:val="32"/>
          <w:szCs w:val="32"/>
          <w:lang w:val="en-US" w:eastAsia="zh-CN"/>
        </w:rPr>
        <w:t xml:space="preserve"> </w:t>
      </w:r>
    </w:p>
    <w:p>
      <w:pPr>
        <w:pStyle w:val="7"/>
        <w:keepNext w:val="0"/>
        <w:keepLines w:val="0"/>
        <w:widowControl/>
        <w:suppressLineNumbers w:val="0"/>
        <w:spacing w:before="0" w:beforeAutospacing="0" w:after="2" w:afterAutospacing="0"/>
        <w:ind w:left="0" w:right="0" w:firstLine="640"/>
        <w:rPr>
          <w:rFonts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2021年度“三公”经费财政拨款支出预算为0万元，支出决算为0万元，其中：</w:t>
      </w:r>
    </w:p>
    <w:p>
      <w:pPr>
        <w:pStyle w:val="7"/>
        <w:keepNext w:val="0"/>
        <w:keepLines w:val="0"/>
        <w:widowControl/>
        <w:suppressLineNumbers w:val="0"/>
        <w:spacing w:before="0" w:beforeAutospacing="0" w:after="2" w:afterAutospacing="0"/>
        <w:ind w:left="0" w:right="0" w:firstLine="640"/>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因公出国（境）费支出预算为0万元，支出决算为0万元，决算数与预算数一致，我单位严格按预算执行决算，因公出国（境）费支出与上年持平。</w:t>
      </w:r>
    </w:p>
    <w:p>
      <w:pPr>
        <w:pStyle w:val="7"/>
        <w:keepNext w:val="0"/>
        <w:keepLines w:val="0"/>
        <w:widowControl/>
        <w:suppressLineNumbers w:val="0"/>
        <w:spacing w:before="0" w:beforeAutospacing="0" w:after="2" w:afterAutospacing="0"/>
        <w:ind w:left="0" w:right="0" w:firstLine="640"/>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公务接待费支出预算为0万元，支出决算为0万元，决算数与预算数一致，我单位严格按预算执行决算，公务接待费支出与上年持平。</w:t>
      </w:r>
    </w:p>
    <w:p>
      <w:pPr>
        <w:pStyle w:val="7"/>
        <w:keepNext w:val="0"/>
        <w:keepLines w:val="0"/>
        <w:widowControl/>
        <w:suppressLineNumbers w:val="0"/>
        <w:spacing w:before="0" w:beforeAutospacing="0" w:after="2" w:afterAutospacing="0"/>
        <w:ind w:left="0" w:right="0" w:firstLine="640"/>
        <w:rPr>
          <w:rFonts w:hint="default" w:ascii="Tahoma" w:hAnsi="Tahoma" w:eastAsia="Tahoma" w:cs="Tahoma"/>
          <w:i w:val="0"/>
          <w:iCs w:val="0"/>
          <w:caps w:val="0"/>
          <w:color w:val="000000"/>
          <w:spacing w:val="0"/>
          <w:sz w:val="27"/>
          <w:szCs w:val="27"/>
        </w:rPr>
      </w:pPr>
      <w:r>
        <w:rPr>
          <w:rFonts w:hint="eastAsia" w:ascii="宋体" w:hAnsi="宋体" w:eastAsia="宋体" w:cs="宋体"/>
          <w:i w:val="0"/>
          <w:iCs w:val="0"/>
          <w:caps w:val="0"/>
          <w:color w:val="000000"/>
          <w:spacing w:val="0"/>
          <w:sz w:val="32"/>
          <w:szCs w:val="32"/>
        </w:rPr>
        <w:t>公务用车购置费及运行维护费支出预算为0万元，支出决算为0万元，决算数与预算数一致，我单位严格按预算执行决算，公务用车购置费及运行维护费支出与上年持平。</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3" w:firstLineChars="200"/>
        <w:jc w:val="left"/>
        <w:textAlignment w:val="auto"/>
        <w:outlineLvl w:val="9"/>
        <w:rPr>
          <w:rFonts w:hint="eastAsia" w:ascii="黑体" w:hAnsi="黑体" w:eastAsia="黑体" w:cs="黑体"/>
          <w:b/>
          <w:bCs/>
          <w:kern w:val="2"/>
          <w:sz w:val="32"/>
          <w:szCs w:val="32"/>
          <w:highlight w:val="none"/>
          <w:lang w:val="en-US" w:eastAsia="zh-CN" w:bidi="ar"/>
        </w:rPr>
      </w:pPr>
      <w:r>
        <w:rPr>
          <w:rFonts w:hint="eastAsia" w:ascii="黑体" w:hAnsi="黑体" w:eastAsia="黑体" w:cs="黑体"/>
          <w:b/>
          <w:bCs/>
          <w:kern w:val="2"/>
          <w:sz w:val="32"/>
          <w:szCs w:val="32"/>
          <w:highlight w:val="none"/>
          <w:lang w:val="en-US" w:eastAsia="zh-CN" w:bidi="ar"/>
        </w:rPr>
        <w:t>三、部门整体支出绩效情况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宋体" w:cs="宋体"/>
          <w:i w:val="0"/>
          <w:iCs w:val="0"/>
          <w:caps w:val="0"/>
          <w:color w:val="000000"/>
          <w:spacing w:val="0"/>
          <w:kern w:val="0"/>
          <w:sz w:val="32"/>
          <w:szCs w:val="32"/>
          <w:lang w:val="en-US" w:eastAsia="zh-CN" w:bidi="ar"/>
        </w:rPr>
      </w:pPr>
      <w:r>
        <w:rPr>
          <w:rFonts w:hint="eastAsia" w:ascii="宋体" w:hAnsi="宋体" w:eastAsia="宋体" w:cs="宋体"/>
          <w:i w:val="0"/>
          <w:iCs w:val="0"/>
          <w:caps w:val="0"/>
          <w:color w:val="000000"/>
          <w:spacing w:val="0"/>
          <w:kern w:val="0"/>
          <w:sz w:val="32"/>
          <w:szCs w:val="32"/>
          <w:lang w:val="en-US" w:eastAsia="zh-CN" w:bidi="ar"/>
        </w:rPr>
        <w:t>（一）加强组织领导。召开双清区统一战线工作领导小组会议，成立中共邵阳市双清区委统一战线工作领导小组，印发《双清区委统一战线工作领导小组成员单位职责清单（实行）》的通知。加强党对统战工作的集中统一领导，完善大统战工作格局。</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宋体" w:cs="宋体"/>
          <w:i w:val="0"/>
          <w:iCs w:val="0"/>
          <w:caps w:val="0"/>
          <w:color w:val="000000"/>
          <w:spacing w:val="0"/>
          <w:kern w:val="0"/>
          <w:sz w:val="32"/>
          <w:szCs w:val="32"/>
          <w:lang w:val="en-US" w:eastAsia="zh-CN" w:bidi="ar"/>
        </w:rPr>
      </w:pPr>
      <w:r>
        <w:rPr>
          <w:rFonts w:hint="eastAsia" w:ascii="宋体" w:hAnsi="宋体" w:eastAsia="宋体" w:cs="宋体"/>
          <w:i w:val="0"/>
          <w:iCs w:val="0"/>
          <w:caps w:val="0"/>
          <w:color w:val="000000"/>
          <w:spacing w:val="0"/>
          <w:kern w:val="0"/>
          <w:sz w:val="32"/>
          <w:szCs w:val="32"/>
          <w:lang w:val="en-US" w:eastAsia="zh-CN" w:bidi="ar"/>
        </w:rPr>
        <w:t>（二）圆满完成工商联第六届换届工作。一是由区委统战部牵头、会商区委组织部成立换届工作领导小组，制定了双清区工商联2021年换届工作方案，确定了区工商联第六届执委和代表产生办法和名额分配。二是坚持党的领导，坚持正确用人导向，坚持优化结构，坚持把纪律和规矩挺在前面，确保换届工作风清气正。将扩大政治共识、增强党对民营经济人士的领导力和凝聚力作为换届工作的主线。三是严格把好政治关，按照凡进必评的原则，14个区直部门对所有拟做工商联执委及以上安排的民营经济人士进行了综合评价。本次换届为促进“两个健康”提供有力组织保障，为实施“三高四新”战略、建设“二中心一枢纽”、“二区一中心”和社会主义现代化新双清奠定坚实基础。</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宋体" w:cs="宋体"/>
          <w:i w:val="0"/>
          <w:iCs w:val="0"/>
          <w:caps w:val="0"/>
          <w:color w:val="000000"/>
          <w:spacing w:val="0"/>
          <w:kern w:val="0"/>
          <w:sz w:val="32"/>
          <w:szCs w:val="32"/>
          <w:lang w:val="en-US" w:eastAsia="zh-CN" w:bidi="ar"/>
        </w:rPr>
      </w:pPr>
      <w:r>
        <w:rPr>
          <w:rFonts w:hint="eastAsia" w:ascii="宋体" w:hAnsi="宋体" w:eastAsia="宋体" w:cs="宋体"/>
          <w:i w:val="0"/>
          <w:iCs w:val="0"/>
          <w:caps w:val="0"/>
          <w:color w:val="000000"/>
          <w:spacing w:val="0"/>
          <w:kern w:val="0"/>
          <w:sz w:val="32"/>
          <w:szCs w:val="32"/>
          <w:lang w:val="en-US" w:eastAsia="zh-CN" w:bidi="ar"/>
        </w:rPr>
        <w:t>（三）积极发挥党外人才优势</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宋体" w:cs="宋体"/>
          <w:i w:val="0"/>
          <w:iCs w:val="0"/>
          <w:caps w:val="0"/>
          <w:color w:val="000000"/>
          <w:spacing w:val="0"/>
          <w:kern w:val="0"/>
          <w:sz w:val="32"/>
          <w:szCs w:val="32"/>
          <w:lang w:val="en-US" w:eastAsia="zh-CN" w:bidi="ar"/>
        </w:rPr>
      </w:pPr>
      <w:r>
        <w:rPr>
          <w:rFonts w:hint="eastAsia" w:ascii="宋体" w:hAnsi="宋体" w:eastAsia="宋体" w:cs="宋体"/>
          <w:i w:val="0"/>
          <w:iCs w:val="0"/>
          <w:caps w:val="0"/>
          <w:color w:val="000000"/>
          <w:spacing w:val="0"/>
          <w:kern w:val="0"/>
          <w:sz w:val="32"/>
          <w:szCs w:val="32"/>
          <w:lang w:val="en-US" w:eastAsia="zh-CN" w:bidi="ar"/>
        </w:rPr>
        <w:t>1．支持服务民营经济高质量发展。按照习近平总书记对在湖南考察时的系列重要讲话指示精神和打造“三个高地”、践行“四新”使命的总要求，坚定不移贯彻创新、协调、绿色、开放、共享的新发展理念。开展各项法律专题教育活动，着力引导教育民营经济人士依法经营，防范化解金融风险，切实履行安全生产、节能减排和环境保护等法律义务。鼓励参与重大战略，积极引导民营企业参与“一带一路”、长江经济带、承接产业转移、“三高四新”、“二中心一枢纽”和乡村振兴等重大战略。帮助企业用好国内国际两个市场、两种资源，鼓励走出去，邵阳阳光发品有限公司在南非、尼日利亚等国家积极拓展海外市场，每年销售额达六百多万美元。湖南天宇农业科技开发有限公司等5家企业采取“公司十基地十农户”模式继续帮助村民致富。不断优化营商环境，为伊顿贝克液压公司等12家企业解决各类矛盾30余件，区人民检察院帮助非公企业解决法律问题，出台司法惠企“十六条措施”护航民营经济发展，为我区有关企业提供法律咨询服务10余次，法律维权10件。支持光彩事业深度发展，引导企业在自身发展做大做强的同时，与回报社会改善民生相融合，自觉报效国家、回报社会、造福人民，让更多的人共享企业发展成果。疫情期间我区13家民营企业和同心商会等共捐赠现金30万元、捐助物资价值90余万元（口罩59000个、医用酒精2075公斤、防护服800套。）2021年，邵阳市湘莲工贸发展有限公司向邵阳市“红心林”志愿活动捐款3.8万元、为河南水灾捐款1万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宋体" w:cs="宋体"/>
          <w:i w:val="0"/>
          <w:iCs w:val="0"/>
          <w:caps w:val="0"/>
          <w:color w:val="000000"/>
          <w:spacing w:val="0"/>
          <w:kern w:val="0"/>
          <w:sz w:val="32"/>
          <w:szCs w:val="32"/>
          <w:lang w:val="en-US" w:eastAsia="zh-CN" w:bidi="ar"/>
        </w:rPr>
      </w:pPr>
      <w:r>
        <w:rPr>
          <w:rFonts w:hint="eastAsia" w:ascii="宋体" w:hAnsi="宋体" w:eastAsia="宋体" w:cs="宋体"/>
          <w:i w:val="0"/>
          <w:iCs w:val="0"/>
          <w:caps w:val="0"/>
          <w:color w:val="000000"/>
          <w:spacing w:val="0"/>
          <w:kern w:val="0"/>
          <w:sz w:val="32"/>
          <w:szCs w:val="32"/>
          <w:lang w:val="en-US" w:eastAsia="zh-CN" w:bidi="ar"/>
        </w:rPr>
        <w:t>2．认真做好党外人物工作。一是加强党外干部管理。充分利用换届契机，抓好党外代表人士的政治引领，把政治意识强，代表性强的党外代表人士推荐到相应的政治平台，充分发挥示范作用。今年换届共协商推荐了70名党外人大代表，协商安排了106名党外政协委员，换届工作圆满完成。</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宋体" w:cs="宋体"/>
          <w:i w:val="0"/>
          <w:iCs w:val="0"/>
          <w:caps w:val="0"/>
          <w:color w:val="000000"/>
          <w:spacing w:val="0"/>
          <w:kern w:val="0"/>
          <w:sz w:val="32"/>
          <w:szCs w:val="32"/>
          <w:lang w:val="en-US" w:eastAsia="zh-CN" w:bidi="ar"/>
        </w:rPr>
      </w:pPr>
      <w:r>
        <w:rPr>
          <w:rFonts w:hint="eastAsia" w:ascii="宋体" w:hAnsi="宋体" w:eastAsia="宋体" w:cs="宋体"/>
          <w:i w:val="0"/>
          <w:iCs w:val="0"/>
          <w:caps w:val="0"/>
          <w:color w:val="000000"/>
          <w:spacing w:val="0"/>
          <w:kern w:val="0"/>
          <w:sz w:val="32"/>
          <w:szCs w:val="32"/>
          <w:lang w:val="en-US" w:eastAsia="zh-CN" w:bidi="ar"/>
        </w:rPr>
        <w:t>（四）积极稳妥地推动民族宗教工作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宋体" w:cs="宋体"/>
          <w:i w:val="0"/>
          <w:iCs w:val="0"/>
          <w:caps w:val="0"/>
          <w:color w:val="000000"/>
          <w:spacing w:val="0"/>
          <w:kern w:val="0"/>
          <w:sz w:val="32"/>
          <w:szCs w:val="32"/>
          <w:lang w:val="en-US" w:eastAsia="zh-CN" w:bidi="ar"/>
        </w:rPr>
      </w:pPr>
      <w:r>
        <w:rPr>
          <w:rFonts w:hint="eastAsia" w:ascii="宋体" w:hAnsi="宋体" w:eastAsia="宋体" w:cs="宋体"/>
          <w:i w:val="0"/>
          <w:iCs w:val="0"/>
          <w:caps w:val="0"/>
          <w:color w:val="000000"/>
          <w:spacing w:val="0"/>
          <w:kern w:val="0"/>
          <w:sz w:val="32"/>
          <w:szCs w:val="32"/>
          <w:lang w:val="en-US" w:eastAsia="zh-CN" w:bidi="ar"/>
        </w:rPr>
        <w:t>1．持续开展专项治理。深入开展佛道教商业化治理，重点整治烧高香、宗教活动明码标价、乱设功德箱等行为，绝大多数宗教活动场所均能按要求整改到位。加强对伊斯兰教“沙化”“阿化”“清真概念泛化”的治理，取缔两家汉族人实际经营的回民餐馆，清除10处回民餐馆上的阿拉伯标识。2021年对清真东寺进行中国化方向改造，引导清真东寺投入300余万元，拆除清真东寺建筑上的圆球和星月标识，清除建筑中“沙化”“阿化”元素，全部改为中国传统文化风格。</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宋体" w:hAnsi="宋体" w:eastAsia="宋体" w:cs="宋体"/>
          <w:i w:val="0"/>
          <w:iCs w:val="0"/>
          <w:caps w:val="0"/>
          <w:color w:val="000000"/>
          <w:spacing w:val="0"/>
          <w:kern w:val="0"/>
          <w:sz w:val="32"/>
          <w:szCs w:val="32"/>
          <w:lang w:val="en-US" w:eastAsia="zh-CN" w:bidi="ar"/>
        </w:rPr>
      </w:pPr>
      <w:r>
        <w:rPr>
          <w:rFonts w:hint="eastAsia" w:ascii="宋体" w:hAnsi="宋体" w:eastAsia="宋体" w:cs="宋体"/>
          <w:i w:val="0"/>
          <w:iCs w:val="0"/>
          <w:caps w:val="0"/>
          <w:color w:val="000000"/>
          <w:spacing w:val="0"/>
          <w:kern w:val="0"/>
          <w:sz w:val="32"/>
          <w:szCs w:val="32"/>
          <w:lang w:val="en-US" w:eastAsia="zh-CN" w:bidi="ar"/>
        </w:rPr>
        <w:t>2．解决了几十年的历史遗留问题。市清真东寺与区偕进小学在一个院落内办公，违反了宗教与教育相分离的原则，该问题属历史遗留矛盾，自上世纪80年代开始，清真东寺就一直主张偕进小学的部分校产属清真东寺所有，为此，东寺的信教群众多次到省、市上访，甚至采取堵门、砌筑封闭学校厕所门等过激行为，严重影响教学秩序和民族团结。从2021年5月1日开始动工整改，至2021年8月底，在学校与清真东寺之间修筑起围墙分离，彻底解决这个困扰市、区民宗界几十年的历史遗留问题。</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i w:val="0"/>
          <w:iCs w:val="0"/>
          <w:caps w:val="0"/>
          <w:color w:val="333333"/>
          <w:spacing w:val="0"/>
          <w:kern w:val="0"/>
          <w:sz w:val="32"/>
          <w:szCs w:val="32"/>
          <w:shd w:val="clear" w:fill="FFFFFF"/>
          <w:lang w:val="en-US" w:eastAsia="zh-CN" w:bidi="ar"/>
        </w:rPr>
      </w:pPr>
      <w:r>
        <w:rPr>
          <w:rFonts w:hint="eastAsia" w:ascii="宋体" w:hAnsi="宋体" w:eastAsia="宋体" w:cs="宋体"/>
          <w:i w:val="0"/>
          <w:iCs w:val="0"/>
          <w:caps w:val="0"/>
          <w:color w:val="000000"/>
          <w:spacing w:val="0"/>
          <w:kern w:val="0"/>
          <w:sz w:val="32"/>
          <w:szCs w:val="32"/>
          <w:lang w:val="en-US" w:eastAsia="zh-CN" w:bidi="ar"/>
        </w:rPr>
        <w:t>3．多措并举开展民族团结进步宣传活动。结合创建全国文明城市工作，以“中华民族一家亲，同心共筑中国梦”为主题，在全区多形式、多层次开展民族团结进步宣传活动，区委统战系统成员单位全体干部、各乡镇办统战委员、统战专干集中学习了中央民族会议精神，在区政府前坪设立宣传服务台，悬挂宣传横幅，向群众发放相关宣传资料500余份，并利用宣传资料向群众讲解民族团结的重要性和必要性，引导群众深入了解我国的民族团结进步事业及更多的民族政策和法律法规。根据市委的统一部署，区委常委会专题研究了民族团结进步示范点建设工作，分四年（2020年－2023年）建成7个市级以上的示范点、1个教育基地，按照工作方案的进度，目前已完成3个民族团结进步示范点的创建工作。这是我区的一大特色也是亮点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24"/>
        <w:jc w:val="both"/>
        <w:rPr>
          <w:rFonts w:hint="default" w:ascii="Times New Roman" w:hAnsi="Times New Roman" w:cs="Times New Roman"/>
          <w:b/>
          <w:bCs/>
          <w:i w:val="0"/>
          <w:iCs w:val="0"/>
          <w:caps w:val="0"/>
          <w:color w:val="333333"/>
          <w:spacing w:val="0"/>
          <w:sz w:val="32"/>
          <w:szCs w:val="32"/>
        </w:rPr>
      </w:pPr>
      <w:r>
        <w:rPr>
          <w:rFonts w:ascii="黑体" w:hAnsi="宋体" w:eastAsia="黑体" w:cs="黑体"/>
          <w:b/>
          <w:bCs/>
          <w:i w:val="0"/>
          <w:iCs w:val="0"/>
          <w:caps w:val="0"/>
          <w:color w:val="333333"/>
          <w:spacing w:val="0"/>
          <w:sz w:val="32"/>
          <w:szCs w:val="32"/>
          <w:shd w:val="clear" w:fill="FFFFFF"/>
        </w:rPr>
        <w:t>四、评价结论及建议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24"/>
        <w:jc w:val="both"/>
        <w:rPr>
          <w:rFonts w:hint="default" w:ascii="Times New Roman" w:hAnsi="Times New Roman" w:cs="Times New Roman"/>
          <w:i w:val="0"/>
          <w:iCs w:val="0"/>
          <w:caps w:val="0"/>
          <w:color w:val="333333"/>
          <w:spacing w:val="0"/>
          <w:sz w:val="32"/>
          <w:szCs w:val="32"/>
        </w:rPr>
      </w:pPr>
      <w:r>
        <w:rPr>
          <w:rFonts w:ascii="楷体" w:hAnsi="楷体" w:eastAsia="楷体" w:cs="楷体"/>
          <w:b/>
          <w:bCs/>
          <w:i w:val="0"/>
          <w:iCs w:val="0"/>
          <w:caps w:val="0"/>
          <w:color w:val="333333"/>
          <w:spacing w:val="0"/>
          <w:sz w:val="32"/>
          <w:szCs w:val="32"/>
          <w:shd w:val="clear" w:fill="FFFFFF"/>
        </w:rPr>
        <w:t>（一）评价结论。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4"/>
        <w:jc w:val="both"/>
        <w:rPr>
          <w:rFonts w:hint="default" w:ascii="宋体" w:hAnsi="宋体" w:eastAsia="宋体" w:cs="宋体"/>
          <w:i w:val="0"/>
          <w:iCs w:val="0"/>
          <w:caps w:val="0"/>
          <w:color w:val="000000"/>
          <w:spacing w:val="0"/>
          <w:kern w:val="0"/>
          <w:sz w:val="32"/>
          <w:szCs w:val="32"/>
          <w:lang w:val="en-US" w:eastAsia="zh-CN" w:bidi="ar"/>
        </w:rPr>
      </w:pPr>
      <w:r>
        <w:rPr>
          <w:rFonts w:hint="eastAsia" w:ascii="宋体" w:hAnsi="宋体" w:eastAsia="宋体" w:cs="宋体"/>
          <w:i w:val="0"/>
          <w:iCs w:val="0"/>
          <w:caps w:val="0"/>
          <w:color w:val="000000"/>
          <w:spacing w:val="0"/>
          <w:kern w:val="0"/>
          <w:sz w:val="32"/>
          <w:szCs w:val="32"/>
          <w:lang w:val="en-US" w:eastAsia="zh-CN" w:bidi="ar"/>
        </w:rPr>
        <w:t>2021年，我部严格执行《行政单位会计制度》和《行政单位财务规则》，认真进行会计核算，实施会计监督，切实做到厉行节约，提高资金的使用效率。一是认真编制年初财务收支预算，为全年工作的正常运转提供保证。二是认真执行用款执行进度，努力做好财政资金事中监管。三是及时准确编制上报部门决算，做好资金使用的事后分析。</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24"/>
        <w:jc w:val="both"/>
        <w:rPr>
          <w:rFonts w:hint="default" w:ascii="Times New Roman" w:hAnsi="Times New Roman" w:cs="Times New Roman"/>
          <w:i w:val="0"/>
          <w:iCs w:val="0"/>
          <w:caps w:val="0"/>
          <w:color w:val="333333"/>
          <w:spacing w:val="0"/>
          <w:sz w:val="32"/>
          <w:szCs w:val="32"/>
        </w:rPr>
      </w:pPr>
      <w:r>
        <w:rPr>
          <w:rFonts w:hint="eastAsia" w:ascii="楷体" w:hAnsi="楷体" w:eastAsia="楷体" w:cs="楷体"/>
          <w:b/>
          <w:bCs/>
          <w:i w:val="0"/>
          <w:iCs w:val="0"/>
          <w:caps w:val="0"/>
          <w:color w:val="333333"/>
          <w:spacing w:val="0"/>
          <w:sz w:val="32"/>
          <w:szCs w:val="32"/>
          <w:shd w:val="clear" w:fill="FFFFFF"/>
        </w:rPr>
        <w:t>（三）存在问题。</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4"/>
        <w:jc w:val="both"/>
        <w:rPr>
          <w:rFonts w:hint="eastAsia" w:ascii="宋体" w:hAnsi="宋体" w:eastAsia="宋体" w:cs="宋体"/>
          <w:i w:val="0"/>
          <w:iCs w:val="0"/>
          <w:caps w:val="0"/>
          <w:color w:val="000000"/>
          <w:spacing w:val="0"/>
          <w:kern w:val="0"/>
          <w:sz w:val="32"/>
          <w:szCs w:val="32"/>
          <w:lang w:val="en-US" w:eastAsia="zh-CN" w:bidi="ar"/>
        </w:rPr>
      </w:pPr>
      <w:r>
        <w:rPr>
          <w:rFonts w:hint="eastAsia" w:ascii="宋体" w:hAnsi="宋体" w:eastAsia="宋体" w:cs="宋体"/>
          <w:i w:val="0"/>
          <w:iCs w:val="0"/>
          <w:caps w:val="0"/>
          <w:color w:val="000000"/>
          <w:spacing w:val="0"/>
          <w:kern w:val="0"/>
          <w:sz w:val="32"/>
          <w:szCs w:val="32"/>
          <w:lang w:val="en-US" w:eastAsia="zh-CN" w:bidi="ar"/>
        </w:rPr>
        <w:t>一是单位绩效指标体系有待进一步完善。二是项目绩效目标设定的科学性、时效性有待加强。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4"/>
        <w:jc w:val="both"/>
        <w:rPr>
          <w:rFonts w:hint="default" w:ascii="宋体" w:hAnsi="宋体" w:eastAsia="宋体" w:cs="宋体"/>
          <w:b/>
          <w:bCs/>
          <w:i w:val="0"/>
          <w:iCs w:val="0"/>
          <w:caps w:val="0"/>
          <w:color w:val="000000"/>
          <w:spacing w:val="0"/>
          <w:kern w:val="0"/>
          <w:sz w:val="32"/>
          <w:szCs w:val="32"/>
          <w:lang w:val="en-US" w:eastAsia="zh-CN" w:bidi="ar"/>
        </w:rPr>
      </w:pPr>
      <w:r>
        <w:rPr>
          <w:rFonts w:hint="eastAsia" w:ascii="宋体" w:hAnsi="宋体" w:eastAsia="宋体" w:cs="宋体"/>
          <w:b/>
          <w:bCs/>
          <w:i w:val="0"/>
          <w:iCs w:val="0"/>
          <w:caps w:val="0"/>
          <w:color w:val="000000"/>
          <w:spacing w:val="0"/>
          <w:kern w:val="0"/>
          <w:sz w:val="32"/>
          <w:szCs w:val="32"/>
          <w:lang w:val="en-US" w:eastAsia="zh-CN" w:bidi="ar"/>
        </w:rPr>
        <w:t>（三）改进建议。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4"/>
        <w:jc w:val="both"/>
        <w:rPr>
          <w:rFonts w:hint="default" w:ascii="宋体" w:hAnsi="宋体" w:eastAsia="宋体" w:cs="宋体"/>
          <w:i w:val="0"/>
          <w:iCs w:val="0"/>
          <w:caps w:val="0"/>
          <w:color w:val="000000"/>
          <w:spacing w:val="0"/>
          <w:kern w:val="0"/>
          <w:sz w:val="32"/>
          <w:szCs w:val="32"/>
          <w:lang w:val="en-US" w:eastAsia="zh-CN" w:bidi="ar"/>
        </w:rPr>
      </w:pPr>
      <w:r>
        <w:rPr>
          <w:rFonts w:hint="eastAsia" w:ascii="宋体" w:hAnsi="宋体" w:eastAsia="宋体" w:cs="宋体"/>
          <w:i w:val="0"/>
          <w:iCs w:val="0"/>
          <w:caps w:val="0"/>
          <w:color w:val="000000"/>
          <w:spacing w:val="0"/>
          <w:kern w:val="0"/>
          <w:sz w:val="32"/>
          <w:szCs w:val="32"/>
          <w:lang w:val="en-US" w:eastAsia="zh-CN" w:bidi="ar"/>
        </w:rPr>
        <w:t>一是加强费用管理。二是加强人员培训，提高业务能力，以适应新形势下财政管理工作需要。三是完善相关财务制度，建立长效管理机制。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4"/>
        <w:jc w:val="both"/>
        <w:rPr>
          <w:rFonts w:hint="eastAsia" w:ascii="宋体" w:hAnsi="宋体" w:eastAsia="宋体" w:cs="宋体"/>
          <w:i w:val="0"/>
          <w:iCs w:val="0"/>
          <w:caps w:val="0"/>
          <w:color w:val="000000"/>
          <w:spacing w:val="0"/>
          <w:kern w:val="0"/>
          <w:sz w:val="32"/>
          <w:szCs w:val="32"/>
          <w:lang w:val="en-US" w:eastAsia="zh-CN" w:bidi="ar"/>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4"/>
        <w:jc w:val="both"/>
        <w:rPr>
          <w:rFonts w:hint="eastAsia" w:ascii="宋体" w:hAnsi="宋体" w:eastAsia="宋体" w:cs="宋体"/>
          <w:i w:val="0"/>
          <w:iCs w:val="0"/>
          <w:caps w:val="0"/>
          <w:color w:val="000000"/>
          <w:spacing w:val="0"/>
          <w:kern w:val="0"/>
          <w:sz w:val="32"/>
          <w:szCs w:val="32"/>
          <w:lang w:val="en-US" w:eastAsia="zh-CN" w:bidi="ar"/>
        </w:rPr>
      </w:pPr>
    </w:p>
    <w:p>
      <w:pPr>
        <w:pStyle w:val="2"/>
      </w:pPr>
    </w:p>
    <w:p/>
    <w:p>
      <w:pPr>
        <w:pStyle w:val="6"/>
      </w:pPr>
    </w:p>
    <w:p>
      <w:pPr>
        <w:pStyle w:val="2"/>
      </w:pPr>
    </w:p>
    <w:p/>
    <w:p>
      <w:pPr>
        <w:pStyle w:val="2"/>
        <w:ind w:left="0" w:leftChars="0" w:firstLine="0" w:firstLineChars="0"/>
      </w:pPr>
    </w:p>
    <w:p/>
    <w:p>
      <w:pPr>
        <w:pStyle w:val="2"/>
      </w:pPr>
    </w:p>
    <w:p/>
    <w:p>
      <w:pPr>
        <w:pStyle w:val="2"/>
      </w:pPr>
    </w:p>
    <w:p/>
    <w:p>
      <w:pPr>
        <w:pStyle w:val="2"/>
      </w:pPr>
    </w:p>
    <w:p/>
    <w:p/>
    <w:p>
      <w:pPr>
        <w:spacing w:afterLines="50" w:line="560" w:lineRule="exact"/>
        <w:jc w:val="center"/>
        <w:rPr>
          <w:rFonts w:ascii="方正小标宋_GBK" w:eastAsia="方正小标宋_GBK"/>
          <w:kern w:val="0"/>
          <w:sz w:val="44"/>
          <w:szCs w:val="44"/>
        </w:rPr>
      </w:pPr>
      <w:bookmarkStart w:id="0" w:name="_GoBack"/>
      <w:r>
        <w:rPr>
          <w:rFonts w:hint="eastAsia" w:ascii="方正小标宋_GBK" w:eastAsia="方正小标宋_GBK" w:cs="方正小标宋_GBK"/>
          <w:kern w:val="0"/>
          <w:sz w:val="44"/>
          <w:szCs w:val="44"/>
        </w:rPr>
        <w:t>部门整体支出绩效评价指标表</w:t>
      </w:r>
    </w:p>
    <w:tbl>
      <w:tblPr>
        <w:tblStyle w:val="8"/>
        <w:tblW w:w="10598" w:type="dxa"/>
        <w:jc w:val="center"/>
        <w:tblLayout w:type="fixed"/>
        <w:tblCellMar>
          <w:top w:w="0" w:type="dxa"/>
          <w:left w:w="108" w:type="dxa"/>
          <w:bottom w:w="0" w:type="dxa"/>
          <w:right w:w="108" w:type="dxa"/>
        </w:tblCellMar>
      </w:tblPr>
      <w:tblGrid>
        <w:gridCol w:w="679"/>
        <w:gridCol w:w="645"/>
        <w:gridCol w:w="720"/>
        <w:gridCol w:w="585"/>
        <w:gridCol w:w="855"/>
        <w:gridCol w:w="496"/>
        <w:gridCol w:w="3259"/>
        <w:gridCol w:w="2722"/>
        <w:gridCol w:w="637"/>
      </w:tblGrid>
      <w:tr>
        <w:tblPrEx>
          <w:tblCellMar>
            <w:top w:w="0" w:type="dxa"/>
            <w:left w:w="108" w:type="dxa"/>
            <w:bottom w:w="0" w:type="dxa"/>
            <w:right w:w="108" w:type="dxa"/>
          </w:tblCellMar>
        </w:tblPrEx>
        <w:trPr>
          <w:tblHeader/>
          <w:jc w:val="center"/>
        </w:trPr>
        <w:tc>
          <w:tcPr>
            <w:tcW w:w="67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一级指标</w:t>
            </w:r>
          </w:p>
        </w:tc>
        <w:tc>
          <w:tcPr>
            <w:tcW w:w="645"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分值</w:t>
            </w:r>
          </w:p>
        </w:tc>
        <w:tc>
          <w:tcPr>
            <w:tcW w:w="72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二级指标</w:t>
            </w:r>
          </w:p>
        </w:tc>
        <w:tc>
          <w:tcPr>
            <w:tcW w:w="585"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分值</w:t>
            </w:r>
          </w:p>
        </w:tc>
        <w:tc>
          <w:tcPr>
            <w:tcW w:w="855"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三级</w:t>
            </w:r>
          </w:p>
          <w:p>
            <w:pPr>
              <w:widowControl/>
              <w:spacing w:line="300" w:lineRule="exact"/>
              <w:jc w:val="center"/>
              <w:rPr>
                <w:rFonts w:eastAsia="仿宋_GB2312"/>
                <w:kern w:val="0"/>
                <w:sz w:val="20"/>
                <w:szCs w:val="20"/>
              </w:rPr>
            </w:pPr>
            <w:r>
              <w:rPr>
                <w:rFonts w:hint="eastAsia" w:eastAsia="仿宋_GB2312" w:cs="仿宋_GB2312"/>
                <w:kern w:val="0"/>
                <w:sz w:val="20"/>
                <w:szCs w:val="20"/>
              </w:rPr>
              <w:t>指标</w:t>
            </w:r>
          </w:p>
        </w:tc>
        <w:tc>
          <w:tcPr>
            <w:tcW w:w="49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分值</w:t>
            </w:r>
          </w:p>
        </w:tc>
        <w:tc>
          <w:tcPr>
            <w:tcW w:w="325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评价标准</w:t>
            </w:r>
          </w:p>
        </w:tc>
        <w:tc>
          <w:tcPr>
            <w:tcW w:w="272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指标说明</w:t>
            </w:r>
          </w:p>
        </w:tc>
        <w:tc>
          <w:tcPr>
            <w:tcW w:w="63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得分</w:t>
            </w:r>
          </w:p>
        </w:tc>
      </w:tr>
      <w:tr>
        <w:tblPrEx>
          <w:tblCellMar>
            <w:top w:w="0" w:type="dxa"/>
            <w:left w:w="108" w:type="dxa"/>
            <w:bottom w:w="0" w:type="dxa"/>
            <w:right w:w="108" w:type="dxa"/>
          </w:tblCellMar>
        </w:tblPrEx>
        <w:trPr>
          <w:trHeight w:val="1814" w:hRule="atLeast"/>
          <w:jc w:val="center"/>
        </w:trPr>
        <w:tc>
          <w:tcPr>
            <w:tcW w:w="679"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投入</w:t>
            </w:r>
          </w:p>
        </w:tc>
        <w:tc>
          <w:tcPr>
            <w:tcW w:w="645" w:type="dxa"/>
            <w:vMerge w:val="restart"/>
            <w:tcBorders>
              <w:top w:val="nil"/>
              <w:left w:val="single" w:color="auto" w:sz="4" w:space="0"/>
              <w:bottom w:val="single" w:color="000000" w:sz="4" w:space="0"/>
              <w:right w:val="single" w:color="auto" w:sz="4" w:space="0"/>
            </w:tcBorders>
            <w:noWrap w:val="0"/>
            <w:vAlign w:val="center"/>
          </w:tcPr>
          <w:p>
            <w:pPr>
              <w:widowControl/>
              <w:spacing w:line="300" w:lineRule="exact"/>
              <w:jc w:val="center"/>
              <w:rPr>
                <w:rFonts w:eastAsia="仿宋_GB2312"/>
                <w:kern w:val="0"/>
                <w:sz w:val="20"/>
                <w:szCs w:val="20"/>
              </w:rPr>
            </w:pPr>
            <w:r>
              <w:rPr>
                <w:rFonts w:eastAsia="仿宋_GB2312"/>
                <w:kern w:val="0"/>
                <w:sz w:val="20"/>
                <w:szCs w:val="20"/>
              </w:rPr>
              <w:t>10</w:t>
            </w:r>
          </w:p>
        </w:tc>
        <w:tc>
          <w:tcPr>
            <w:tcW w:w="720" w:type="dxa"/>
            <w:vMerge w:val="restart"/>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预算配置</w:t>
            </w:r>
          </w:p>
        </w:tc>
        <w:tc>
          <w:tcPr>
            <w:tcW w:w="585" w:type="dxa"/>
            <w:vMerge w:val="restart"/>
            <w:tcBorders>
              <w:top w:val="nil"/>
              <w:left w:val="single" w:color="auto" w:sz="4" w:space="0"/>
              <w:bottom w:val="single" w:color="000000" w:sz="4" w:space="0"/>
              <w:right w:val="single" w:color="auto" w:sz="4" w:space="0"/>
            </w:tcBorders>
            <w:noWrap w:val="0"/>
            <w:vAlign w:val="center"/>
          </w:tcPr>
          <w:p>
            <w:pPr>
              <w:widowControl/>
              <w:spacing w:line="300" w:lineRule="exact"/>
              <w:jc w:val="center"/>
              <w:rPr>
                <w:rFonts w:eastAsia="仿宋_GB2312"/>
                <w:kern w:val="0"/>
                <w:sz w:val="20"/>
                <w:szCs w:val="20"/>
              </w:rPr>
            </w:pPr>
            <w:r>
              <w:rPr>
                <w:rFonts w:eastAsia="仿宋_GB2312"/>
                <w:kern w:val="0"/>
                <w:sz w:val="20"/>
                <w:szCs w:val="20"/>
              </w:rPr>
              <w:t>10</w:t>
            </w:r>
          </w:p>
        </w:tc>
        <w:tc>
          <w:tcPr>
            <w:tcW w:w="855" w:type="dxa"/>
            <w:tcBorders>
              <w:top w:val="nil"/>
              <w:left w:val="nil"/>
              <w:bottom w:val="single" w:color="auto" w:sz="4" w:space="0"/>
              <w:right w:val="single" w:color="auto" w:sz="4" w:space="0"/>
            </w:tcBorders>
            <w:noWrap w:val="0"/>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在职人员控制率</w:t>
            </w:r>
          </w:p>
        </w:tc>
        <w:tc>
          <w:tcPr>
            <w:tcW w:w="496" w:type="dxa"/>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kern w:val="0"/>
                <w:sz w:val="20"/>
                <w:szCs w:val="20"/>
              </w:rPr>
            </w:pPr>
            <w:r>
              <w:rPr>
                <w:rFonts w:eastAsia="仿宋_GB2312"/>
                <w:kern w:val="0"/>
                <w:sz w:val="20"/>
                <w:szCs w:val="20"/>
              </w:rPr>
              <w:t>5</w:t>
            </w:r>
          </w:p>
        </w:tc>
        <w:tc>
          <w:tcPr>
            <w:tcW w:w="3259" w:type="dxa"/>
            <w:tcBorders>
              <w:top w:val="nil"/>
              <w:left w:val="nil"/>
              <w:bottom w:val="nil"/>
              <w:right w:val="nil"/>
            </w:tcBorders>
            <w:noWrap w:val="0"/>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以</w:t>
            </w:r>
            <w:r>
              <w:rPr>
                <w:rFonts w:eastAsia="仿宋_GB2312"/>
                <w:kern w:val="0"/>
                <w:sz w:val="20"/>
                <w:szCs w:val="20"/>
              </w:rPr>
              <w:t>100%</w:t>
            </w:r>
            <w:r>
              <w:rPr>
                <w:rFonts w:hint="eastAsia" w:eastAsia="仿宋_GB2312" w:cs="仿宋_GB2312"/>
                <w:kern w:val="0"/>
                <w:sz w:val="20"/>
                <w:szCs w:val="20"/>
              </w:rPr>
              <w:t>为标准。在职人员控制率</w:t>
            </w:r>
            <w:r>
              <w:rPr>
                <w:rFonts w:hint="eastAsia" w:ascii="宋体" w:cs="宋体"/>
                <w:kern w:val="0"/>
                <w:sz w:val="20"/>
                <w:szCs w:val="20"/>
              </w:rPr>
              <w:t>≦</w:t>
            </w:r>
            <w:r>
              <w:rPr>
                <w:rFonts w:eastAsia="仿宋_GB2312"/>
                <w:kern w:val="0"/>
                <w:sz w:val="20"/>
                <w:szCs w:val="20"/>
              </w:rPr>
              <w:t>100%</w:t>
            </w:r>
            <w:r>
              <w:rPr>
                <w:rFonts w:hint="eastAsia" w:eastAsia="仿宋_GB2312" w:cs="仿宋_GB2312"/>
                <w:kern w:val="0"/>
                <w:sz w:val="20"/>
                <w:szCs w:val="20"/>
              </w:rPr>
              <w:t>，计</w:t>
            </w:r>
            <w:r>
              <w:rPr>
                <w:rFonts w:eastAsia="仿宋_GB2312"/>
                <w:kern w:val="0"/>
                <w:sz w:val="20"/>
                <w:szCs w:val="20"/>
              </w:rPr>
              <w:t>5</w:t>
            </w:r>
            <w:r>
              <w:rPr>
                <w:rFonts w:hint="eastAsia" w:eastAsia="仿宋_GB2312" w:cs="仿宋_GB2312"/>
                <w:kern w:val="0"/>
                <w:sz w:val="20"/>
                <w:szCs w:val="20"/>
              </w:rPr>
              <w:t>分；每超过一个百分点扣</w:t>
            </w:r>
            <w:r>
              <w:rPr>
                <w:rFonts w:eastAsia="仿宋_GB2312"/>
                <w:kern w:val="0"/>
                <w:sz w:val="20"/>
                <w:szCs w:val="20"/>
              </w:rPr>
              <w:t>0.5</w:t>
            </w:r>
            <w:r>
              <w:rPr>
                <w:rFonts w:hint="eastAsia" w:eastAsia="仿宋_GB2312" w:cs="仿宋_GB2312"/>
                <w:kern w:val="0"/>
                <w:sz w:val="20"/>
                <w:szCs w:val="20"/>
              </w:rPr>
              <w:t>分，扣完为止。</w:t>
            </w:r>
          </w:p>
        </w:tc>
        <w:tc>
          <w:tcPr>
            <w:tcW w:w="2722" w:type="dxa"/>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eastAsia="仿宋_GB2312" w:cs="仿宋_GB2312"/>
                <w:kern w:val="0"/>
                <w:sz w:val="20"/>
                <w:szCs w:val="20"/>
                <w:lang w:eastAsia="zh-CN"/>
              </w:rPr>
            </w:pPr>
            <w:r>
              <w:rPr>
                <w:rFonts w:hint="eastAsia" w:eastAsia="仿宋_GB2312" w:cs="仿宋_GB2312"/>
                <w:kern w:val="0"/>
                <w:sz w:val="20"/>
                <w:szCs w:val="20"/>
              </w:rPr>
              <w:t>在职人员控制率</w:t>
            </w:r>
            <w:r>
              <w:rPr>
                <w:rFonts w:eastAsia="仿宋_GB2312"/>
                <w:kern w:val="0"/>
                <w:sz w:val="20"/>
                <w:szCs w:val="20"/>
              </w:rPr>
              <w:t>=</w:t>
            </w:r>
            <w:r>
              <w:rPr>
                <w:rFonts w:hint="eastAsia" w:eastAsia="仿宋_GB2312" w:cs="仿宋_GB2312"/>
                <w:kern w:val="0"/>
                <w:sz w:val="20"/>
                <w:szCs w:val="20"/>
              </w:rPr>
              <w:t>（在职人员数</w:t>
            </w:r>
            <w:r>
              <w:rPr>
                <w:rFonts w:eastAsia="仿宋_GB2312"/>
                <w:kern w:val="0"/>
                <w:sz w:val="20"/>
                <w:szCs w:val="20"/>
              </w:rPr>
              <w:t>/</w:t>
            </w:r>
            <w:r>
              <w:rPr>
                <w:rFonts w:hint="eastAsia" w:eastAsia="仿宋_GB2312" w:cs="仿宋_GB2312"/>
                <w:kern w:val="0"/>
                <w:sz w:val="20"/>
                <w:szCs w:val="20"/>
              </w:rPr>
              <w:t>编制数）</w:t>
            </w:r>
            <w:r>
              <w:rPr>
                <w:rFonts w:eastAsia="仿宋_GB2312"/>
                <w:kern w:val="0"/>
                <w:sz w:val="20"/>
                <w:szCs w:val="20"/>
              </w:rPr>
              <w:t>×100%</w:t>
            </w:r>
            <w:r>
              <w:rPr>
                <w:rFonts w:hint="eastAsia" w:eastAsia="仿宋_GB2312" w:cs="仿宋_GB2312"/>
                <w:kern w:val="0"/>
                <w:sz w:val="20"/>
                <w:szCs w:val="20"/>
              </w:rPr>
              <w:t>，在职人员数：部门（单位）实际在职人数，以财政厅确定的部门决算编制口径为准。</w:t>
            </w:r>
          </w:p>
          <w:p>
            <w:pPr>
              <w:widowControl/>
              <w:spacing w:line="300" w:lineRule="exact"/>
              <w:jc w:val="left"/>
              <w:rPr>
                <w:rFonts w:eastAsia="仿宋_GB2312"/>
                <w:kern w:val="0"/>
                <w:sz w:val="20"/>
                <w:szCs w:val="20"/>
              </w:rPr>
            </w:pPr>
            <w:r>
              <w:rPr>
                <w:rFonts w:hint="eastAsia" w:eastAsia="仿宋_GB2312" w:cs="仿宋_GB2312"/>
                <w:kern w:val="0"/>
                <w:sz w:val="20"/>
                <w:szCs w:val="20"/>
              </w:rPr>
              <w:t>编制数：机构编制部门核定批复的部门（单位）的人员编制数。</w:t>
            </w:r>
          </w:p>
        </w:tc>
        <w:tc>
          <w:tcPr>
            <w:tcW w:w="637" w:type="dxa"/>
            <w:tcBorders>
              <w:top w:val="nil"/>
              <w:left w:val="nil"/>
              <w:bottom w:val="single" w:color="auto" w:sz="4" w:space="0"/>
              <w:right w:val="single" w:color="auto" w:sz="4" w:space="0"/>
            </w:tcBorders>
            <w:noWrap w:val="0"/>
            <w:vAlign w:val="center"/>
          </w:tcPr>
          <w:p>
            <w:pPr>
              <w:widowControl/>
              <w:spacing w:line="300" w:lineRule="exact"/>
              <w:jc w:val="center"/>
              <w:rPr>
                <w:kern w:val="0"/>
                <w:sz w:val="24"/>
              </w:rPr>
            </w:pPr>
            <w:r>
              <w:rPr>
                <w:rFonts w:hint="eastAsia" w:cs="宋体"/>
                <w:kern w:val="0"/>
                <w:sz w:val="24"/>
                <w:lang w:val="en-US" w:eastAsia="zh-CN"/>
              </w:rPr>
              <w:t>5</w:t>
            </w:r>
          </w:p>
        </w:tc>
      </w:tr>
      <w:tr>
        <w:tblPrEx>
          <w:tblCellMar>
            <w:top w:w="0" w:type="dxa"/>
            <w:left w:w="108" w:type="dxa"/>
            <w:bottom w:w="0" w:type="dxa"/>
            <w:right w:w="108" w:type="dxa"/>
          </w:tblCellMar>
        </w:tblPrEx>
        <w:trPr>
          <w:jc w:val="center"/>
        </w:trPr>
        <w:tc>
          <w:tcPr>
            <w:tcW w:w="679" w:type="dxa"/>
            <w:vMerge w:val="continue"/>
            <w:tcBorders>
              <w:top w:val="nil"/>
              <w:left w:val="single" w:color="auto" w:sz="4" w:space="0"/>
              <w:bottom w:val="single" w:color="auto" w:sz="4" w:space="0"/>
              <w:right w:val="single" w:color="auto" w:sz="4" w:space="0"/>
            </w:tcBorders>
            <w:noWrap w:val="0"/>
            <w:vAlign w:val="center"/>
          </w:tcPr>
          <w:p/>
        </w:tc>
        <w:tc>
          <w:tcPr>
            <w:tcW w:w="645" w:type="dxa"/>
            <w:vMerge w:val="continue"/>
            <w:tcBorders>
              <w:top w:val="nil"/>
              <w:left w:val="single" w:color="auto" w:sz="4" w:space="0"/>
              <w:bottom w:val="single" w:color="auto" w:sz="4" w:space="0"/>
              <w:right w:val="single" w:color="auto" w:sz="4" w:space="0"/>
            </w:tcBorders>
            <w:noWrap w:val="0"/>
            <w:vAlign w:val="center"/>
          </w:tcPr>
          <w:p/>
        </w:tc>
        <w:tc>
          <w:tcPr>
            <w:tcW w:w="720" w:type="dxa"/>
            <w:vMerge w:val="continue"/>
            <w:tcBorders>
              <w:top w:val="nil"/>
              <w:left w:val="nil"/>
              <w:bottom w:val="single" w:color="auto" w:sz="4" w:space="0"/>
              <w:right w:val="single" w:color="auto" w:sz="4" w:space="0"/>
            </w:tcBorders>
            <w:noWrap w:val="0"/>
            <w:vAlign w:val="center"/>
          </w:tcPr>
          <w:p/>
        </w:tc>
        <w:tc>
          <w:tcPr>
            <w:tcW w:w="585" w:type="dxa"/>
            <w:vMerge w:val="continue"/>
            <w:tcBorders>
              <w:top w:val="nil"/>
              <w:left w:val="single" w:color="auto" w:sz="4" w:space="0"/>
              <w:bottom w:val="single" w:color="000000" w:sz="4" w:space="0"/>
              <w:right w:val="single" w:color="auto" w:sz="4" w:space="0"/>
            </w:tcBorders>
            <w:noWrap w:val="0"/>
            <w:vAlign w:val="center"/>
          </w:tcPr>
          <w:p/>
        </w:tc>
        <w:tc>
          <w:tcPr>
            <w:tcW w:w="855" w:type="dxa"/>
            <w:tcBorders>
              <w:top w:val="nil"/>
              <w:left w:val="nil"/>
              <w:bottom w:val="single" w:color="auto" w:sz="4" w:space="0"/>
              <w:right w:val="single" w:color="auto" w:sz="4" w:space="0"/>
            </w:tcBorders>
            <w:noWrap w:val="0"/>
            <w:vAlign w:val="center"/>
          </w:tcPr>
          <w:p>
            <w:pPr>
              <w:widowControl/>
              <w:spacing w:line="300" w:lineRule="exact"/>
              <w:jc w:val="left"/>
              <w:rPr>
                <w:rFonts w:eastAsia="仿宋_GB2312"/>
                <w:kern w:val="0"/>
                <w:sz w:val="20"/>
                <w:szCs w:val="20"/>
              </w:rPr>
            </w:pP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变动率</w:t>
            </w:r>
          </w:p>
        </w:tc>
        <w:tc>
          <w:tcPr>
            <w:tcW w:w="496" w:type="dxa"/>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kern w:val="0"/>
                <w:sz w:val="20"/>
                <w:szCs w:val="20"/>
              </w:rPr>
            </w:pPr>
            <w:r>
              <w:rPr>
                <w:rFonts w:eastAsia="仿宋_GB2312"/>
                <w:kern w:val="0"/>
                <w:sz w:val="20"/>
                <w:szCs w:val="20"/>
              </w:rPr>
              <w:t>5</w:t>
            </w:r>
          </w:p>
        </w:tc>
        <w:tc>
          <w:tcPr>
            <w:tcW w:w="325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kern w:val="0"/>
                <w:sz w:val="20"/>
                <w:szCs w:val="20"/>
              </w:rPr>
            </w:pP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变动率</w:t>
            </w:r>
            <w:r>
              <w:rPr>
                <w:rFonts w:hint="eastAsia" w:ascii="宋体" w:cs="宋体"/>
                <w:kern w:val="0"/>
                <w:sz w:val="20"/>
                <w:szCs w:val="20"/>
              </w:rPr>
              <w:t>≦</w:t>
            </w:r>
            <w:r>
              <w:rPr>
                <w:rFonts w:eastAsia="仿宋_GB2312"/>
                <w:kern w:val="0"/>
                <w:sz w:val="20"/>
                <w:szCs w:val="20"/>
              </w:rPr>
              <w:t>0,</w:t>
            </w:r>
            <w:r>
              <w:rPr>
                <w:rFonts w:hint="eastAsia" w:eastAsia="仿宋_GB2312" w:cs="仿宋_GB2312"/>
                <w:kern w:val="0"/>
                <w:sz w:val="20"/>
                <w:szCs w:val="20"/>
              </w:rPr>
              <w:t>计</w:t>
            </w:r>
            <w:r>
              <w:rPr>
                <w:rFonts w:eastAsia="仿宋_GB2312"/>
                <w:kern w:val="0"/>
                <w:sz w:val="20"/>
                <w:szCs w:val="20"/>
              </w:rPr>
              <w:t>8</w:t>
            </w:r>
            <w:r>
              <w:rPr>
                <w:rFonts w:hint="eastAsia" w:eastAsia="仿宋_GB2312" w:cs="仿宋_GB2312"/>
                <w:kern w:val="0"/>
                <w:sz w:val="20"/>
                <w:szCs w:val="20"/>
              </w:rPr>
              <w:t>分；</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w:t>
            </w:r>
            <w:r>
              <w:rPr>
                <w:rFonts w:eastAsia="仿宋_GB2312"/>
                <w:kern w:val="0"/>
                <w:sz w:val="20"/>
                <w:szCs w:val="20"/>
              </w:rPr>
              <w:t>0</w:t>
            </w:r>
            <w:r>
              <w:rPr>
                <w:rFonts w:hint="eastAsia" w:eastAsia="仿宋_GB2312" w:cs="仿宋_GB2312"/>
                <w:kern w:val="0"/>
                <w:sz w:val="20"/>
                <w:szCs w:val="20"/>
              </w:rPr>
              <w:t>，每超过一个百分点扣</w:t>
            </w:r>
            <w:r>
              <w:rPr>
                <w:rFonts w:eastAsia="仿宋_GB2312"/>
                <w:kern w:val="0"/>
                <w:sz w:val="20"/>
                <w:szCs w:val="20"/>
              </w:rPr>
              <w:t>0.8</w:t>
            </w:r>
            <w:r>
              <w:rPr>
                <w:rFonts w:hint="eastAsia" w:eastAsia="仿宋_GB2312" w:cs="仿宋_GB2312"/>
                <w:kern w:val="0"/>
                <w:sz w:val="20"/>
                <w:szCs w:val="20"/>
              </w:rPr>
              <w:t>分，扣完为止。</w:t>
            </w:r>
          </w:p>
        </w:tc>
        <w:tc>
          <w:tcPr>
            <w:tcW w:w="2722" w:type="dxa"/>
            <w:tcBorders>
              <w:top w:val="nil"/>
              <w:left w:val="nil"/>
              <w:bottom w:val="single" w:color="auto" w:sz="4" w:space="0"/>
              <w:right w:val="single" w:color="auto" w:sz="4" w:space="0"/>
            </w:tcBorders>
            <w:noWrap w:val="0"/>
            <w:vAlign w:val="center"/>
          </w:tcPr>
          <w:p>
            <w:pPr>
              <w:widowControl/>
              <w:spacing w:line="300" w:lineRule="exact"/>
              <w:jc w:val="left"/>
              <w:rPr>
                <w:rFonts w:eastAsia="仿宋_GB2312"/>
                <w:kern w:val="0"/>
                <w:sz w:val="20"/>
                <w:szCs w:val="20"/>
              </w:rPr>
            </w:pP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变动率</w:t>
            </w:r>
            <w:r>
              <w:rPr>
                <w:rFonts w:eastAsia="仿宋_GB2312"/>
                <w:kern w:val="0"/>
                <w:sz w:val="20"/>
                <w:szCs w:val="20"/>
              </w:rPr>
              <w:t>=[</w:t>
            </w:r>
            <w:r>
              <w:rPr>
                <w:rFonts w:hint="eastAsia" w:eastAsia="仿宋_GB2312" w:cs="仿宋_GB2312"/>
                <w:kern w:val="0"/>
                <w:sz w:val="20"/>
                <w:szCs w:val="20"/>
              </w:rPr>
              <w:t>（本年度</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预算数</w:t>
            </w:r>
            <w:r>
              <w:rPr>
                <w:rFonts w:eastAsia="仿宋_GB2312"/>
                <w:kern w:val="0"/>
                <w:sz w:val="20"/>
                <w:szCs w:val="20"/>
              </w:rPr>
              <w:t>-</w:t>
            </w:r>
            <w:r>
              <w:rPr>
                <w:rFonts w:hint="eastAsia" w:eastAsia="仿宋_GB2312" w:cs="仿宋_GB2312"/>
                <w:kern w:val="0"/>
                <w:sz w:val="20"/>
                <w:szCs w:val="20"/>
              </w:rPr>
              <w:t>上年度</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预算数）</w:t>
            </w:r>
            <w:r>
              <w:rPr>
                <w:rFonts w:eastAsia="仿宋_GB2312"/>
                <w:kern w:val="0"/>
                <w:sz w:val="20"/>
                <w:szCs w:val="20"/>
              </w:rPr>
              <w:t>/</w:t>
            </w:r>
            <w:r>
              <w:rPr>
                <w:rFonts w:hint="eastAsia" w:eastAsia="仿宋_GB2312" w:cs="仿宋_GB2312"/>
                <w:kern w:val="0"/>
                <w:sz w:val="20"/>
                <w:szCs w:val="20"/>
              </w:rPr>
              <w:t>上年度</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预算数</w:t>
            </w:r>
            <w:r>
              <w:rPr>
                <w:rFonts w:eastAsia="仿宋_GB2312"/>
                <w:kern w:val="0"/>
                <w:sz w:val="20"/>
                <w:szCs w:val="20"/>
              </w:rPr>
              <w:t>]×100%</w:t>
            </w:r>
          </w:p>
        </w:tc>
        <w:tc>
          <w:tcPr>
            <w:tcW w:w="637"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eastAsia="宋体"/>
                <w:kern w:val="0"/>
                <w:sz w:val="24"/>
                <w:lang w:val="en-US" w:eastAsia="zh-CN"/>
              </w:rPr>
            </w:pPr>
            <w:r>
              <w:rPr>
                <w:rFonts w:hint="eastAsia" w:cs="宋体"/>
                <w:kern w:val="0"/>
                <w:sz w:val="24"/>
                <w:lang w:val="en-US" w:eastAsia="zh-CN"/>
              </w:rPr>
              <w:t>5</w:t>
            </w:r>
          </w:p>
        </w:tc>
      </w:tr>
      <w:tr>
        <w:tblPrEx>
          <w:tblCellMar>
            <w:top w:w="0" w:type="dxa"/>
            <w:left w:w="108" w:type="dxa"/>
            <w:bottom w:w="0" w:type="dxa"/>
            <w:right w:w="108" w:type="dxa"/>
          </w:tblCellMar>
        </w:tblPrEx>
        <w:trPr>
          <w:jc w:val="center"/>
        </w:trPr>
        <w:tc>
          <w:tcPr>
            <w:tcW w:w="67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cs="仿宋_GB2312"/>
                <w:kern w:val="0"/>
                <w:sz w:val="20"/>
                <w:szCs w:val="20"/>
              </w:rPr>
            </w:pPr>
            <w:r>
              <w:rPr>
                <w:rFonts w:hint="eastAsia" w:eastAsia="仿宋_GB2312" w:cs="仿宋_GB2312"/>
                <w:kern w:val="0"/>
                <w:sz w:val="20"/>
                <w:szCs w:val="20"/>
              </w:rPr>
              <w:t>过</w:t>
            </w:r>
          </w:p>
          <w:p>
            <w:pPr>
              <w:widowControl/>
              <w:spacing w:line="300" w:lineRule="exact"/>
              <w:jc w:val="center"/>
              <w:rPr>
                <w:rFonts w:eastAsia="仿宋_GB2312" w:cs="仿宋_GB2312"/>
                <w:kern w:val="0"/>
                <w:sz w:val="20"/>
                <w:szCs w:val="20"/>
              </w:rPr>
            </w:pPr>
          </w:p>
          <w:p>
            <w:pPr>
              <w:widowControl/>
              <w:spacing w:line="300" w:lineRule="exact"/>
              <w:jc w:val="center"/>
              <w:rPr>
                <w:rFonts w:eastAsia="仿宋_GB2312" w:cs="仿宋_GB2312"/>
                <w:kern w:val="0"/>
                <w:sz w:val="20"/>
                <w:szCs w:val="20"/>
              </w:rPr>
            </w:pPr>
          </w:p>
          <w:p>
            <w:pPr>
              <w:widowControl/>
              <w:spacing w:line="300" w:lineRule="exact"/>
              <w:jc w:val="center"/>
              <w:rPr>
                <w:rFonts w:eastAsia="仿宋_GB2312"/>
                <w:kern w:val="0"/>
                <w:sz w:val="20"/>
                <w:szCs w:val="20"/>
              </w:rPr>
            </w:pPr>
            <w:r>
              <w:rPr>
                <w:rFonts w:eastAsia="仿宋_GB2312"/>
                <w:kern w:val="0"/>
                <w:sz w:val="20"/>
                <w:szCs w:val="20"/>
              </w:rPr>
              <w:t xml:space="preserve">                                                                                                                                       </w:t>
            </w:r>
            <w:r>
              <w:rPr>
                <w:rFonts w:hint="eastAsia" w:eastAsia="仿宋_GB2312" w:cs="仿宋_GB2312"/>
                <w:kern w:val="0"/>
                <w:sz w:val="20"/>
                <w:szCs w:val="20"/>
              </w:rPr>
              <w:t>程</w:t>
            </w:r>
            <w:r>
              <w:rPr>
                <w:rFonts w:eastAsia="仿宋_GB2312"/>
                <w:kern w:val="0"/>
                <w:sz w:val="20"/>
                <w:szCs w:val="20"/>
              </w:rPr>
              <w:t xml:space="preserve">                                                                                                                                     </w:t>
            </w:r>
          </w:p>
        </w:tc>
        <w:tc>
          <w:tcPr>
            <w:tcW w:w="64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kern w:val="0"/>
                <w:sz w:val="20"/>
                <w:szCs w:val="20"/>
              </w:rPr>
            </w:pPr>
            <w:r>
              <w:rPr>
                <w:rFonts w:hint="eastAsia" w:eastAsia="仿宋_GB2312"/>
                <w:kern w:val="0"/>
                <w:sz w:val="20"/>
                <w:szCs w:val="20"/>
              </w:rPr>
              <w:t>6</w:t>
            </w:r>
            <w:r>
              <w:rPr>
                <w:rFonts w:eastAsia="仿宋_GB2312"/>
                <w:kern w:val="0"/>
                <w:sz w:val="20"/>
                <w:szCs w:val="20"/>
              </w:rPr>
              <w:t>0</w:t>
            </w:r>
          </w:p>
        </w:tc>
        <w:tc>
          <w:tcPr>
            <w:tcW w:w="720" w:type="dxa"/>
            <w:vMerge w:val="restart"/>
            <w:tcBorders>
              <w:top w:val="nil"/>
              <w:left w:val="single" w:color="auto" w:sz="4" w:space="0"/>
              <w:bottom w:val="single" w:color="000000" w:sz="4" w:space="0"/>
              <w:right w:val="single" w:color="auto" w:sz="4" w:space="0"/>
            </w:tcBorders>
            <w:noWrap w:val="0"/>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预算执行</w:t>
            </w:r>
          </w:p>
        </w:tc>
        <w:tc>
          <w:tcPr>
            <w:tcW w:w="585" w:type="dxa"/>
            <w:vMerge w:val="restart"/>
            <w:tcBorders>
              <w:top w:val="nil"/>
              <w:left w:val="single" w:color="auto" w:sz="4" w:space="0"/>
              <w:bottom w:val="single" w:color="000000" w:sz="4" w:space="0"/>
              <w:right w:val="single" w:color="auto" w:sz="4" w:space="0"/>
            </w:tcBorders>
            <w:noWrap w:val="0"/>
            <w:vAlign w:val="center"/>
          </w:tcPr>
          <w:p>
            <w:pPr>
              <w:widowControl/>
              <w:spacing w:line="300" w:lineRule="exact"/>
              <w:jc w:val="center"/>
              <w:rPr>
                <w:rFonts w:eastAsia="仿宋_GB2312"/>
                <w:kern w:val="0"/>
                <w:sz w:val="20"/>
                <w:szCs w:val="20"/>
              </w:rPr>
            </w:pPr>
            <w:r>
              <w:rPr>
                <w:rFonts w:hint="eastAsia" w:eastAsia="仿宋_GB2312"/>
                <w:kern w:val="0"/>
                <w:sz w:val="20"/>
                <w:szCs w:val="20"/>
              </w:rPr>
              <w:t>1</w:t>
            </w:r>
            <w:r>
              <w:rPr>
                <w:rFonts w:eastAsia="仿宋_GB2312"/>
                <w:kern w:val="0"/>
                <w:sz w:val="20"/>
                <w:szCs w:val="20"/>
              </w:rPr>
              <w:t>0</w:t>
            </w:r>
          </w:p>
        </w:tc>
        <w:tc>
          <w:tcPr>
            <w:tcW w:w="855" w:type="dxa"/>
            <w:tcBorders>
              <w:top w:val="nil"/>
              <w:left w:val="nil"/>
              <w:bottom w:val="single" w:color="auto" w:sz="4" w:space="0"/>
              <w:right w:val="single" w:color="auto" w:sz="4" w:space="0"/>
            </w:tcBorders>
            <w:noWrap w:val="0"/>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预算完成率</w:t>
            </w:r>
          </w:p>
        </w:tc>
        <w:tc>
          <w:tcPr>
            <w:tcW w:w="496" w:type="dxa"/>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kern w:val="0"/>
                <w:sz w:val="20"/>
                <w:szCs w:val="20"/>
              </w:rPr>
            </w:pPr>
            <w:r>
              <w:rPr>
                <w:rFonts w:eastAsia="仿宋_GB2312"/>
                <w:kern w:val="0"/>
                <w:sz w:val="20"/>
                <w:szCs w:val="20"/>
              </w:rPr>
              <w:t>5</w:t>
            </w:r>
          </w:p>
        </w:tc>
        <w:tc>
          <w:tcPr>
            <w:tcW w:w="3259" w:type="dxa"/>
            <w:tcBorders>
              <w:top w:val="nil"/>
              <w:left w:val="nil"/>
              <w:bottom w:val="single" w:color="auto" w:sz="4" w:space="0"/>
              <w:right w:val="single" w:color="auto" w:sz="4" w:space="0"/>
            </w:tcBorders>
            <w:noWrap w:val="0"/>
            <w:vAlign w:val="center"/>
          </w:tcPr>
          <w:p>
            <w:pPr>
              <w:widowControl/>
              <w:spacing w:line="300" w:lineRule="exact"/>
              <w:jc w:val="left"/>
              <w:rPr>
                <w:rFonts w:eastAsia="仿宋_GB2312"/>
                <w:kern w:val="0"/>
                <w:sz w:val="20"/>
                <w:szCs w:val="20"/>
              </w:rPr>
            </w:pPr>
            <w:r>
              <w:rPr>
                <w:rFonts w:eastAsia="仿宋_GB2312"/>
                <w:kern w:val="0"/>
                <w:sz w:val="20"/>
                <w:szCs w:val="20"/>
              </w:rPr>
              <w:t>100%</w:t>
            </w:r>
            <w:r>
              <w:rPr>
                <w:rFonts w:hint="eastAsia" w:eastAsia="仿宋_GB2312" w:cs="仿宋_GB2312"/>
                <w:kern w:val="0"/>
                <w:sz w:val="20"/>
                <w:szCs w:val="20"/>
              </w:rPr>
              <w:t>计满分，每低于</w:t>
            </w:r>
            <w:r>
              <w:rPr>
                <w:rFonts w:eastAsia="仿宋_GB2312"/>
                <w:kern w:val="0"/>
                <w:sz w:val="20"/>
                <w:szCs w:val="20"/>
              </w:rPr>
              <w:t>5%</w:t>
            </w:r>
            <w:r>
              <w:rPr>
                <w:rFonts w:hint="eastAsia" w:eastAsia="仿宋_GB2312" w:cs="仿宋_GB2312"/>
                <w:kern w:val="0"/>
                <w:sz w:val="20"/>
                <w:szCs w:val="20"/>
              </w:rPr>
              <w:t>扣</w:t>
            </w:r>
            <w:r>
              <w:rPr>
                <w:rFonts w:eastAsia="仿宋_GB2312"/>
                <w:kern w:val="0"/>
                <w:sz w:val="20"/>
                <w:szCs w:val="20"/>
              </w:rPr>
              <w:t>2</w:t>
            </w:r>
            <w:r>
              <w:rPr>
                <w:rFonts w:hint="eastAsia" w:eastAsia="仿宋_GB2312" w:cs="仿宋_GB2312"/>
                <w:kern w:val="0"/>
                <w:sz w:val="20"/>
                <w:szCs w:val="20"/>
              </w:rPr>
              <w:t>分，扣完为止。</w:t>
            </w:r>
          </w:p>
        </w:tc>
        <w:tc>
          <w:tcPr>
            <w:tcW w:w="2722" w:type="dxa"/>
            <w:tcBorders>
              <w:top w:val="nil"/>
              <w:left w:val="nil"/>
              <w:bottom w:val="single" w:color="auto" w:sz="4" w:space="0"/>
              <w:right w:val="single" w:color="auto" w:sz="4" w:space="0"/>
            </w:tcBorders>
            <w:noWrap w:val="0"/>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预算完成率</w:t>
            </w:r>
            <w:r>
              <w:rPr>
                <w:rFonts w:eastAsia="仿宋_GB2312"/>
                <w:kern w:val="0"/>
                <w:sz w:val="20"/>
                <w:szCs w:val="20"/>
              </w:rPr>
              <w:t>=</w:t>
            </w:r>
            <w:r>
              <w:rPr>
                <w:rFonts w:hint="eastAsia" w:eastAsia="仿宋_GB2312" w:cs="仿宋_GB2312"/>
                <w:kern w:val="0"/>
                <w:sz w:val="20"/>
                <w:szCs w:val="20"/>
              </w:rPr>
              <w:t>（上年结转</w:t>
            </w:r>
            <w:r>
              <w:rPr>
                <w:rFonts w:eastAsia="仿宋_GB2312"/>
                <w:kern w:val="0"/>
                <w:sz w:val="20"/>
                <w:szCs w:val="20"/>
              </w:rPr>
              <w:t>+</w:t>
            </w:r>
            <w:r>
              <w:rPr>
                <w:rFonts w:hint="eastAsia" w:eastAsia="仿宋_GB2312" w:cs="仿宋_GB2312"/>
                <w:kern w:val="0"/>
                <w:sz w:val="20"/>
                <w:szCs w:val="20"/>
              </w:rPr>
              <w:t>年初预算</w:t>
            </w:r>
            <w:r>
              <w:rPr>
                <w:rFonts w:eastAsia="仿宋_GB2312"/>
                <w:kern w:val="0"/>
                <w:sz w:val="20"/>
                <w:szCs w:val="20"/>
              </w:rPr>
              <w:t>+</w:t>
            </w:r>
            <w:r>
              <w:rPr>
                <w:rFonts w:hint="eastAsia" w:eastAsia="仿宋_GB2312" w:cs="仿宋_GB2312"/>
                <w:kern w:val="0"/>
                <w:sz w:val="20"/>
                <w:szCs w:val="20"/>
              </w:rPr>
              <w:t>本年追加预算</w:t>
            </w:r>
            <w:r>
              <w:rPr>
                <w:rFonts w:eastAsia="仿宋_GB2312"/>
                <w:kern w:val="0"/>
                <w:sz w:val="20"/>
                <w:szCs w:val="20"/>
              </w:rPr>
              <w:t>-</w:t>
            </w:r>
            <w:r>
              <w:rPr>
                <w:rFonts w:hint="eastAsia" w:eastAsia="仿宋_GB2312" w:cs="仿宋_GB2312"/>
                <w:kern w:val="0"/>
                <w:sz w:val="20"/>
                <w:szCs w:val="20"/>
              </w:rPr>
              <w:t>年末结余）</w:t>
            </w:r>
            <w:r>
              <w:rPr>
                <w:rFonts w:eastAsia="仿宋_GB2312"/>
                <w:kern w:val="0"/>
                <w:sz w:val="20"/>
                <w:szCs w:val="20"/>
              </w:rPr>
              <w:t>/</w:t>
            </w:r>
            <w:r>
              <w:rPr>
                <w:rFonts w:hint="eastAsia" w:eastAsia="仿宋_GB2312" w:cs="仿宋_GB2312"/>
                <w:kern w:val="0"/>
                <w:sz w:val="20"/>
                <w:szCs w:val="20"/>
              </w:rPr>
              <w:t>（上年结转</w:t>
            </w:r>
            <w:r>
              <w:rPr>
                <w:rFonts w:eastAsia="仿宋_GB2312"/>
                <w:kern w:val="0"/>
                <w:sz w:val="20"/>
                <w:szCs w:val="20"/>
              </w:rPr>
              <w:t>+</w:t>
            </w:r>
            <w:r>
              <w:rPr>
                <w:rFonts w:hint="eastAsia" w:eastAsia="仿宋_GB2312" w:cs="仿宋_GB2312"/>
                <w:kern w:val="0"/>
                <w:sz w:val="20"/>
                <w:szCs w:val="20"/>
              </w:rPr>
              <w:t>年初预算</w:t>
            </w:r>
            <w:r>
              <w:rPr>
                <w:rFonts w:eastAsia="仿宋_GB2312"/>
                <w:kern w:val="0"/>
                <w:sz w:val="20"/>
                <w:szCs w:val="20"/>
              </w:rPr>
              <w:t>+</w:t>
            </w:r>
            <w:r>
              <w:rPr>
                <w:rFonts w:hint="eastAsia" w:eastAsia="仿宋_GB2312" w:cs="仿宋_GB2312"/>
                <w:kern w:val="0"/>
                <w:sz w:val="20"/>
                <w:szCs w:val="20"/>
              </w:rPr>
              <w:t>本年追加预算）</w:t>
            </w:r>
            <w:r>
              <w:rPr>
                <w:rFonts w:eastAsia="仿宋_GB2312"/>
                <w:kern w:val="0"/>
                <w:sz w:val="20"/>
                <w:szCs w:val="20"/>
              </w:rPr>
              <w:t>×100%</w:t>
            </w:r>
            <w:r>
              <w:rPr>
                <w:rFonts w:hint="eastAsia" w:eastAsia="仿宋_GB2312" w:cs="仿宋_GB2312"/>
                <w:kern w:val="0"/>
                <w:sz w:val="20"/>
                <w:szCs w:val="20"/>
              </w:rPr>
              <w:t>。</w:t>
            </w:r>
          </w:p>
        </w:tc>
        <w:tc>
          <w:tcPr>
            <w:tcW w:w="637" w:type="dxa"/>
            <w:tcBorders>
              <w:top w:val="nil"/>
              <w:left w:val="nil"/>
              <w:bottom w:val="single" w:color="auto" w:sz="4" w:space="0"/>
              <w:right w:val="single" w:color="auto" w:sz="4" w:space="0"/>
            </w:tcBorders>
            <w:noWrap w:val="0"/>
            <w:vAlign w:val="center"/>
          </w:tcPr>
          <w:p>
            <w:pPr>
              <w:widowControl/>
              <w:spacing w:line="300" w:lineRule="exact"/>
              <w:jc w:val="center"/>
              <w:rPr>
                <w:kern w:val="0"/>
                <w:sz w:val="24"/>
              </w:rPr>
            </w:pPr>
            <w:r>
              <w:rPr>
                <w:rFonts w:hint="eastAsia" w:cs="宋体"/>
                <w:kern w:val="0"/>
                <w:sz w:val="24"/>
                <w:lang w:val="en-US" w:eastAsia="zh-CN"/>
              </w:rPr>
              <w:t>4</w:t>
            </w:r>
          </w:p>
        </w:tc>
      </w:tr>
      <w:tr>
        <w:tblPrEx>
          <w:tblCellMar>
            <w:top w:w="0" w:type="dxa"/>
            <w:left w:w="108" w:type="dxa"/>
            <w:bottom w:w="0" w:type="dxa"/>
            <w:right w:w="108" w:type="dxa"/>
          </w:tblCellMar>
        </w:tblPrEx>
        <w:trPr>
          <w:trHeight w:val="1273" w:hRule="atLeast"/>
          <w:jc w:val="center"/>
        </w:trPr>
        <w:tc>
          <w:tcPr>
            <w:tcW w:w="6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pPr>
          </w:p>
        </w:tc>
        <w:tc>
          <w:tcPr>
            <w:tcW w:w="645"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20" w:type="dxa"/>
            <w:vMerge w:val="continue"/>
            <w:tcBorders>
              <w:top w:val="nil"/>
              <w:left w:val="single" w:color="auto" w:sz="4" w:space="0"/>
              <w:bottom w:val="single" w:color="000000" w:sz="4" w:space="0"/>
              <w:right w:val="single" w:color="auto" w:sz="4" w:space="0"/>
            </w:tcBorders>
            <w:noWrap w:val="0"/>
            <w:vAlign w:val="center"/>
          </w:tcPr>
          <w:p/>
        </w:tc>
        <w:tc>
          <w:tcPr>
            <w:tcW w:w="585" w:type="dxa"/>
            <w:vMerge w:val="continue"/>
            <w:tcBorders>
              <w:top w:val="nil"/>
              <w:left w:val="single" w:color="auto" w:sz="4" w:space="0"/>
              <w:bottom w:val="single" w:color="000000" w:sz="4" w:space="0"/>
              <w:right w:val="single" w:color="auto" w:sz="4" w:space="0"/>
            </w:tcBorders>
            <w:noWrap w:val="0"/>
            <w:vAlign w:val="center"/>
          </w:tcPr>
          <w:p/>
        </w:tc>
        <w:tc>
          <w:tcPr>
            <w:tcW w:w="855" w:type="dxa"/>
            <w:tcBorders>
              <w:top w:val="nil"/>
              <w:left w:val="nil"/>
              <w:bottom w:val="single" w:color="auto" w:sz="4" w:space="0"/>
              <w:right w:val="single" w:color="auto" w:sz="4" w:space="0"/>
            </w:tcBorders>
            <w:noWrap w:val="0"/>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预算控制率</w:t>
            </w:r>
          </w:p>
        </w:tc>
        <w:tc>
          <w:tcPr>
            <w:tcW w:w="496" w:type="dxa"/>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kern w:val="0"/>
                <w:sz w:val="20"/>
                <w:szCs w:val="20"/>
              </w:rPr>
            </w:pPr>
            <w:r>
              <w:rPr>
                <w:rFonts w:eastAsia="仿宋_GB2312"/>
                <w:kern w:val="0"/>
                <w:sz w:val="20"/>
                <w:szCs w:val="20"/>
              </w:rPr>
              <w:t>5</w:t>
            </w:r>
          </w:p>
        </w:tc>
        <w:tc>
          <w:tcPr>
            <w:tcW w:w="3259" w:type="dxa"/>
            <w:tcBorders>
              <w:top w:val="nil"/>
              <w:left w:val="nil"/>
              <w:bottom w:val="single" w:color="auto" w:sz="4" w:space="0"/>
              <w:right w:val="single" w:color="auto" w:sz="4" w:space="0"/>
            </w:tcBorders>
            <w:noWrap w:val="0"/>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预算控制率</w:t>
            </w:r>
            <w:r>
              <w:rPr>
                <w:rFonts w:eastAsia="仿宋_GB2312"/>
                <w:kern w:val="0"/>
                <w:sz w:val="20"/>
                <w:szCs w:val="20"/>
              </w:rPr>
              <w:t>=0</w:t>
            </w:r>
            <w:r>
              <w:rPr>
                <w:rFonts w:hint="eastAsia" w:eastAsia="仿宋_GB2312" w:cs="仿宋_GB2312"/>
                <w:kern w:val="0"/>
                <w:sz w:val="20"/>
                <w:szCs w:val="20"/>
              </w:rPr>
              <w:t>，计</w:t>
            </w:r>
            <w:r>
              <w:rPr>
                <w:rFonts w:eastAsia="仿宋_GB2312"/>
                <w:kern w:val="0"/>
                <w:sz w:val="20"/>
                <w:szCs w:val="20"/>
              </w:rPr>
              <w:t>5</w:t>
            </w:r>
            <w:r>
              <w:rPr>
                <w:rFonts w:hint="eastAsia" w:eastAsia="仿宋_GB2312" w:cs="仿宋_GB2312"/>
                <w:kern w:val="0"/>
                <w:sz w:val="20"/>
                <w:szCs w:val="20"/>
              </w:rPr>
              <w:t>分；</w:t>
            </w:r>
            <w:r>
              <w:rPr>
                <w:rFonts w:eastAsia="仿宋_GB2312"/>
                <w:kern w:val="0"/>
                <w:sz w:val="20"/>
                <w:szCs w:val="20"/>
              </w:rPr>
              <w:t>0-10%</w:t>
            </w:r>
            <w:r>
              <w:rPr>
                <w:rFonts w:hint="eastAsia" w:eastAsia="仿宋_GB2312" w:cs="仿宋_GB2312"/>
                <w:kern w:val="0"/>
                <w:sz w:val="20"/>
                <w:szCs w:val="20"/>
              </w:rPr>
              <w:t>（含），计</w:t>
            </w:r>
            <w:r>
              <w:rPr>
                <w:rFonts w:eastAsia="仿宋_GB2312"/>
                <w:kern w:val="0"/>
                <w:sz w:val="20"/>
                <w:szCs w:val="20"/>
              </w:rPr>
              <w:t>4</w:t>
            </w:r>
            <w:r>
              <w:rPr>
                <w:rFonts w:hint="eastAsia" w:eastAsia="仿宋_GB2312" w:cs="仿宋_GB2312"/>
                <w:kern w:val="0"/>
                <w:sz w:val="20"/>
                <w:szCs w:val="20"/>
              </w:rPr>
              <w:t>分；</w:t>
            </w:r>
            <w:r>
              <w:rPr>
                <w:rFonts w:eastAsia="仿宋_GB2312"/>
                <w:kern w:val="0"/>
                <w:sz w:val="20"/>
                <w:szCs w:val="20"/>
              </w:rPr>
              <w:t>10-20%</w:t>
            </w:r>
            <w:r>
              <w:rPr>
                <w:rFonts w:hint="eastAsia" w:eastAsia="仿宋_GB2312" w:cs="仿宋_GB2312"/>
                <w:kern w:val="0"/>
                <w:sz w:val="20"/>
                <w:szCs w:val="20"/>
              </w:rPr>
              <w:t>（含），计</w:t>
            </w:r>
            <w:r>
              <w:rPr>
                <w:rFonts w:eastAsia="仿宋_GB2312"/>
                <w:kern w:val="0"/>
                <w:sz w:val="20"/>
                <w:szCs w:val="20"/>
              </w:rPr>
              <w:t>3</w:t>
            </w:r>
            <w:r>
              <w:rPr>
                <w:rFonts w:hint="eastAsia" w:eastAsia="仿宋_GB2312" w:cs="仿宋_GB2312"/>
                <w:kern w:val="0"/>
                <w:sz w:val="20"/>
                <w:szCs w:val="20"/>
              </w:rPr>
              <w:t>分；</w:t>
            </w:r>
            <w:r>
              <w:rPr>
                <w:rFonts w:eastAsia="仿宋_GB2312"/>
                <w:kern w:val="0"/>
                <w:sz w:val="20"/>
                <w:szCs w:val="20"/>
              </w:rPr>
              <w:t>20-30%</w:t>
            </w:r>
            <w:r>
              <w:rPr>
                <w:rFonts w:hint="eastAsia" w:eastAsia="仿宋_GB2312" w:cs="仿宋_GB2312"/>
                <w:kern w:val="0"/>
                <w:sz w:val="20"/>
                <w:szCs w:val="20"/>
              </w:rPr>
              <w:t>（含），计</w:t>
            </w:r>
            <w:r>
              <w:rPr>
                <w:rFonts w:eastAsia="仿宋_GB2312"/>
                <w:kern w:val="0"/>
                <w:sz w:val="20"/>
                <w:szCs w:val="20"/>
              </w:rPr>
              <w:t>2</w:t>
            </w:r>
            <w:r>
              <w:rPr>
                <w:rFonts w:hint="eastAsia" w:eastAsia="仿宋_GB2312" w:cs="仿宋_GB2312"/>
                <w:kern w:val="0"/>
                <w:sz w:val="20"/>
                <w:szCs w:val="20"/>
              </w:rPr>
              <w:t>分；大于</w:t>
            </w:r>
            <w:r>
              <w:rPr>
                <w:rFonts w:eastAsia="仿宋_GB2312"/>
                <w:kern w:val="0"/>
                <w:sz w:val="20"/>
                <w:szCs w:val="20"/>
              </w:rPr>
              <w:t>30%</w:t>
            </w:r>
            <w:r>
              <w:rPr>
                <w:rFonts w:hint="eastAsia" w:eastAsia="仿宋_GB2312" w:cs="仿宋_GB2312"/>
                <w:kern w:val="0"/>
                <w:sz w:val="20"/>
                <w:szCs w:val="20"/>
              </w:rPr>
              <w:t>不得分。</w:t>
            </w:r>
          </w:p>
        </w:tc>
        <w:tc>
          <w:tcPr>
            <w:tcW w:w="2722" w:type="dxa"/>
            <w:tcBorders>
              <w:top w:val="nil"/>
              <w:left w:val="nil"/>
              <w:bottom w:val="single" w:color="auto" w:sz="4" w:space="0"/>
              <w:right w:val="single" w:color="auto" w:sz="4" w:space="0"/>
            </w:tcBorders>
            <w:noWrap w:val="0"/>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预算控制率</w:t>
            </w:r>
            <w:r>
              <w:rPr>
                <w:rFonts w:eastAsia="仿宋_GB2312"/>
                <w:kern w:val="0"/>
                <w:sz w:val="20"/>
                <w:szCs w:val="20"/>
              </w:rPr>
              <w:t>=</w:t>
            </w:r>
            <w:r>
              <w:rPr>
                <w:rFonts w:hint="eastAsia" w:eastAsia="仿宋_GB2312" w:cs="仿宋_GB2312"/>
                <w:kern w:val="0"/>
                <w:sz w:val="20"/>
                <w:szCs w:val="20"/>
              </w:rPr>
              <w:t>（本年追加预算</w:t>
            </w:r>
            <w:r>
              <w:rPr>
                <w:rFonts w:eastAsia="仿宋_GB2312"/>
                <w:kern w:val="0"/>
                <w:sz w:val="20"/>
                <w:szCs w:val="20"/>
              </w:rPr>
              <w:t>/</w:t>
            </w:r>
            <w:r>
              <w:rPr>
                <w:rFonts w:hint="eastAsia" w:eastAsia="仿宋_GB2312" w:cs="仿宋_GB2312"/>
                <w:kern w:val="0"/>
                <w:sz w:val="20"/>
                <w:szCs w:val="20"/>
              </w:rPr>
              <w:t>年初预算）</w:t>
            </w:r>
            <w:r>
              <w:rPr>
                <w:rFonts w:eastAsia="仿宋_GB2312"/>
                <w:kern w:val="0"/>
                <w:sz w:val="20"/>
                <w:szCs w:val="20"/>
              </w:rPr>
              <w:t>×100%</w:t>
            </w:r>
            <w:r>
              <w:rPr>
                <w:rFonts w:hint="eastAsia" w:eastAsia="仿宋_GB2312" w:cs="仿宋_GB2312"/>
                <w:kern w:val="0"/>
                <w:sz w:val="20"/>
                <w:szCs w:val="20"/>
              </w:rPr>
              <w:t>。</w:t>
            </w:r>
          </w:p>
        </w:tc>
        <w:tc>
          <w:tcPr>
            <w:tcW w:w="637" w:type="dxa"/>
            <w:tcBorders>
              <w:top w:val="nil"/>
              <w:left w:val="nil"/>
              <w:bottom w:val="single" w:color="auto" w:sz="4" w:space="0"/>
              <w:right w:val="single" w:color="auto" w:sz="4" w:space="0"/>
            </w:tcBorders>
            <w:noWrap w:val="0"/>
            <w:vAlign w:val="center"/>
          </w:tcPr>
          <w:p>
            <w:pPr>
              <w:widowControl/>
              <w:spacing w:line="300" w:lineRule="exact"/>
              <w:jc w:val="center"/>
              <w:rPr>
                <w:kern w:val="0"/>
                <w:sz w:val="24"/>
              </w:rPr>
            </w:pPr>
            <w:r>
              <w:rPr>
                <w:rFonts w:hint="eastAsia" w:cs="宋体"/>
                <w:kern w:val="0"/>
                <w:sz w:val="24"/>
                <w:lang w:val="en-US" w:eastAsia="zh-CN"/>
              </w:rPr>
              <w:t>4</w:t>
            </w:r>
          </w:p>
        </w:tc>
      </w:tr>
      <w:tr>
        <w:tblPrEx>
          <w:tblCellMar>
            <w:top w:w="0" w:type="dxa"/>
            <w:left w:w="108" w:type="dxa"/>
            <w:bottom w:w="0" w:type="dxa"/>
            <w:right w:w="108" w:type="dxa"/>
          </w:tblCellMar>
        </w:tblPrEx>
        <w:trPr>
          <w:trHeight w:val="1562" w:hRule="atLeast"/>
          <w:jc w:val="center"/>
        </w:trPr>
        <w:tc>
          <w:tcPr>
            <w:tcW w:w="6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pPr>
          </w:p>
        </w:tc>
        <w:tc>
          <w:tcPr>
            <w:tcW w:w="645"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20" w:type="dxa"/>
            <w:vMerge w:val="restart"/>
            <w:tcBorders>
              <w:top w:val="nil"/>
              <w:left w:val="single" w:color="auto" w:sz="4" w:space="0"/>
              <w:bottom w:val="single" w:color="000000" w:sz="4" w:space="0"/>
              <w:right w:val="single" w:color="auto" w:sz="4" w:space="0"/>
            </w:tcBorders>
            <w:noWrap w:val="0"/>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预算管理</w:t>
            </w:r>
          </w:p>
        </w:tc>
        <w:tc>
          <w:tcPr>
            <w:tcW w:w="585" w:type="dxa"/>
            <w:vMerge w:val="restart"/>
            <w:tcBorders>
              <w:top w:val="nil"/>
              <w:left w:val="single" w:color="auto" w:sz="4" w:space="0"/>
              <w:bottom w:val="single" w:color="000000" w:sz="4" w:space="0"/>
              <w:right w:val="single" w:color="auto" w:sz="4" w:space="0"/>
            </w:tcBorders>
            <w:noWrap w:val="0"/>
            <w:vAlign w:val="center"/>
          </w:tcPr>
          <w:p>
            <w:pPr>
              <w:widowControl/>
              <w:spacing w:line="300" w:lineRule="exact"/>
              <w:jc w:val="center"/>
              <w:rPr>
                <w:rFonts w:eastAsia="仿宋_GB2312"/>
                <w:kern w:val="0"/>
                <w:sz w:val="20"/>
                <w:szCs w:val="20"/>
              </w:rPr>
            </w:pPr>
            <w:r>
              <w:rPr>
                <w:rFonts w:hint="eastAsia" w:eastAsia="仿宋_GB2312"/>
                <w:kern w:val="0"/>
                <w:sz w:val="20"/>
                <w:szCs w:val="20"/>
              </w:rPr>
              <w:t>5</w:t>
            </w:r>
            <w:r>
              <w:rPr>
                <w:rFonts w:eastAsia="仿宋_GB2312"/>
                <w:kern w:val="0"/>
                <w:sz w:val="20"/>
                <w:szCs w:val="20"/>
              </w:rPr>
              <w:t>0</w:t>
            </w:r>
          </w:p>
        </w:tc>
        <w:tc>
          <w:tcPr>
            <w:tcW w:w="855" w:type="dxa"/>
            <w:tcBorders>
              <w:top w:val="nil"/>
              <w:left w:val="nil"/>
              <w:bottom w:val="single" w:color="auto" w:sz="4" w:space="0"/>
              <w:right w:val="single" w:color="auto" w:sz="4" w:space="0"/>
            </w:tcBorders>
            <w:noWrap w:val="0"/>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公用经费控制率</w:t>
            </w:r>
          </w:p>
        </w:tc>
        <w:tc>
          <w:tcPr>
            <w:tcW w:w="496" w:type="dxa"/>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kern w:val="0"/>
                <w:sz w:val="20"/>
                <w:szCs w:val="20"/>
              </w:rPr>
            </w:pPr>
            <w:r>
              <w:rPr>
                <w:rFonts w:eastAsia="仿宋_GB2312"/>
                <w:kern w:val="0"/>
                <w:sz w:val="20"/>
                <w:szCs w:val="20"/>
              </w:rPr>
              <w:t>8</w:t>
            </w:r>
          </w:p>
        </w:tc>
        <w:tc>
          <w:tcPr>
            <w:tcW w:w="3259" w:type="dxa"/>
            <w:tcBorders>
              <w:top w:val="nil"/>
              <w:left w:val="nil"/>
              <w:bottom w:val="single" w:color="auto" w:sz="4" w:space="0"/>
              <w:right w:val="single" w:color="auto" w:sz="4" w:space="0"/>
            </w:tcBorders>
            <w:noWrap w:val="0"/>
            <w:vAlign w:val="center"/>
          </w:tcPr>
          <w:p>
            <w:pPr>
              <w:widowControl/>
              <w:spacing w:line="300" w:lineRule="exact"/>
              <w:jc w:val="left"/>
              <w:rPr>
                <w:rFonts w:eastAsia="仿宋_GB2312"/>
                <w:kern w:val="0"/>
                <w:sz w:val="20"/>
                <w:szCs w:val="20"/>
              </w:rPr>
            </w:pPr>
            <w:r>
              <w:rPr>
                <w:rFonts w:eastAsia="仿宋_GB2312"/>
                <w:kern w:val="0"/>
                <w:sz w:val="20"/>
                <w:szCs w:val="20"/>
              </w:rPr>
              <w:t>100%</w:t>
            </w:r>
            <w:r>
              <w:rPr>
                <w:rFonts w:hint="eastAsia" w:eastAsia="仿宋_GB2312" w:cs="仿宋_GB2312"/>
                <w:kern w:val="0"/>
                <w:sz w:val="20"/>
                <w:szCs w:val="20"/>
              </w:rPr>
              <w:t>以下（含）计满分，每超出</w:t>
            </w:r>
            <w:r>
              <w:rPr>
                <w:rFonts w:eastAsia="仿宋_GB2312"/>
                <w:kern w:val="0"/>
                <w:sz w:val="20"/>
                <w:szCs w:val="20"/>
              </w:rPr>
              <w:t>1%</w:t>
            </w:r>
            <w:r>
              <w:rPr>
                <w:rFonts w:hint="eastAsia" w:eastAsia="仿宋_GB2312" w:cs="仿宋_GB2312"/>
                <w:kern w:val="0"/>
                <w:sz w:val="20"/>
                <w:szCs w:val="20"/>
              </w:rPr>
              <w:t>扣</w:t>
            </w:r>
            <w:r>
              <w:rPr>
                <w:rFonts w:eastAsia="仿宋_GB2312"/>
                <w:kern w:val="0"/>
                <w:sz w:val="20"/>
                <w:szCs w:val="20"/>
              </w:rPr>
              <w:t>1</w:t>
            </w:r>
            <w:r>
              <w:rPr>
                <w:rFonts w:hint="eastAsia" w:eastAsia="仿宋_GB2312" w:cs="仿宋_GB2312"/>
                <w:kern w:val="0"/>
                <w:sz w:val="20"/>
                <w:szCs w:val="20"/>
              </w:rPr>
              <w:t>分，扣完为止。</w:t>
            </w:r>
          </w:p>
        </w:tc>
        <w:tc>
          <w:tcPr>
            <w:tcW w:w="2722" w:type="dxa"/>
            <w:tcBorders>
              <w:top w:val="nil"/>
              <w:left w:val="nil"/>
              <w:bottom w:val="single" w:color="auto" w:sz="4" w:space="0"/>
              <w:right w:val="single" w:color="auto" w:sz="4" w:space="0"/>
            </w:tcBorders>
            <w:noWrap w:val="0"/>
            <w:vAlign w:val="center"/>
          </w:tcPr>
          <w:p>
            <w:pPr>
              <w:widowControl/>
              <w:spacing w:line="300" w:lineRule="exact"/>
              <w:jc w:val="left"/>
              <w:rPr>
                <w:rFonts w:hint="eastAsia" w:eastAsia="仿宋_GB2312" w:cs="仿宋_GB2312"/>
                <w:kern w:val="0"/>
                <w:sz w:val="20"/>
                <w:szCs w:val="20"/>
                <w:lang w:eastAsia="zh-CN"/>
              </w:rPr>
            </w:pPr>
            <w:r>
              <w:rPr>
                <w:rFonts w:hint="eastAsia" w:eastAsia="仿宋_GB2312" w:cs="仿宋_GB2312"/>
                <w:kern w:val="0"/>
                <w:sz w:val="20"/>
                <w:szCs w:val="20"/>
              </w:rPr>
              <w:t>公用经费控制率</w:t>
            </w:r>
            <w:r>
              <w:rPr>
                <w:rFonts w:eastAsia="仿宋_GB2312"/>
                <w:kern w:val="0"/>
                <w:sz w:val="20"/>
                <w:szCs w:val="20"/>
              </w:rPr>
              <w:t>=</w:t>
            </w:r>
            <w:r>
              <w:rPr>
                <w:rFonts w:hint="eastAsia" w:eastAsia="仿宋_GB2312" w:cs="仿宋_GB2312"/>
                <w:kern w:val="0"/>
                <w:sz w:val="20"/>
                <w:szCs w:val="20"/>
              </w:rPr>
              <w:t>（实际支出公用经费总额</w:t>
            </w:r>
            <w:r>
              <w:rPr>
                <w:rFonts w:eastAsia="仿宋_GB2312"/>
                <w:kern w:val="0"/>
                <w:sz w:val="20"/>
                <w:szCs w:val="20"/>
              </w:rPr>
              <w:t>/</w:t>
            </w:r>
            <w:r>
              <w:rPr>
                <w:rFonts w:hint="eastAsia" w:eastAsia="仿宋_GB2312" w:cs="仿宋_GB2312"/>
                <w:kern w:val="0"/>
                <w:sz w:val="20"/>
                <w:szCs w:val="20"/>
              </w:rPr>
              <w:t>预算安排公用经费总额）</w:t>
            </w:r>
            <w:r>
              <w:rPr>
                <w:rFonts w:eastAsia="仿宋_GB2312"/>
                <w:kern w:val="0"/>
                <w:sz w:val="20"/>
                <w:szCs w:val="20"/>
              </w:rPr>
              <w:t>×100%</w:t>
            </w:r>
            <w:r>
              <w:rPr>
                <w:rFonts w:hint="eastAsia" w:eastAsia="仿宋_GB2312" w:cs="仿宋_GB2312"/>
                <w:kern w:val="0"/>
                <w:sz w:val="20"/>
                <w:szCs w:val="20"/>
              </w:rPr>
              <w:t>。</w:t>
            </w:r>
          </w:p>
          <w:p>
            <w:pPr>
              <w:widowControl/>
              <w:spacing w:line="300" w:lineRule="exact"/>
              <w:jc w:val="left"/>
              <w:rPr>
                <w:rFonts w:eastAsia="仿宋_GB2312"/>
                <w:kern w:val="0"/>
                <w:sz w:val="20"/>
                <w:szCs w:val="20"/>
              </w:rPr>
            </w:pPr>
            <w:r>
              <w:rPr>
                <w:rFonts w:hint="eastAsia" w:eastAsia="仿宋_GB2312" w:cs="仿宋_GB2312"/>
                <w:kern w:val="0"/>
                <w:sz w:val="20"/>
                <w:szCs w:val="20"/>
              </w:rPr>
              <w:t>公用经费支出是指部门基本支出中的一般商品和服务支出。</w:t>
            </w:r>
          </w:p>
        </w:tc>
        <w:tc>
          <w:tcPr>
            <w:tcW w:w="637"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eastAsia="宋体"/>
                <w:kern w:val="0"/>
                <w:sz w:val="24"/>
                <w:lang w:val="en-US" w:eastAsia="zh-CN"/>
              </w:rPr>
            </w:pPr>
            <w:r>
              <w:rPr>
                <w:rFonts w:hint="eastAsia" w:cs="宋体"/>
                <w:kern w:val="0"/>
                <w:sz w:val="24"/>
                <w:lang w:val="en-US" w:eastAsia="zh-CN"/>
              </w:rPr>
              <w:t>8</w:t>
            </w:r>
          </w:p>
        </w:tc>
      </w:tr>
      <w:tr>
        <w:tblPrEx>
          <w:tblCellMar>
            <w:top w:w="0" w:type="dxa"/>
            <w:left w:w="108" w:type="dxa"/>
            <w:bottom w:w="0" w:type="dxa"/>
            <w:right w:w="108" w:type="dxa"/>
          </w:tblCellMar>
        </w:tblPrEx>
        <w:trPr>
          <w:trHeight w:val="1073" w:hRule="atLeast"/>
          <w:jc w:val="center"/>
        </w:trPr>
        <w:tc>
          <w:tcPr>
            <w:tcW w:w="6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pPr>
          </w:p>
        </w:tc>
        <w:tc>
          <w:tcPr>
            <w:tcW w:w="645"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20" w:type="dxa"/>
            <w:vMerge w:val="continue"/>
            <w:tcBorders>
              <w:top w:val="nil"/>
              <w:left w:val="single" w:color="auto" w:sz="4" w:space="0"/>
              <w:bottom w:val="single" w:color="000000" w:sz="4" w:space="0"/>
              <w:right w:val="single" w:color="auto" w:sz="4" w:space="0"/>
            </w:tcBorders>
            <w:noWrap w:val="0"/>
            <w:vAlign w:val="center"/>
          </w:tcPr>
          <w:p/>
        </w:tc>
        <w:tc>
          <w:tcPr>
            <w:tcW w:w="585" w:type="dxa"/>
            <w:vMerge w:val="continue"/>
            <w:tcBorders>
              <w:top w:val="nil"/>
              <w:left w:val="single" w:color="auto" w:sz="4" w:space="0"/>
              <w:bottom w:val="single" w:color="000000" w:sz="4" w:space="0"/>
              <w:right w:val="single" w:color="auto" w:sz="4" w:space="0"/>
            </w:tcBorders>
            <w:noWrap w:val="0"/>
            <w:vAlign w:val="center"/>
          </w:tcPr>
          <w:p/>
        </w:tc>
        <w:tc>
          <w:tcPr>
            <w:tcW w:w="855" w:type="dxa"/>
            <w:tcBorders>
              <w:top w:val="nil"/>
              <w:left w:val="nil"/>
              <w:bottom w:val="single" w:color="auto" w:sz="4" w:space="0"/>
              <w:right w:val="single" w:color="auto" w:sz="4" w:space="0"/>
            </w:tcBorders>
            <w:noWrap w:val="0"/>
            <w:vAlign w:val="center"/>
          </w:tcPr>
          <w:p>
            <w:pPr>
              <w:widowControl/>
              <w:spacing w:line="300" w:lineRule="exact"/>
              <w:jc w:val="left"/>
              <w:rPr>
                <w:rFonts w:eastAsia="仿宋_GB2312"/>
                <w:kern w:val="0"/>
                <w:sz w:val="20"/>
                <w:szCs w:val="20"/>
              </w:rPr>
            </w:pP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控制率</w:t>
            </w:r>
          </w:p>
        </w:tc>
        <w:tc>
          <w:tcPr>
            <w:tcW w:w="496" w:type="dxa"/>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kern w:val="0"/>
                <w:sz w:val="20"/>
                <w:szCs w:val="20"/>
              </w:rPr>
            </w:pPr>
            <w:r>
              <w:rPr>
                <w:rFonts w:eastAsia="仿宋_GB2312"/>
                <w:kern w:val="0"/>
                <w:sz w:val="20"/>
                <w:szCs w:val="20"/>
              </w:rPr>
              <w:t>7</w:t>
            </w:r>
          </w:p>
        </w:tc>
        <w:tc>
          <w:tcPr>
            <w:tcW w:w="3259" w:type="dxa"/>
            <w:tcBorders>
              <w:top w:val="nil"/>
              <w:left w:val="nil"/>
              <w:bottom w:val="single" w:color="auto" w:sz="4" w:space="0"/>
              <w:right w:val="single" w:color="auto" w:sz="4" w:space="0"/>
            </w:tcBorders>
            <w:noWrap w:val="0"/>
            <w:vAlign w:val="center"/>
          </w:tcPr>
          <w:p>
            <w:pPr>
              <w:widowControl/>
              <w:spacing w:line="300" w:lineRule="exact"/>
              <w:jc w:val="left"/>
              <w:rPr>
                <w:rFonts w:eastAsia="仿宋_GB2312"/>
                <w:kern w:val="0"/>
                <w:sz w:val="20"/>
                <w:szCs w:val="20"/>
              </w:rPr>
            </w:pPr>
            <w:r>
              <w:rPr>
                <w:rFonts w:eastAsia="仿宋_GB2312"/>
                <w:kern w:val="0"/>
                <w:sz w:val="20"/>
                <w:szCs w:val="20"/>
              </w:rPr>
              <w:t>100%</w:t>
            </w:r>
            <w:r>
              <w:rPr>
                <w:rFonts w:hint="eastAsia" w:eastAsia="仿宋_GB2312" w:cs="仿宋_GB2312"/>
                <w:kern w:val="0"/>
                <w:sz w:val="20"/>
                <w:szCs w:val="20"/>
              </w:rPr>
              <w:t>以下（含）计满分，每超出</w:t>
            </w:r>
            <w:r>
              <w:rPr>
                <w:rFonts w:eastAsia="仿宋_GB2312"/>
                <w:kern w:val="0"/>
                <w:sz w:val="20"/>
                <w:szCs w:val="20"/>
              </w:rPr>
              <w:t>1%</w:t>
            </w:r>
            <w:r>
              <w:rPr>
                <w:rFonts w:hint="eastAsia" w:eastAsia="仿宋_GB2312" w:cs="仿宋_GB2312"/>
                <w:kern w:val="0"/>
                <w:sz w:val="20"/>
                <w:szCs w:val="20"/>
              </w:rPr>
              <w:t>扣</w:t>
            </w:r>
            <w:r>
              <w:rPr>
                <w:rFonts w:eastAsia="仿宋_GB2312"/>
                <w:kern w:val="0"/>
                <w:sz w:val="20"/>
                <w:szCs w:val="20"/>
              </w:rPr>
              <w:t>1</w:t>
            </w:r>
            <w:r>
              <w:rPr>
                <w:rFonts w:hint="eastAsia" w:eastAsia="仿宋_GB2312" w:cs="仿宋_GB2312"/>
                <w:kern w:val="0"/>
                <w:sz w:val="20"/>
                <w:szCs w:val="20"/>
              </w:rPr>
              <w:t>分，扣完为止。</w:t>
            </w:r>
          </w:p>
        </w:tc>
        <w:tc>
          <w:tcPr>
            <w:tcW w:w="2722" w:type="dxa"/>
            <w:tcBorders>
              <w:top w:val="nil"/>
              <w:left w:val="nil"/>
              <w:bottom w:val="single" w:color="auto" w:sz="4" w:space="0"/>
              <w:right w:val="single" w:color="auto" w:sz="4" w:space="0"/>
            </w:tcBorders>
            <w:noWrap w:val="0"/>
            <w:vAlign w:val="center"/>
          </w:tcPr>
          <w:p>
            <w:pPr>
              <w:widowControl/>
              <w:spacing w:line="300" w:lineRule="exact"/>
              <w:jc w:val="left"/>
              <w:rPr>
                <w:rFonts w:eastAsia="仿宋_GB2312"/>
                <w:kern w:val="0"/>
                <w:sz w:val="20"/>
                <w:szCs w:val="20"/>
              </w:rPr>
            </w:pP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控制率</w:t>
            </w:r>
            <w:r>
              <w:rPr>
                <w:rFonts w:eastAsia="仿宋_GB2312"/>
                <w:kern w:val="0"/>
                <w:sz w:val="20"/>
                <w:szCs w:val="20"/>
              </w:rPr>
              <w:t>-</w:t>
            </w:r>
            <w:r>
              <w:rPr>
                <w:rFonts w:hint="eastAsia" w:eastAsia="仿宋_GB2312" w:cs="仿宋_GB2312"/>
                <w:kern w:val="0"/>
                <w:sz w:val="20"/>
                <w:szCs w:val="20"/>
              </w:rPr>
              <w:t>（</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实际支出数</w:t>
            </w:r>
            <w:r>
              <w:rPr>
                <w:rFonts w:eastAsia="仿宋_GB2312"/>
                <w:kern w:val="0"/>
                <w:sz w:val="20"/>
                <w:szCs w:val="20"/>
              </w:rPr>
              <w:t>/“</w:t>
            </w:r>
            <w:r>
              <w:rPr>
                <w:rFonts w:hint="eastAsia" w:eastAsia="仿宋_GB2312" w:cs="仿宋_GB2312"/>
                <w:kern w:val="0"/>
                <w:sz w:val="20"/>
                <w:szCs w:val="20"/>
              </w:rPr>
              <w:t>三公经费</w:t>
            </w:r>
            <w:r>
              <w:rPr>
                <w:rFonts w:eastAsia="仿宋_GB2312"/>
                <w:kern w:val="0"/>
                <w:sz w:val="20"/>
                <w:szCs w:val="20"/>
              </w:rPr>
              <w:t>”</w:t>
            </w:r>
            <w:r>
              <w:rPr>
                <w:rFonts w:hint="eastAsia" w:eastAsia="仿宋_GB2312" w:cs="仿宋_GB2312"/>
                <w:kern w:val="0"/>
                <w:sz w:val="20"/>
                <w:szCs w:val="20"/>
              </w:rPr>
              <w:t>预算安排数）</w:t>
            </w:r>
            <w:r>
              <w:rPr>
                <w:rFonts w:eastAsia="仿宋_GB2312"/>
                <w:kern w:val="0"/>
                <w:sz w:val="20"/>
                <w:szCs w:val="20"/>
              </w:rPr>
              <w:t>×100%</w:t>
            </w:r>
            <w:r>
              <w:rPr>
                <w:rFonts w:hint="eastAsia" w:eastAsia="仿宋_GB2312" w:cs="仿宋_GB2312"/>
                <w:kern w:val="0"/>
                <w:sz w:val="20"/>
                <w:szCs w:val="20"/>
              </w:rPr>
              <w:t>。</w:t>
            </w:r>
          </w:p>
        </w:tc>
        <w:tc>
          <w:tcPr>
            <w:tcW w:w="637"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eastAsia="宋体"/>
                <w:kern w:val="0"/>
                <w:sz w:val="24"/>
                <w:lang w:val="en-US" w:eastAsia="zh-CN"/>
              </w:rPr>
            </w:pPr>
            <w:r>
              <w:rPr>
                <w:rFonts w:hint="eastAsia" w:cs="宋体"/>
                <w:kern w:val="0"/>
                <w:sz w:val="24"/>
                <w:lang w:val="en-US" w:eastAsia="zh-CN"/>
              </w:rPr>
              <w:t>7</w:t>
            </w:r>
          </w:p>
        </w:tc>
      </w:tr>
      <w:tr>
        <w:tblPrEx>
          <w:tblCellMar>
            <w:top w:w="0" w:type="dxa"/>
            <w:left w:w="108" w:type="dxa"/>
            <w:bottom w:w="0" w:type="dxa"/>
            <w:right w:w="108" w:type="dxa"/>
          </w:tblCellMar>
        </w:tblPrEx>
        <w:trPr>
          <w:trHeight w:val="918" w:hRule="atLeast"/>
          <w:jc w:val="center"/>
        </w:trPr>
        <w:tc>
          <w:tcPr>
            <w:tcW w:w="6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pPr>
          </w:p>
        </w:tc>
        <w:tc>
          <w:tcPr>
            <w:tcW w:w="645"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20" w:type="dxa"/>
            <w:vMerge w:val="continue"/>
            <w:tcBorders>
              <w:top w:val="nil"/>
              <w:left w:val="single" w:color="auto" w:sz="4" w:space="0"/>
              <w:bottom w:val="single" w:color="000000" w:sz="4" w:space="0"/>
              <w:right w:val="single" w:color="auto" w:sz="4" w:space="0"/>
            </w:tcBorders>
            <w:noWrap w:val="0"/>
            <w:vAlign w:val="center"/>
          </w:tcPr>
          <w:p/>
        </w:tc>
        <w:tc>
          <w:tcPr>
            <w:tcW w:w="585" w:type="dxa"/>
            <w:vMerge w:val="continue"/>
            <w:tcBorders>
              <w:top w:val="nil"/>
              <w:left w:val="single" w:color="auto" w:sz="4" w:space="0"/>
              <w:bottom w:val="single" w:color="000000" w:sz="4" w:space="0"/>
              <w:right w:val="single" w:color="auto" w:sz="4" w:space="0"/>
            </w:tcBorders>
            <w:noWrap w:val="0"/>
            <w:vAlign w:val="center"/>
          </w:tcPr>
          <w:p/>
        </w:tc>
        <w:tc>
          <w:tcPr>
            <w:tcW w:w="855" w:type="dxa"/>
            <w:tcBorders>
              <w:top w:val="nil"/>
              <w:left w:val="nil"/>
              <w:bottom w:val="single" w:color="auto" w:sz="4" w:space="0"/>
              <w:right w:val="single" w:color="auto" w:sz="4" w:space="0"/>
            </w:tcBorders>
            <w:noWrap w:val="0"/>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政府采购执行率</w:t>
            </w:r>
          </w:p>
        </w:tc>
        <w:tc>
          <w:tcPr>
            <w:tcW w:w="496" w:type="dxa"/>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kern w:val="0"/>
                <w:sz w:val="20"/>
                <w:szCs w:val="20"/>
              </w:rPr>
            </w:pPr>
            <w:r>
              <w:rPr>
                <w:rFonts w:eastAsia="仿宋_GB2312"/>
                <w:kern w:val="0"/>
                <w:sz w:val="20"/>
                <w:szCs w:val="20"/>
              </w:rPr>
              <w:t>6</w:t>
            </w:r>
          </w:p>
        </w:tc>
        <w:tc>
          <w:tcPr>
            <w:tcW w:w="3259" w:type="dxa"/>
            <w:tcBorders>
              <w:top w:val="nil"/>
              <w:left w:val="nil"/>
              <w:bottom w:val="single" w:color="auto" w:sz="4" w:space="0"/>
              <w:right w:val="single" w:color="auto" w:sz="4" w:space="0"/>
            </w:tcBorders>
            <w:noWrap w:val="0"/>
            <w:vAlign w:val="center"/>
          </w:tcPr>
          <w:p>
            <w:pPr>
              <w:widowControl/>
              <w:spacing w:line="300" w:lineRule="exact"/>
              <w:jc w:val="left"/>
              <w:rPr>
                <w:rFonts w:eastAsia="仿宋_GB2312"/>
                <w:kern w:val="0"/>
                <w:sz w:val="20"/>
                <w:szCs w:val="20"/>
              </w:rPr>
            </w:pPr>
            <w:r>
              <w:rPr>
                <w:rFonts w:eastAsia="仿宋_GB2312"/>
                <w:kern w:val="0"/>
                <w:sz w:val="20"/>
                <w:szCs w:val="20"/>
              </w:rPr>
              <w:t>100%</w:t>
            </w:r>
            <w:r>
              <w:rPr>
                <w:rFonts w:hint="eastAsia" w:eastAsia="仿宋_GB2312" w:cs="仿宋_GB2312"/>
                <w:kern w:val="0"/>
                <w:sz w:val="20"/>
                <w:szCs w:val="20"/>
              </w:rPr>
              <w:t>计满分，每超过（降低）</w:t>
            </w:r>
            <w:r>
              <w:rPr>
                <w:rFonts w:eastAsia="仿宋_GB2312"/>
                <w:kern w:val="0"/>
                <w:sz w:val="20"/>
                <w:szCs w:val="20"/>
              </w:rPr>
              <w:t>5%</w:t>
            </w:r>
            <w:r>
              <w:rPr>
                <w:rFonts w:hint="eastAsia" w:eastAsia="仿宋_GB2312" w:cs="仿宋_GB2312"/>
                <w:kern w:val="0"/>
                <w:sz w:val="20"/>
                <w:szCs w:val="20"/>
              </w:rPr>
              <w:t>扣</w:t>
            </w:r>
            <w:r>
              <w:rPr>
                <w:rFonts w:eastAsia="仿宋_GB2312"/>
                <w:kern w:val="0"/>
                <w:sz w:val="20"/>
                <w:szCs w:val="20"/>
              </w:rPr>
              <w:t>2</w:t>
            </w:r>
            <w:r>
              <w:rPr>
                <w:rFonts w:hint="eastAsia" w:eastAsia="仿宋_GB2312" w:cs="仿宋_GB2312"/>
                <w:kern w:val="0"/>
                <w:sz w:val="20"/>
                <w:szCs w:val="20"/>
              </w:rPr>
              <w:t>分。扣完为止。</w:t>
            </w:r>
          </w:p>
        </w:tc>
        <w:tc>
          <w:tcPr>
            <w:tcW w:w="2722" w:type="dxa"/>
            <w:tcBorders>
              <w:top w:val="nil"/>
              <w:left w:val="nil"/>
              <w:bottom w:val="single" w:color="auto" w:sz="4" w:space="0"/>
              <w:right w:val="single" w:color="auto" w:sz="4" w:space="0"/>
            </w:tcBorders>
            <w:noWrap w:val="0"/>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政府采购执行率</w:t>
            </w:r>
            <w:r>
              <w:rPr>
                <w:rFonts w:eastAsia="仿宋_GB2312"/>
                <w:kern w:val="0"/>
                <w:sz w:val="20"/>
                <w:szCs w:val="20"/>
              </w:rPr>
              <w:t>=</w:t>
            </w:r>
            <w:r>
              <w:rPr>
                <w:rFonts w:hint="eastAsia" w:eastAsia="仿宋_GB2312" w:cs="仿宋_GB2312"/>
                <w:kern w:val="0"/>
                <w:sz w:val="20"/>
                <w:szCs w:val="20"/>
              </w:rPr>
              <w:t>（实际政府采购金额</w:t>
            </w:r>
            <w:r>
              <w:rPr>
                <w:rFonts w:eastAsia="仿宋_GB2312"/>
                <w:kern w:val="0"/>
                <w:sz w:val="20"/>
                <w:szCs w:val="20"/>
              </w:rPr>
              <w:t>/</w:t>
            </w:r>
            <w:r>
              <w:rPr>
                <w:rFonts w:hint="eastAsia" w:eastAsia="仿宋_GB2312" w:cs="仿宋_GB2312"/>
                <w:kern w:val="0"/>
                <w:sz w:val="20"/>
                <w:szCs w:val="20"/>
              </w:rPr>
              <w:t>政府采购预算数）</w:t>
            </w:r>
            <w:r>
              <w:rPr>
                <w:rFonts w:eastAsia="仿宋_GB2312"/>
                <w:kern w:val="0"/>
                <w:sz w:val="20"/>
                <w:szCs w:val="20"/>
              </w:rPr>
              <w:t>×100%</w:t>
            </w:r>
          </w:p>
        </w:tc>
        <w:tc>
          <w:tcPr>
            <w:tcW w:w="637"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eastAsia="宋体"/>
                <w:kern w:val="0"/>
                <w:sz w:val="24"/>
                <w:lang w:val="en-US" w:eastAsia="zh-CN"/>
              </w:rPr>
            </w:pPr>
            <w:r>
              <w:rPr>
                <w:rFonts w:hint="eastAsia" w:cs="宋体"/>
                <w:kern w:val="0"/>
                <w:sz w:val="24"/>
                <w:lang w:val="en-US" w:eastAsia="zh-CN"/>
              </w:rPr>
              <w:t>5</w:t>
            </w:r>
          </w:p>
        </w:tc>
      </w:tr>
      <w:tr>
        <w:tblPrEx>
          <w:tblCellMar>
            <w:top w:w="0" w:type="dxa"/>
            <w:left w:w="108" w:type="dxa"/>
            <w:bottom w:w="0" w:type="dxa"/>
            <w:right w:w="108" w:type="dxa"/>
          </w:tblCellMar>
        </w:tblPrEx>
        <w:trPr>
          <w:jc w:val="center"/>
        </w:trPr>
        <w:tc>
          <w:tcPr>
            <w:tcW w:w="6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eastAsia="仿宋_GB2312"/>
                <w:kern w:val="0"/>
                <w:sz w:val="20"/>
                <w:szCs w:val="20"/>
              </w:rPr>
            </w:pPr>
          </w:p>
        </w:tc>
        <w:tc>
          <w:tcPr>
            <w:tcW w:w="6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eastAsia="仿宋_GB2312"/>
                <w:kern w:val="0"/>
                <w:sz w:val="20"/>
                <w:szCs w:val="20"/>
              </w:rPr>
            </w:pPr>
          </w:p>
        </w:tc>
        <w:tc>
          <w:tcPr>
            <w:tcW w:w="720" w:type="dxa"/>
            <w:vMerge w:val="restart"/>
            <w:tcBorders>
              <w:top w:val="nil"/>
              <w:left w:val="nil"/>
              <w:bottom w:val="single" w:color="auto" w:sz="4" w:space="0"/>
              <w:right w:val="single" w:color="auto" w:sz="4" w:space="0"/>
            </w:tcBorders>
            <w:noWrap w:val="0"/>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预算管理</w:t>
            </w:r>
          </w:p>
        </w:tc>
        <w:tc>
          <w:tcPr>
            <w:tcW w:w="585" w:type="dxa"/>
            <w:vMerge w:val="continue"/>
            <w:tcBorders>
              <w:top w:val="nil"/>
              <w:left w:val="single" w:color="auto" w:sz="4" w:space="0"/>
              <w:bottom w:val="single" w:color="000000" w:sz="4" w:space="0"/>
              <w:right w:val="single" w:color="auto" w:sz="4" w:space="0"/>
            </w:tcBorders>
            <w:noWrap w:val="0"/>
            <w:vAlign w:val="center"/>
          </w:tcPr>
          <w:p/>
        </w:tc>
        <w:tc>
          <w:tcPr>
            <w:tcW w:w="855" w:type="dxa"/>
            <w:tcBorders>
              <w:top w:val="nil"/>
              <w:left w:val="nil"/>
              <w:bottom w:val="single" w:color="auto" w:sz="4" w:space="0"/>
              <w:right w:val="single" w:color="auto" w:sz="4" w:space="0"/>
            </w:tcBorders>
            <w:noWrap w:val="0"/>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管理制度健全性</w:t>
            </w:r>
          </w:p>
        </w:tc>
        <w:tc>
          <w:tcPr>
            <w:tcW w:w="496" w:type="dxa"/>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kern w:val="0"/>
                <w:sz w:val="20"/>
                <w:szCs w:val="20"/>
              </w:rPr>
            </w:pPr>
            <w:r>
              <w:rPr>
                <w:rFonts w:eastAsia="仿宋_GB2312"/>
                <w:kern w:val="0"/>
                <w:sz w:val="20"/>
                <w:szCs w:val="20"/>
              </w:rPr>
              <w:t>8</w:t>
            </w:r>
          </w:p>
        </w:tc>
        <w:tc>
          <w:tcPr>
            <w:tcW w:w="3259" w:type="dxa"/>
            <w:tcBorders>
              <w:top w:val="nil"/>
              <w:left w:val="nil"/>
              <w:bottom w:val="single" w:color="auto" w:sz="4" w:space="0"/>
              <w:right w:val="single" w:color="auto" w:sz="4" w:space="0"/>
            </w:tcBorders>
            <w:noWrap w:val="0"/>
            <w:vAlign w:val="center"/>
          </w:tcPr>
          <w:p>
            <w:pPr>
              <w:widowControl/>
              <w:spacing w:line="300" w:lineRule="exact"/>
              <w:jc w:val="left"/>
              <w:rPr>
                <w:rFonts w:hint="eastAsia" w:eastAsia="仿宋_GB2312" w:cs="仿宋_GB2312"/>
                <w:kern w:val="0"/>
                <w:sz w:val="20"/>
                <w:szCs w:val="20"/>
                <w:lang w:eastAsia="zh-CN"/>
              </w:rPr>
            </w:pPr>
            <w:r>
              <w:rPr>
                <w:rFonts w:hint="eastAsia" w:eastAsia="仿宋_GB2312" w:cs="仿宋_GB2312"/>
                <w:kern w:val="0"/>
                <w:sz w:val="20"/>
                <w:szCs w:val="20"/>
              </w:rPr>
              <w:t>①有内部财务管理制度、会计核算制度等管理制度，</w:t>
            </w:r>
            <w:r>
              <w:rPr>
                <w:rFonts w:eastAsia="仿宋_GB2312"/>
                <w:kern w:val="0"/>
                <w:sz w:val="20"/>
                <w:szCs w:val="20"/>
              </w:rPr>
              <w:t>2</w:t>
            </w:r>
            <w:r>
              <w:rPr>
                <w:rFonts w:hint="eastAsia" w:eastAsia="仿宋_GB2312" w:cs="仿宋_GB2312"/>
                <w:kern w:val="0"/>
                <w:sz w:val="20"/>
                <w:szCs w:val="20"/>
              </w:rPr>
              <w:t>分；</w:t>
            </w:r>
          </w:p>
          <w:p>
            <w:pPr>
              <w:widowControl/>
              <w:spacing w:line="300" w:lineRule="exact"/>
              <w:jc w:val="left"/>
              <w:rPr>
                <w:rFonts w:hint="eastAsia" w:eastAsia="仿宋_GB2312" w:cs="仿宋_GB2312"/>
                <w:kern w:val="0"/>
                <w:sz w:val="20"/>
                <w:szCs w:val="20"/>
                <w:lang w:eastAsia="zh-CN"/>
              </w:rPr>
            </w:pPr>
            <w:r>
              <w:rPr>
                <w:rFonts w:hint="eastAsia" w:eastAsia="仿宋_GB2312" w:cs="仿宋_GB2312"/>
                <w:kern w:val="0"/>
                <w:sz w:val="20"/>
                <w:szCs w:val="20"/>
              </w:rPr>
              <w:t>②有本部门厉行节约制度</w:t>
            </w:r>
            <w:r>
              <w:rPr>
                <w:rFonts w:eastAsia="仿宋_GB2312"/>
                <w:kern w:val="0"/>
                <w:sz w:val="20"/>
                <w:szCs w:val="20"/>
              </w:rPr>
              <w:t>，2</w:t>
            </w:r>
            <w:r>
              <w:rPr>
                <w:rFonts w:hint="eastAsia" w:eastAsia="仿宋_GB2312" w:cs="仿宋_GB2312"/>
                <w:kern w:val="0"/>
                <w:sz w:val="20"/>
                <w:szCs w:val="20"/>
              </w:rPr>
              <w:t>分；</w:t>
            </w:r>
          </w:p>
          <w:p>
            <w:pPr>
              <w:widowControl/>
              <w:spacing w:line="300" w:lineRule="exact"/>
              <w:jc w:val="left"/>
              <w:rPr>
                <w:rFonts w:eastAsia="仿宋_GB2312"/>
                <w:kern w:val="0"/>
                <w:sz w:val="20"/>
                <w:szCs w:val="20"/>
              </w:rPr>
            </w:pPr>
            <w:r>
              <w:rPr>
                <w:rFonts w:hint="eastAsia" w:eastAsia="仿宋_GB2312" w:cs="仿宋_GB2312"/>
                <w:kern w:val="0"/>
                <w:sz w:val="20"/>
                <w:szCs w:val="20"/>
              </w:rPr>
              <w:t>③相关管理制度合法、合规、完整，</w:t>
            </w:r>
            <w:r>
              <w:rPr>
                <w:rFonts w:eastAsia="仿宋_GB2312"/>
                <w:kern w:val="0"/>
                <w:sz w:val="20"/>
                <w:szCs w:val="20"/>
              </w:rPr>
              <w:t>2</w:t>
            </w:r>
            <w:r>
              <w:rPr>
                <w:rFonts w:hint="eastAsia" w:eastAsia="仿宋_GB2312" w:cs="仿宋_GB2312"/>
                <w:kern w:val="0"/>
                <w:sz w:val="20"/>
                <w:szCs w:val="20"/>
              </w:rPr>
              <w:t>分；④相关管理制度得到有效执行，</w:t>
            </w:r>
            <w:r>
              <w:rPr>
                <w:rFonts w:eastAsia="仿宋_GB2312"/>
                <w:kern w:val="0"/>
                <w:sz w:val="20"/>
                <w:szCs w:val="20"/>
              </w:rPr>
              <w:t>2</w:t>
            </w:r>
            <w:r>
              <w:rPr>
                <w:rFonts w:hint="eastAsia" w:eastAsia="仿宋_GB2312" w:cs="仿宋_GB2312"/>
                <w:kern w:val="0"/>
                <w:sz w:val="20"/>
                <w:szCs w:val="20"/>
              </w:rPr>
              <w:t>分。</w:t>
            </w:r>
          </w:p>
        </w:tc>
        <w:tc>
          <w:tcPr>
            <w:tcW w:w="2722" w:type="dxa"/>
            <w:tcBorders>
              <w:top w:val="nil"/>
              <w:left w:val="nil"/>
              <w:bottom w:val="single" w:color="auto" w:sz="4" w:space="0"/>
              <w:right w:val="single" w:color="auto" w:sz="4" w:space="0"/>
            </w:tcBorders>
            <w:noWrap w:val="0"/>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　</w:t>
            </w:r>
          </w:p>
        </w:tc>
        <w:tc>
          <w:tcPr>
            <w:tcW w:w="637"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eastAsia="宋体"/>
                <w:kern w:val="0"/>
                <w:sz w:val="24"/>
                <w:lang w:val="en-US" w:eastAsia="zh-CN"/>
              </w:rPr>
            </w:pPr>
            <w:r>
              <w:rPr>
                <w:rFonts w:hint="eastAsia" w:cs="宋体"/>
                <w:kern w:val="0"/>
                <w:sz w:val="24"/>
                <w:lang w:val="en-US" w:eastAsia="zh-CN"/>
              </w:rPr>
              <w:t>7</w:t>
            </w:r>
          </w:p>
        </w:tc>
      </w:tr>
      <w:tr>
        <w:tblPrEx>
          <w:tblCellMar>
            <w:top w:w="0" w:type="dxa"/>
            <w:left w:w="108" w:type="dxa"/>
            <w:bottom w:w="0" w:type="dxa"/>
            <w:right w:w="108" w:type="dxa"/>
          </w:tblCellMar>
        </w:tblPrEx>
        <w:trPr>
          <w:jc w:val="center"/>
        </w:trPr>
        <w:tc>
          <w:tcPr>
            <w:tcW w:w="679"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645"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20" w:type="dxa"/>
            <w:vMerge w:val="continue"/>
            <w:tcBorders>
              <w:top w:val="nil"/>
              <w:left w:val="nil"/>
              <w:bottom w:val="single" w:color="auto" w:sz="4" w:space="0"/>
              <w:right w:val="single" w:color="auto" w:sz="4" w:space="0"/>
            </w:tcBorders>
            <w:noWrap w:val="0"/>
            <w:vAlign w:val="center"/>
          </w:tcPr>
          <w:p/>
        </w:tc>
        <w:tc>
          <w:tcPr>
            <w:tcW w:w="585" w:type="dxa"/>
            <w:vMerge w:val="continue"/>
            <w:tcBorders>
              <w:top w:val="nil"/>
              <w:left w:val="single" w:color="auto" w:sz="4" w:space="0"/>
              <w:bottom w:val="single" w:color="000000" w:sz="4" w:space="0"/>
              <w:right w:val="single" w:color="auto" w:sz="4" w:space="0"/>
            </w:tcBorders>
            <w:noWrap w:val="0"/>
            <w:vAlign w:val="center"/>
          </w:tcPr>
          <w:p/>
        </w:tc>
        <w:tc>
          <w:tcPr>
            <w:tcW w:w="855" w:type="dxa"/>
            <w:tcBorders>
              <w:top w:val="nil"/>
              <w:left w:val="nil"/>
              <w:bottom w:val="single" w:color="auto" w:sz="4" w:space="0"/>
              <w:right w:val="single" w:color="auto" w:sz="4" w:space="0"/>
            </w:tcBorders>
            <w:noWrap w:val="0"/>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资金使用合规性</w:t>
            </w:r>
          </w:p>
        </w:tc>
        <w:tc>
          <w:tcPr>
            <w:tcW w:w="496" w:type="dxa"/>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kern w:val="0"/>
                <w:sz w:val="20"/>
                <w:szCs w:val="20"/>
              </w:rPr>
            </w:pPr>
            <w:r>
              <w:rPr>
                <w:rFonts w:hint="eastAsia" w:eastAsia="仿宋_GB2312"/>
                <w:kern w:val="0"/>
                <w:sz w:val="20"/>
                <w:szCs w:val="20"/>
              </w:rPr>
              <w:t>1</w:t>
            </w:r>
            <w:r>
              <w:rPr>
                <w:rFonts w:eastAsia="仿宋_GB2312"/>
                <w:kern w:val="0"/>
                <w:sz w:val="20"/>
                <w:szCs w:val="20"/>
              </w:rPr>
              <w:t>6</w:t>
            </w:r>
          </w:p>
        </w:tc>
        <w:tc>
          <w:tcPr>
            <w:tcW w:w="3259" w:type="dxa"/>
            <w:tcBorders>
              <w:top w:val="nil"/>
              <w:left w:val="nil"/>
              <w:bottom w:val="single" w:color="auto" w:sz="4" w:space="0"/>
              <w:right w:val="single" w:color="auto" w:sz="4" w:space="0"/>
            </w:tcBorders>
            <w:noWrap w:val="0"/>
            <w:vAlign w:val="center"/>
          </w:tcPr>
          <w:p>
            <w:pPr>
              <w:widowControl/>
              <w:spacing w:line="300" w:lineRule="exact"/>
              <w:jc w:val="left"/>
              <w:rPr>
                <w:rFonts w:hint="eastAsia" w:eastAsia="仿宋_GB2312" w:cs="仿宋_GB2312"/>
                <w:kern w:val="0"/>
                <w:sz w:val="20"/>
                <w:szCs w:val="20"/>
                <w:lang w:eastAsia="zh-CN"/>
              </w:rPr>
            </w:pPr>
            <w:r>
              <w:rPr>
                <w:rFonts w:hint="eastAsia" w:eastAsia="仿宋_GB2312" w:cs="仿宋_GB2312"/>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p>
            <w:pPr>
              <w:widowControl/>
              <w:spacing w:line="300" w:lineRule="exact"/>
              <w:jc w:val="left"/>
              <w:rPr>
                <w:rFonts w:eastAsia="仿宋_GB2312"/>
                <w:kern w:val="0"/>
                <w:sz w:val="20"/>
                <w:szCs w:val="20"/>
              </w:rPr>
            </w:pPr>
            <w:r>
              <w:rPr>
                <w:rFonts w:hint="eastAsia" w:eastAsia="仿宋_GB2312" w:cs="仿宋_GB2312"/>
                <w:kern w:val="0"/>
                <w:sz w:val="20"/>
                <w:szCs w:val="20"/>
              </w:rPr>
              <w:t>以上情况每出现一例不符合要求的扣</w:t>
            </w:r>
            <w:r>
              <w:rPr>
                <w:rFonts w:eastAsia="仿宋_GB2312"/>
                <w:kern w:val="0"/>
                <w:sz w:val="20"/>
                <w:szCs w:val="20"/>
              </w:rPr>
              <w:t>1</w:t>
            </w:r>
            <w:r>
              <w:rPr>
                <w:rFonts w:hint="eastAsia" w:eastAsia="仿宋_GB2312" w:cs="仿宋_GB2312"/>
                <w:kern w:val="0"/>
                <w:sz w:val="20"/>
                <w:szCs w:val="20"/>
              </w:rPr>
              <w:t>分，扣完为止。</w:t>
            </w:r>
          </w:p>
        </w:tc>
        <w:tc>
          <w:tcPr>
            <w:tcW w:w="2722" w:type="dxa"/>
            <w:tcBorders>
              <w:top w:val="nil"/>
              <w:left w:val="nil"/>
              <w:bottom w:val="single" w:color="auto" w:sz="4" w:space="0"/>
              <w:right w:val="single" w:color="auto" w:sz="4" w:space="0"/>
            </w:tcBorders>
            <w:noWrap w:val="0"/>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　</w:t>
            </w:r>
          </w:p>
        </w:tc>
        <w:tc>
          <w:tcPr>
            <w:tcW w:w="637"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eastAsia="宋体"/>
                <w:kern w:val="0"/>
                <w:sz w:val="24"/>
                <w:lang w:val="en-US" w:eastAsia="zh-CN"/>
              </w:rPr>
            </w:pPr>
            <w:r>
              <w:rPr>
                <w:rFonts w:hint="eastAsia" w:cs="宋体"/>
                <w:kern w:val="0"/>
                <w:sz w:val="24"/>
                <w:lang w:val="en-US" w:eastAsia="zh-CN"/>
              </w:rPr>
              <w:t>15</w:t>
            </w:r>
          </w:p>
        </w:tc>
      </w:tr>
      <w:tr>
        <w:tblPrEx>
          <w:tblCellMar>
            <w:top w:w="0" w:type="dxa"/>
            <w:left w:w="108" w:type="dxa"/>
            <w:bottom w:w="0" w:type="dxa"/>
            <w:right w:w="108" w:type="dxa"/>
          </w:tblCellMar>
        </w:tblPrEx>
        <w:trPr>
          <w:jc w:val="center"/>
        </w:trPr>
        <w:tc>
          <w:tcPr>
            <w:tcW w:w="679"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645"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20" w:type="dxa"/>
            <w:vMerge w:val="continue"/>
            <w:tcBorders>
              <w:top w:val="nil"/>
              <w:left w:val="nil"/>
              <w:bottom w:val="single" w:color="auto" w:sz="4" w:space="0"/>
              <w:right w:val="single" w:color="auto" w:sz="4" w:space="0"/>
            </w:tcBorders>
            <w:noWrap w:val="0"/>
            <w:vAlign w:val="center"/>
          </w:tcPr>
          <w:p/>
        </w:tc>
        <w:tc>
          <w:tcPr>
            <w:tcW w:w="585" w:type="dxa"/>
            <w:vMerge w:val="continue"/>
            <w:tcBorders>
              <w:top w:val="nil"/>
              <w:left w:val="single" w:color="auto" w:sz="4" w:space="0"/>
              <w:bottom w:val="single" w:color="000000" w:sz="4" w:space="0"/>
              <w:right w:val="single" w:color="auto" w:sz="4" w:space="0"/>
            </w:tcBorders>
            <w:noWrap w:val="0"/>
            <w:vAlign w:val="center"/>
          </w:tcPr>
          <w:p/>
        </w:tc>
        <w:tc>
          <w:tcPr>
            <w:tcW w:w="855" w:type="dxa"/>
            <w:tcBorders>
              <w:top w:val="nil"/>
              <w:left w:val="nil"/>
              <w:bottom w:val="single" w:color="auto" w:sz="4" w:space="0"/>
              <w:right w:val="single" w:color="auto" w:sz="4" w:space="0"/>
            </w:tcBorders>
            <w:noWrap w:val="0"/>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预决算信息公开性</w:t>
            </w:r>
          </w:p>
        </w:tc>
        <w:tc>
          <w:tcPr>
            <w:tcW w:w="496" w:type="dxa"/>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kern w:val="0"/>
                <w:sz w:val="20"/>
                <w:szCs w:val="20"/>
              </w:rPr>
            </w:pPr>
            <w:r>
              <w:rPr>
                <w:rFonts w:eastAsia="仿宋_GB2312"/>
                <w:kern w:val="0"/>
                <w:sz w:val="20"/>
                <w:szCs w:val="20"/>
              </w:rPr>
              <w:t>5</w:t>
            </w:r>
          </w:p>
        </w:tc>
        <w:tc>
          <w:tcPr>
            <w:tcW w:w="3259" w:type="dxa"/>
            <w:tcBorders>
              <w:top w:val="nil"/>
              <w:left w:val="nil"/>
              <w:bottom w:val="single" w:color="auto" w:sz="4" w:space="0"/>
              <w:right w:val="single" w:color="auto" w:sz="4" w:space="0"/>
            </w:tcBorders>
            <w:noWrap w:val="0"/>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①按规定内容公开预决算信息，</w:t>
            </w:r>
            <w:r>
              <w:rPr>
                <w:rFonts w:eastAsia="仿宋_GB2312"/>
                <w:kern w:val="0"/>
                <w:sz w:val="20"/>
                <w:szCs w:val="20"/>
              </w:rPr>
              <w:t>1</w:t>
            </w:r>
            <w:r>
              <w:rPr>
                <w:rFonts w:hint="eastAsia" w:eastAsia="仿宋_GB2312" w:cs="仿宋_GB2312"/>
                <w:kern w:val="0"/>
                <w:sz w:val="20"/>
                <w:szCs w:val="20"/>
              </w:rPr>
              <w:t>分；②按规定时限公开预决算信息，</w:t>
            </w:r>
            <w:r>
              <w:rPr>
                <w:rFonts w:eastAsia="仿宋_GB2312"/>
                <w:kern w:val="0"/>
                <w:sz w:val="20"/>
                <w:szCs w:val="20"/>
              </w:rPr>
              <w:t>1</w:t>
            </w:r>
            <w:r>
              <w:rPr>
                <w:rFonts w:hint="eastAsia" w:eastAsia="仿宋_GB2312" w:cs="仿宋_GB2312"/>
                <w:kern w:val="0"/>
                <w:sz w:val="20"/>
                <w:szCs w:val="20"/>
              </w:rPr>
              <w:t>分；③基础数据信息和会计信息资料真实，</w:t>
            </w:r>
            <w:r>
              <w:rPr>
                <w:rFonts w:eastAsia="仿宋_GB2312"/>
                <w:kern w:val="0"/>
                <w:sz w:val="20"/>
                <w:szCs w:val="20"/>
              </w:rPr>
              <w:t>1</w:t>
            </w:r>
            <w:r>
              <w:rPr>
                <w:rFonts w:hint="eastAsia" w:eastAsia="仿宋_GB2312" w:cs="仿宋_GB2312"/>
                <w:kern w:val="0"/>
                <w:sz w:val="20"/>
                <w:szCs w:val="20"/>
              </w:rPr>
              <w:t>分；④基础数据信息和会计信息资料完整，</w:t>
            </w:r>
            <w:r>
              <w:rPr>
                <w:rFonts w:eastAsia="仿宋_GB2312"/>
                <w:kern w:val="0"/>
                <w:sz w:val="20"/>
                <w:szCs w:val="20"/>
              </w:rPr>
              <w:t>1</w:t>
            </w:r>
            <w:r>
              <w:rPr>
                <w:rFonts w:hint="eastAsia" w:eastAsia="仿宋_GB2312" w:cs="仿宋_GB2312"/>
                <w:kern w:val="0"/>
                <w:sz w:val="20"/>
                <w:szCs w:val="20"/>
              </w:rPr>
              <w:t>分；⑤基础数据信息和汇集信息资料准确，</w:t>
            </w:r>
            <w:r>
              <w:rPr>
                <w:rFonts w:eastAsia="仿宋_GB2312"/>
                <w:kern w:val="0"/>
                <w:sz w:val="20"/>
                <w:szCs w:val="20"/>
              </w:rPr>
              <w:t>1</w:t>
            </w:r>
            <w:r>
              <w:rPr>
                <w:rFonts w:hint="eastAsia" w:eastAsia="仿宋_GB2312" w:cs="仿宋_GB2312"/>
                <w:kern w:val="0"/>
                <w:sz w:val="20"/>
                <w:szCs w:val="20"/>
              </w:rPr>
              <w:t>分。</w:t>
            </w:r>
            <w:r>
              <w:rPr>
                <w:rFonts w:eastAsia="仿宋_GB2312"/>
                <w:kern w:val="0"/>
                <w:sz w:val="20"/>
                <w:szCs w:val="20"/>
              </w:rPr>
              <w:t xml:space="preserve">  </w:t>
            </w:r>
          </w:p>
        </w:tc>
        <w:tc>
          <w:tcPr>
            <w:tcW w:w="2722" w:type="dxa"/>
            <w:tcBorders>
              <w:top w:val="nil"/>
              <w:left w:val="nil"/>
              <w:bottom w:val="single" w:color="auto" w:sz="4" w:space="0"/>
              <w:right w:val="single" w:color="auto" w:sz="4" w:space="0"/>
            </w:tcBorders>
            <w:noWrap w:val="0"/>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预决算信息是指与部门预算、执行、决算、监督、绩效等管理相关的信息。</w:t>
            </w:r>
          </w:p>
        </w:tc>
        <w:tc>
          <w:tcPr>
            <w:tcW w:w="637"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eastAsia="宋体"/>
                <w:kern w:val="0"/>
                <w:sz w:val="24"/>
                <w:lang w:val="en-US" w:eastAsia="zh-CN"/>
              </w:rPr>
            </w:pPr>
            <w:r>
              <w:rPr>
                <w:rFonts w:hint="eastAsia" w:cs="宋体"/>
                <w:kern w:val="0"/>
                <w:sz w:val="24"/>
                <w:lang w:val="en-US" w:eastAsia="zh-CN"/>
              </w:rPr>
              <w:t>5</w:t>
            </w:r>
          </w:p>
        </w:tc>
      </w:tr>
      <w:tr>
        <w:tblPrEx>
          <w:tblCellMar>
            <w:top w:w="0" w:type="dxa"/>
            <w:left w:w="108" w:type="dxa"/>
            <w:bottom w:w="0" w:type="dxa"/>
            <w:right w:w="108" w:type="dxa"/>
          </w:tblCellMar>
        </w:tblPrEx>
        <w:trPr>
          <w:jc w:val="center"/>
        </w:trPr>
        <w:tc>
          <w:tcPr>
            <w:tcW w:w="67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产出及效率</w:t>
            </w:r>
          </w:p>
        </w:tc>
        <w:tc>
          <w:tcPr>
            <w:tcW w:w="64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仿宋_GB2312"/>
                <w:kern w:val="0"/>
                <w:sz w:val="20"/>
                <w:szCs w:val="20"/>
              </w:rPr>
            </w:pPr>
            <w:r>
              <w:rPr>
                <w:rFonts w:eastAsia="仿宋_GB2312"/>
                <w:kern w:val="0"/>
                <w:sz w:val="20"/>
                <w:szCs w:val="20"/>
              </w:rPr>
              <w:t>30</w:t>
            </w:r>
          </w:p>
        </w:tc>
        <w:tc>
          <w:tcPr>
            <w:tcW w:w="720" w:type="dxa"/>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职责履行</w:t>
            </w:r>
          </w:p>
        </w:tc>
        <w:tc>
          <w:tcPr>
            <w:tcW w:w="585" w:type="dxa"/>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kern w:val="0"/>
                <w:sz w:val="20"/>
                <w:szCs w:val="20"/>
              </w:rPr>
            </w:pPr>
            <w:r>
              <w:rPr>
                <w:rFonts w:eastAsia="仿宋_GB2312"/>
                <w:kern w:val="0"/>
                <w:sz w:val="20"/>
                <w:szCs w:val="20"/>
              </w:rPr>
              <w:t>8</w:t>
            </w:r>
          </w:p>
        </w:tc>
        <w:tc>
          <w:tcPr>
            <w:tcW w:w="855" w:type="dxa"/>
            <w:tcBorders>
              <w:top w:val="nil"/>
              <w:left w:val="nil"/>
              <w:bottom w:val="nil"/>
              <w:right w:val="single" w:color="auto" w:sz="4" w:space="0"/>
            </w:tcBorders>
            <w:noWrap w:val="0"/>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重点工作实际完成率</w:t>
            </w:r>
          </w:p>
        </w:tc>
        <w:tc>
          <w:tcPr>
            <w:tcW w:w="496" w:type="dxa"/>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kern w:val="0"/>
                <w:sz w:val="20"/>
                <w:szCs w:val="20"/>
              </w:rPr>
            </w:pPr>
            <w:r>
              <w:rPr>
                <w:rFonts w:eastAsia="仿宋_GB2312"/>
                <w:kern w:val="0"/>
                <w:sz w:val="20"/>
                <w:szCs w:val="20"/>
              </w:rPr>
              <w:t>8</w:t>
            </w:r>
          </w:p>
        </w:tc>
        <w:tc>
          <w:tcPr>
            <w:tcW w:w="3259" w:type="dxa"/>
            <w:tcBorders>
              <w:top w:val="nil"/>
              <w:left w:val="nil"/>
              <w:bottom w:val="single" w:color="auto" w:sz="4" w:space="0"/>
              <w:right w:val="single" w:color="auto" w:sz="4" w:space="0"/>
            </w:tcBorders>
            <w:noWrap w:val="0"/>
            <w:vAlign w:val="center"/>
          </w:tcPr>
          <w:p>
            <w:pPr>
              <w:widowControl/>
              <w:spacing w:line="300" w:lineRule="exact"/>
              <w:jc w:val="left"/>
              <w:rPr>
                <w:rFonts w:hint="eastAsia" w:eastAsia="仿宋_GB2312" w:cs="仿宋_GB2312"/>
                <w:kern w:val="0"/>
                <w:sz w:val="20"/>
                <w:szCs w:val="20"/>
                <w:lang w:eastAsia="zh-CN"/>
              </w:rPr>
            </w:pPr>
            <w:r>
              <w:rPr>
                <w:rFonts w:hint="eastAsia" w:eastAsia="仿宋_GB2312" w:cs="仿宋_GB2312"/>
                <w:kern w:val="0"/>
                <w:sz w:val="20"/>
                <w:szCs w:val="20"/>
              </w:rPr>
              <w:t>根据绩效办</w:t>
            </w:r>
            <w:r>
              <w:rPr>
                <w:rFonts w:eastAsia="仿宋_GB2312"/>
                <w:kern w:val="0"/>
                <w:sz w:val="20"/>
                <w:szCs w:val="20"/>
              </w:rPr>
              <w:t>2016</w:t>
            </w:r>
            <w:r>
              <w:rPr>
                <w:rFonts w:hint="eastAsia" w:eastAsia="仿宋_GB2312" w:cs="仿宋_GB2312"/>
                <w:kern w:val="0"/>
                <w:sz w:val="20"/>
                <w:szCs w:val="20"/>
              </w:rPr>
              <w:t>年对各部门为民办实事和部门重点工程与重点工作考核分数折算。</w:t>
            </w:r>
          </w:p>
          <w:p>
            <w:pPr>
              <w:widowControl/>
              <w:spacing w:line="300" w:lineRule="exact"/>
              <w:jc w:val="left"/>
              <w:rPr>
                <w:rFonts w:eastAsia="仿宋_GB2312"/>
                <w:kern w:val="0"/>
                <w:sz w:val="20"/>
                <w:szCs w:val="20"/>
              </w:rPr>
            </w:pPr>
            <w:r>
              <w:rPr>
                <w:rFonts w:hint="eastAsia" w:eastAsia="仿宋_GB2312" w:cs="仿宋_GB2312"/>
                <w:kern w:val="0"/>
                <w:sz w:val="20"/>
                <w:szCs w:val="20"/>
              </w:rPr>
              <w:t>该项得分</w:t>
            </w:r>
            <w:r>
              <w:rPr>
                <w:rFonts w:eastAsia="仿宋_GB2312"/>
                <w:kern w:val="0"/>
                <w:sz w:val="20"/>
                <w:szCs w:val="20"/>
              </w:rPr>
              <w:t>=</w:t>
            </w:r>
            <w:r>
              <w:rPr>
                <w:rFonts w:hint="eastAsia" w:eastAsia="仿宋_GB2312" w:cs="仿宋_GB2312"/>
                <w:kern w:val="0"/>
                <w:sz w:val="20"/>
                <w:szCs w:val="20"/>
              </w:rPr>
              <w:t>（绩效办对应部分考核得分</w:t>
            </w:r>
            <w:r>
              <w:rPr>
                <w:rFonts w:eastAsia="仿宋_GB2312"/>
                <w:kern w:val="0"/>
                <w:sz w:val="20"/>
                <w:szCs w:val="20"/>
              </w:rPr>
              <w:t>/350</w:t>
            </w:r>
            <w:r>
              <w:rPr>
                <w:rFonts w:hint="eastAsia" w:eastAsia="仿宋_GB2312" w:cs="仿宋_GB2312"/>
                <w:kern w:val="0"/>
                <w:sz w:val="20"/>
                <w:szCs w:val="20"/>
              </w:rPr>
              <w:t>）</w:t>
            </w:r>
            <w:r>
              <w:rPr>
                <w:rFonts w:eastAsia="仿宋_GB2312"/>
                <w:kern w:val="0"/>
                <w:sz w:val="20"/>
                <w:szCs w:val="20"/>
              </w:rPr>
              <w:t>*8</w:t>
            </w:r>
          </w:p>
        </w:tc>
        <w:tc>
          <w:tcPr>
            <w:tcW w:w="2722" w:type="dxa"/>
            <w:tcBorders>
              <w:top w:val="nil"/>
              <w:left w:val="nil"/>
              <w:bottom w:val="single" w:color="auto" w:sz="4" w:space="0"/>
              <w:right w:val="single" w:color="auto" w:sz="4" w:space="0"/>
            </w:tcBorders>
            <w:noWrap w:val="0"/>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　</w:t>
            </w:r>
          </w:p>
        </w:tc>
        <w:tc>
          <w:tcPr>
            <w:tcW w:w="637" w:type="dxa"/>
            <w:tcBorders>
              <w:top w:val="nil"/>
              <w:left w:val="nil"/>
              <w:bottom w:val="single" w:color="auto" w:sz="4" w:space="0"/>
              <w:right w:val="single" w:color="auto" w:sz="4" w:space="0"/>
            </w:tcBorders>
            <w:noWrap w:val="0"/>
            <w:vAlign w:val="center"/>
          </w:tcPr>
          <w:p>
            <w:pPr>
              <w:widowControl/>
              <w:spacing w:line="300" w:lineRule="exact"/>
              <w:jc w:val="center"/>
              <w:rPr>
                <w:kern w:val="0"/>
                <w:sz w:val="24"/>
              </w:rPr>
            </w:pPr>
            <w:r>
              <w:rPr>
                <w:rFonts w:hint="eastAsia" w:cs="宋体"/>
                <w:kern w:val="0"/>
                <w:sz w:val="24"/>
                <w:lang w:val="en-US" w:eastAsia="zh-CN"/>
              </w:rPr>
              <w:t>7</w:t>
            </w:r>
          </w:p>
        </w:tc>
      </w:tr>
      <w:tr>
        <w:tblPrEx>
          <w:tblCellMar>
            <w:top w:w="0" w:type="dxa"/>
            <w:left w:w="108" w:type="dxa"/>
            <w:bottom w:w="0" w:type="dxa"/>
            <w:right w:w="108" w:type="dxa"/>
          </w:tblCellMar>
        </w:tblPrEx>
        <w:trPr>
          <w:jc w:val="center"/>
        </w:trPr>
        <w:tc>
          <w:tcPr>
            <w:tcW w:w="679"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645"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20" w:type="dxa"/>
            <w:vMerge w:val="restart"/>
            <w:tcBorders>
              <w:top w:val="nil"/>
              <w:left w:val="single" w:color="auto" w:sz="4" w:space="0"/>
              <w:bottom w:val="single" w:color="000000" w:sz="4" w:space="0"/>
              <w:right w:val="single" w:color="auto" w:sz="4" w:space="0"/>
            </w:tcBorders>
            <w:noWrap w:val="0"/>
            <w:vAlign w:val="center"/>
          </w:tcPr>
          <w:p>
            <w:pPr>
              <w:widowControl/>
              <w:spacing w:line="300" w:lineRule="exact"/>
              <w:jc w:val="center"/>
              <w:rPr>
                <w:rFonts w:eastAsia="仿宋_GB2312"/>
                <w:kern w:val="0"/>
                <w:sz w:val="20"/>
                <w:szCs w:val="20"/>
              </w:rPr>
            </w:pPr>
            <w:r>
              <w:rPr>
                <w:rFonts w:hint="eastAsia" w:eastAsia="仿宋_GB2312" w:cs="仿宋_GB2312"/>
                <w:kern w:val="0"/>
                <w:sz w:val="20"/>
                <w:szCs w:val="20"/>
              </w:rPr>
              <w:t>履职</w:t>
            </w:r>
            <w:r>
              <w:rPr>
                <w:rFonts w:eastAsia="仿宋_GB2312"/>
                <w:kern w:val="0"/>
                <w:sz w:val="20"/>
                <w:szCs w:val="20"/>
              </w:rPr>
              <w:t xml:space="preserve"> </w:t>
            </w:r>
            <w:r>
              <w:rPr>
                <w:rFonts w:hint="eastAsia" w:eastAsia="仿宋_GB2312" w:cs="仿宋_GB2312"/>
                <w:kern w:val="0"/>
                <w:sz w:val="20"/>
                <w:szCs w:val="20"/>
              </w:rPr>
              <w:t>效益</w:t>
            </w:r>
          </w:p>
        </w:tc>
        <w:tc>
          <w:tcPr>
            <w:tcW w:w="585" w:type="dxa"/>
            <w:vMerge w:val="restart"/>
            <w:tcBorders>
              <w:top w:val="nil"/>
              <w:left w:val="single" w:color="auto" w:sz="4" w:space="0"/>
              <w:bottom w:val="single" w:color="000000" w:sz="4" w:space="0"/>
              <w:right w:val="single" w:color="auto" w:sz="4" w:space="0"/>
            </w:tcBorders>
            <w:noWrap w:val="0"/>
            <w:vAlign w:val="center"/>
          </w:tcPr>
          <w:p>
            <w:pPr>
              <w:widowControl/>
              <w:spacing w:line="300" w:lineRule="exact"/>
              <w:jc w:val="center"/>
              <w:rPr>
                <w:rFonts w:eastAsia="仿宋_GB2312"/>
                <w:kern w:val="0"/>
                <w:sz w:val="20"/>
                <w:szCs w:val="20"/>
              </w:rPr>
            </w:pPr>
            <w:r>
              <w:rPr>
                <w:rFonts w:eastAsia="仿宋_GB2312"/>
                <w:kern w:val="0"/>
                <w:sz w:val="20"/>
                <w:szCs w:val="20"/>
              </w:rPr>
              <w:t>10</w:t>
            </w:r>
          </w:p>
        </w:tc>
        <w:tc>
          <w:tcPr>
            <w:tcW w:w="855"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eastAsia="仿宋_GB2312" w:cs="仿宋_GB2312"/>
                <w:kern w:val="0"/>
                <w:sz w:val="20"/>
                <w:szCs w:val="20"/>
              </w:rPr>
            </w:pPr>
            <w:r>
              <w:rPr>
                <w:rFonts w:hint="eastAsia" w:eastAsia="仿宋_GB2312" w:cs="仿宋_GB2312"/>
                <w:kern w:val="0"/>
                <w:sz w:val="20"/>
                <w:szCs w:val="20"/>
              </w:rPr>
              <w:t>经济</w:t>
            </w:r>
          </w:p>
          <w:p>
            <w:pPr>
              <w:widowControl/>
              <w:spacing w:line="260" w:lineRule="exact"/>
              <w:jc w:val="center"/>
              <w:rPr>
                <w:rFonts w:eastAsia="仿宋_GB2312"/>
                <w:kern w:val="0"/>
                <w:sz w:val="20"/>
                <w:szCs w:val="20"/>
              </w:rPr>
            </w:pPr>
            <w:r>
              <w:rPr>
                <w:rFonts w:hint="eastAsia" w:eastAsia="仿宋_GB2312" w:cs="仿宋_GB2312"/>
                <w:kern w:val="0"/>
                <w:sz w:val="20"/>
                <w:szCs w:val="20"/>
              </w:rPr>
              <w:t>效益</w:t>
            </w:r>
          </w:p>
        </w:tc>
        <w:tc>
          <w:tcPr>
            <w:tcW w:w="496" w:type="dxa"/>
            <w:vMerge w:val="restart"/>
            <w:tcBorders>
              <w:top w:val="nil"/>
              <w:left w:val="single" w:color="auto" w:sz="4" w:space="0"/>
              <w:bottom w:val="nil"/>
              <w:right w:val="single" w:color="auto" w:sz="4" w:space="0"/>
            </w:tcBorders>
            <w:noWrap w:val="0"/>
            <w:vAlign w:val="center"/>
          </w:tcPr>
          <w:p>
            <w:pPr>
              <w:widowControl/>
              <w:spacing w:line="260" w:lineRule="exact"/>
              <w:jc w:val="center"/>
              <w:rPr>
                <w:rFonts w:eastAsia="仿宋_GB2312"/>
                <w:kern w:val="0"/>
                <w:sz w:val="20"/>
                <w:szCs w:val="20"/>
              </w:rPr>
            </w:pPr>
            <w:r>
              <w:rPr>
                <w:rFonts w:eastAsia="仿宋_GB2312"/>
                <w:kern w:val="0"/>
                <w:sz w:val="20"/>
                <w:szCs w:val="20"/>
              </w:rPr>
              <w:t>10</w:t>
            </w:r>
          </w:p>
        </w:tc>
        <w:tc>
          <w:tcPr>
            <w:tcW w:w="5981" w:type="dxa"/>
            <w:gridSpan w:val="2"/>
            <w:vMerge w:val="restart"/>
            <w:tcBorders>
              <w:top w:val="single" w:color="auto" w:sz="4" w:space="0"/>
              <w:left w:val="single" w:color="auto" w:sz="4" w:space="0"/>
              <w:bottom w:val="nil"/>
              <w:right w:val="single" w:color="000000" w:sz="4" w:space="0"/>
            </w:tcBorders>
            <w:noWrap w:val="0"/>
            <w:vAlign w:val="center"/>
          </w:tcPr>
          <w:p>
            <w:pPr>
              <w:widowControl/>
              <w:spacing w:line="260" w:lineRule="exact"/>
              <w:jc w:val="left"/>
              <w:rPr>
                <w:rFonts w:eastAsia="仿宋_GB2312"/>
                <w:kern w:val="0"/>
                <w:sz w:val="20"/>
                <w:szCs w:val="20"/>
              </w:rPr>
            </w:pPr>
            <w:r>
              <w:rPr>
                <w:rFonts w:hint="eastAsia" w:eastAsia="仿宋_GB2312" w:cs="仿宋_GB2312"/>
                <w:kern w:val="0"/>
                <w:sz w:val="20"/>
                <w:szCs w:val="20"/>
              </w:rPr>
              <w:t>此两项指标为设置部门整体支出绩效评价指标时必须考虑的共性要素，可根据部门实际情况有选择的进行设置，并将其细化为相应的个性化指标。</w:t>
            </w:r>
          </w:p>
        </w:tc>
        <w:tc>
          <w:tcPr>
            <w:tcW w:w="637" w:type="dxa"/>
            <w:tcBorders>
              <w:top w:val="nil"/>
              <w:left w:val="nil"/>
              <w:bottom w:val="nil"/>
              <w:right w:val="single" w:color="auto" w:sz="4" w:space="0"/>
            </w:tcBorders>
            <w:noWrap w:val="0"/>
            <w:vAlign w:val="center"/>
          </w:tcPr>
          <w:p>
            <w:pPr>
              <w:widowControl/>
              <w:spacing w:line="300" w:lineRule="exact"/>
              <w:jc w:val="center"/>
              <w:rPr>
                <w:rFonts w:hint="eastAsia" w:eastAsia="宋体"/>
                <w:kern w:val="0"/>
                <w:sz w:val="24"/>
                <w:lang w:val="en-US" w:eastAsia="zh-CN"/>
              </w:rPr>
            </w:pPr>
            <w:r>
              <w:rPr>
                <w:rFonts w:hint="eastAsia" w:cs="宋体"/>
                <w:kern w:val="0"/>
                <w:sz w:val="24"/>
                <w:lang w:val="en-US" w:eastAsia="zh-CN"/>
              </w:rPr>
              <w:t>9</w:t>
            </w:r>
          </w:p>
        </w:tc>
      </w:tr>
      <w:tr>
        <w:tblPrEx>
          <w:tblCellMar>
            <w:top w:w="0" w:type="dxa"/>
            <w:left w:w="108" w:type="dxa"/>
            <w:bottom w:w="0" w:type="dxa"/>
            <w:right w:w="108" w:type="dxa"/>
          </w:tblCellMar>
        </w:tblPrEx>
        <w:trPr>
          <w:jc w:val="center"/>
        </w:trPr>
        <w:tc>
          <w:tcPr>
            <w:tcW w:w="679"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645"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20" w:type="dxa"/>
            <w:vMerge w:val="continue"/>
            <w:tcBorders>
              <w:top w:val="nil"/>
              <w:left w:val="single" w:color="auto" w:sz="4" w:space="0"/>
              <w:bottom w:val="single" w:color="000000" w:sz="4" w:space="0"/>
              <w:right w:val="single" w:color="auto" w:sz="4" w:space="0"/>
            </w:tcBorders>
            <w:noWrap w:val="0"/>
            <w:vAlign w:val="center"/>
          </w:tcPr>
          <w:p/>
        </w:tc>
        <w:tc>
          <w:tcPr>
            <w:tcW w:w="585" w:type="dxa"/>
            <w:vMerge w:val="continue"/>
            <w:tcBorders>
              <w:top w:val="nil"/>
              <w:left w:val="single" w:color="auto" w:sz="4" w:space="0"/>
              <w:bottom w:val="single" w:color="000000" w:sz="4" w:space="0"/>
              <w:right w:val="single" w:color="auto" w:sz="4" w:space="0"/>
            </w:tcBorders>
            <w:noWrap w:val="0"/>
            <w:vAlign w:val="center"/>
          </w:tcPr>
          <w:p/>
        </w:tc>
        <w:tc>
          <w:tcPr>
            <w:tcW w:w="855" w:type="dxa"/>
            <w:tcBorders>
              <w:top w:val="nil"/>
              <w:left w:val="nil"/>
              <w:bottom w:val="single" w:color="auto" w:sz="4" w:space="0"/>
              <w:right w:val="single" w:color="auto" w:sz="4" w:space="0"/>
            </w:tcBorders>
            <w:noWrap w:val="0"/>
            <w:vAlign w:val="center"/>
          </w:tcPr>
          <w:p>
            <w:pPr>
              <w:widowControl/>
              <w:spacing w:line="260" w:lineRule="exact"/>
              <w:jc w:val="center"/>
              <w:rPr>
                <w:rFonts w:eastAsia="仿宋_GB2312" w:cs="仿宋_GB2312"/>
                <w:kern w:val="0"/>
                <w:sz w:val="20"/>
                <w:szCs w:val="20"/>
              </w:rPr>
            </w:pPr>
            <w:r>
              <w:rPr>
                <w:rFonts w:hint="eastAsia" w:eastAsia="仿宋_GB2312" w:cs="仿宋_GB2312"/>
                <w:kern w:val="0"/>
                <w:sz w:val="20"/>
                <w:szCs w:val="20"/>
              </w:rPr>
              <w:t>社会</w:t>
            </w:r>
          </w:p>
          <w:p>
            <w:pPr>
              <w:widowControl/>
              <w:spacing w:line="260" w:lineRule="exact"/>
              <w:jc w:val="center"/>
              <w:rPr>
                <w:rFonts w:eastAsia="仿宋_GB2312"/>
                <w:kern w:val="0"/>
                <w:sz w:val="20"/>
                <w:szCs w:val="20"/>
              </w:rPr>
            </w:pPr>
            <w:r>
              <w:rPr>
                <w:rFonts w:hint="eastAsia" w:eastAsia="仿宋_GB2312" w:cs="仿宋_GB2312"/>
                <w:kern w:val="0"/>
                <w:sz w:val="20"/>
                <w:szCs w:val="20"/>
              </w:rPr>
              <w:t>效益</w:t>
            </w:r>
          </w:p>
        </w:tc>
        <w:tc>
          <w:tcPr>
            <w:tcW w:w="496" w:type="dxa"/>
            <w:vMerge w:val="continue"/>
            <w:tcBorders>
              <w:top w:val="nil"/>
              <w:left w:val="single" w:color="auto" w:sz="4" w:space="0"/>
              <w:bottom w:val="nil"/>
              <w:right w:val="single" w:color="auto" w:sz="4" w:space="0"/>
            </w:tcBorders>
            <w:noWrap w:val="0"/>
            <w:vAlign w:val="center"/>
          </w:tcPr>
          <w:p/>
        </w:tc>
        <w:tc>
          <w:tcPr>
            <w:tcW w:w="5981" w:type="dxa"/>
            <w:gridSpan w:val="2"/>
            <w:vMerge w:val="continue"/>
            <w:tcBorders>
              <w:top w:val="single" w:color="auto" w:sz="4" w:space="0"/>
              <w:left w:val="single" w:color="auto" w:sz="4" w:space="0"/>
              <w:bottom w:val="nil"/>
              <w:right w:val="single" w:color="000000" w:sz="4" w:space="0"/>
            </w:tcBorders>
            <w:noWrap w:val="0"/>
            <w:vAlign w:val="center"/>
          </w:tcPr>
          <w:p/>
        </w:tc>
        <w:tc>
          <w:tcPr>
            <w:tcW w:w="637" w:type="dxa"/>
            <w:tcBorders>
              <w:top w:val="nil"/>
              <w:left w:val="nil"/>
              <w:bottom w:val="nil"/>
              <w:right w:val="single" w:color="auto" w:sz="4" w:space="0"/>
            </w:tcBorders>
            <w:noWrap w:val="0"/>
            <w:vAlign w:val="center"/>
          </w:tcPr>
          <w:p>
            <w:pPr>
              <w:widowControl/>
              <w:spacing w:line="300" w:lineRule="exact"/>
              <w:jc w:val="center"/>
              <w:rPr>
                <w:kern w:val="0"/>
                <w:sz w:val="24"/>
              </w:rPr>
            </w:pPr>
          </w:p>
        </w:tc>
      </w:tr>
      <w:tr>
        <w:tblPrEx>
          <w:tblCellMar>
            <w:top w:w="0" w:type="dxa"/>
            <w:left w:w="108" w:type="dxa"/>
            <w:bottom w:w="0" w:type="dxa"/>
            <w:right w:w="108" w:type="dxa"/>
          </w:tblCellMar>
        </w:tblPrEx>
        <w:trPr>
          <w:jc w:val="center"/>
        </w:trPr>
        <w:tc>
          <w:tcPr>
            <w:tcW w:w="679"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645"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20" w:type="dxa"/>
            <w:vMerge w:val="continue"/>
            <w:tcBorders>
              <w:top w:val="nil"/>
              <w:left w:val="single" w:color="auto" w:sz="4" w:space="0"/>
              <w:bottom w:val="single" w:color="000000" w:sz="4" w:space="0"/>
              <w:right w:val="single" w:color="auto" w:sz="4" w:space="0"/>
            </w:tcBorders>
            <w:noWrap w:val="0"/>
            <w:vAlign w:val="center"/>
          </w:tcPr>
          <w:p/>
        </w:tc>
        <w:tc>
          <w:tcPr>
            <w:tcW w:w="585" w:type="dxa"/>
            <w:vMerge w:val="restart"/>
            <w:tcBorders>
              <w:top w:val="nil"/>
              <w:left w:val="single" w:color="auto" w:sz="4" w:space="0"/>
              <w:bottom w:val="single" w:color="000000" w:sz="4" w:space="0"/>
              <w:right w:val="single" w:color="auto" w:sz="4" w:space="0"/>
            </w:tcBorders>
            <w:noWrap w:val="0"/>
            <w:vAlign w:val="center"/>
          </w:tcPr>
          <w:p>
            <w:pPr>
              <w:widowControl/>
              <w:spacing w:line="300" w:lineRule="exact"/>
              <w:jc w:val="center"/>
              <w:rPr>
                <w:rFonts w:eastAsia="仿宋_GB2312"/>
                <w:kern w:val="0"/>
                <w:sz w:val="20"/>
                <w:szCs w:val="20"/>
              </w:rPr>
            </w:pPr>
            <w:r>
              <w:rPr>
                <w:rFonts w:eastAsia="仿宋_GB2312"/>
                <w:kern w:val="0"/>
                <w:sz w:val="20"/>
                <w:szCs w:val="20"/>
              </w:rPr>
              <w:t>12</w:t>
            </w:r>
          </w:p>
        </w:tc>
        <w:tc>
          <w:tcPr>
            <w:tcW w:w="855" w:type="dxa"/>
            <w:tcBorders>
              <w:top w:val="nil"/>
              <w:left w:val="nil"/>
              <w:bottom w:val="single" w:color="auto" w:sz="4" w:space="0"/>
              <w:right w:val="single" w:color="auto" w:sz="4" w:space="0"/>
            </w:tcBorders>
            <w:noWrap w:val="0"/>
            <w:vAlign w:val="center"/>
          </w:tcPr>
          <w:p>
            <w:pPr>
              <w:widowControl/>
              <w:spacing w:line="260" w:lineRule="exact"/>
              <w:jc w:val="left"/>
              <w:rPr>
                <w:rFonts w:eastAsia="仿宋_GB2312"/>
                <w:kern w:val="0"/>
                <w:sz w:val="20"/>
                <w:szCs w:val="20"/>
              </w:rPr>
            </w:pPr>
            <w:r>
              <w:rPr>
                <w:rFonts w:hint="eastAsia" w:eastAsia="仿宋_GB2312" w:cs="仿宋_GB2312"/>
                <w:kern w:val="0"/>
                <w:sz w:val="20"/>
                <w:szCs w:val="20"/>
              </w:rPr>
              <w:t>行政效能</w:t>
            </w:r>
          </w:p>
        </w:tc>
        <w:tc>
          <w:tcPr>
            <w:tcW w:w="496"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eastAsia="仿宋_GB2312"/>
                <w:kern w:val="0"/>
                <w:sz w:val="20"/>
                <w:szCs w:val="20"/>
              </w:rPr>
            </w:pPr>
            <w:r>
              <w:rPr>
                <w:rFonts w:eastAsia="仿宋_GB2312"/>
                <w:kern w:val="0"/>
                <w:sz w:val="20"/>
                <w:szCs w:val="20"/>
              </w:rPr>
              <w:t>6</w:t>
            </w:r>
          </w:p>
        </w:tc>
        <w:tc>
          <w:tcPr>
            <w:tcW w:w="3259" w:type="dxa"/>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eastAsia="仿宋_GB2312"/>
                <w:kern w:val="0"/>
                <w:sz w:val="20"/>
                <w:szCs w:val="20"/>
              </w:rPr>
            </w:pPr>
            <w:r>
              <w:rPr>
                <w:rFonts w:hint="eastAsia" w:eastAsia="仿宋_GB2312" w:cs="仿宋_GB2312"/>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hint="eastAsia" w:eastAsia="仿宋_GB2312" w:cs="仿宋_GB2312"/>
                <w:kern w:val="0"/>
                <w:sz w:val="20"/>
                <w:szCs w:val="20"/>
              </w:rPr>
              <w:t>分；一般</w:t>
            </w:r>
            <w:r>
              <w:rPr>
                <w:rFonts w:eastAsia="仿宋_GB2312"/>
                <w:kern w:val="0"/>
                <w:sz w:val="20"/>
                <w:szCs w:val="20"/>
              </w:rPr>
              <w:t>3</w:t>
            </w:r>
            <w:r>
              <w:rPr>
                <w:rFonts w:hint="eastAsia" w:eastAsia="仿宋_GB2312" w:cs="仿宋_GB2312"/>
                <w:kern w:val="0"/>
                <w:sz w:val="20"/>
                <w:szCs w:val="20"/>
              </w:rPr>
              <w:t>分；无效果或者效果不明显</w:t>
            </w:r>
            <w:r>
              <w:rPr>
                <w:rFonts w:eastAsia="仿宋_GB2312"/>
                <w:kern w:val="0"/>
                <w:sz w:val="20"/>
                <w:szCs w:val="20"/>
              </w:rPr>
              <w:t>0</w:t>
            </w:r>
            <w:r>
              <w:rPr>
                <w:rFonts w:hint="eastAsia" w:eastAsia="仿宋_GB2312" w:cs="仿宋_GB2312"/>
                <w:kern w:val="0"/>
                <w:sz w:val="20"/>
                <w:szCs w:val="20"/>
              </w:rPr>
              <w:t>分。</w:t>
            </w:r>
          </w:p>
        </w:tc>
        <w:tc>
          <w:tcPr>
            <w:tcW w:w="2722" w:type="dxa"/>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eastAsia="仿宋_GB2312"/>
                <w:kern w:val="0"/>
                <w:sz w:val="20"/>
                <w:szCs w:val="20"/>
              </w:rPr>
            </w:pPr>
            <w:r>
              <w:rPr>
                <w:rFonts w:hint="eastAsia" w:eastAsia="仿宋_GB2312" w:cs="仿宋_GB2312"/>
                <w:kern w:val="0"/>
                <w:sz w:val="20"/>
                <w:szCs w:val="20"/>
              </w:rPr>
              <w:t>根据部门自评材料评定。</w:t>
            </w:r>
          </w:p>
        </w:tc>
        <w:tc>
          <w:tcPr>
            <w:tcW w:w="63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eastAsia="宋体"/>
                <w:kern w:val="0"/>
                <w:sz w:val="24"/>
                <w:lang w:val="en-US" w:eastAsia="zh-CN"/>
              </w:rPr>
            </w:pPr>
            <w:r>
              <w:rPr>
                <w:rFonts w:hint="eastAsia" w:cs="宋体"/>
                <w:kern w:val="0"/>
                <w:sz w:val="24"/>
                <w:lang w:val="en-US" w:eastAsia="zh-CN"/>
              </w:rPr>
              <w:t>5</w:t>
            </w:r>
          </w:p>
        </w:tc>
      </w:tr>
      <w:tr>
        <w:tblPrEx>
          <w:tblCellMar>
            <w:top w:w="0" w:type="dxa"/>
            <w:left w:w="108" w:type="dxa"/>
            <w:bottom w:w="0" w:type="dxa"/>
            <w:right w:w="108" w:type="dxa"/>
          </w:tblCellMar>
        </w:tblPrEx>
        <w:trPr>
          <w:jc w:val="center"/>
        </w:trPr>
        <w:tc>
          <w:tcPr>
            <w:tcW w:w="679"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645"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720" w:type="dxa"/>
            <w:vMerge w:val="continue"/>
            <w:tcBorders>
              <w:top w:val="nil"/>
              <w:left w:val="single" w:color="auto" w:sz="4" w:space="0"/>
              <w:bottom w:val="single" w:color="auto" w:sz="4" w:space="0"/>
              <w:right w:val="single" w:color="auto" w:sz="4" w:space="0"/>
            </w:tcBorders>
            <w:noWrap w:val="0"/>
            <w:vAlign w:val="center"/>
          </w:tcPr>
          <w:p/>
        </w:tc>
        <w:tc>
          <w:tcPr>
            <w:tcW w:w="585" w:type="dxa"/>
            <w:vMerge w:val="continue"/>
            <w:tcBorders>
              <w:top w:val="nil"/>
              <w:left w:val="single" w:color="auto" w:sz="4" w:space="0"/>
              <w:bottom w:val="single" w:color="auto" w:sz="4" w:space="0"/>
              <w:right w:val="single" w:color="auto" w:sz="4" w:space="0"/>
            </w:tcBorders>
            <w:noWrap w:val="0"/>
            <w:vAlign w:val="center"/>
          </w:tcPr>
          <w:p/>
        </w:tc>
        <w:tc>
          <w:tcPr>
            <w:tcW w:w="855" w:type="dxa"/>
            <w:tcBorders>
              <w:top w:val="nil"/>
              <w:left w:val="nil"/>
              <w:bottom w:val="single" w:color="auto" w:sz="4" w:space="0"/>
              <w:right w:val="single" w:color="auto" w:sz="4" w:space="0"/>
            </w:tcBorders>
            <w:noWrap w:val="0"/>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社会公众或服务对象满意度</w:t>
            </w:r>
          </w:p>
        </w:tc>
        <w:tc>
          <w:tcPr>
            <w:tcW w:w="496" w:type="dxa"/>
            <w:tcBorders>
              <w:top w:val="nil"/>
              <w:left w:val="nil"/>
              <w:bottom w:val="single" w:color="auto" w:sz="4" w:space="0"/>
              <w:right w:val="single" w:color="auto" w:sz="4" w:space="0"/>
            </w:tcBorders>
            <w:noWrap w:val="0"/>
            <w:vAlign w:val="center"/>
          </w:tcPr>
          <w:p>
            <w:pPr>
              <w:widowControl/>
              <w:spacing w:line="300" w:lineRule="exact"/>
              <w:jc w:val="center"/>
              <w:rPr>
                <w:rFonts w:eastAsia="仿宋_GB2312"/>
                <w:kern w:val="0"/>
                <w:sz w:val="20"/>
                <w:szCs w:val="20"/>
              </w:rPr>
            </w:pPr>
            <w:r>
              <w:rPr>
                <w:rFonts w:eastAsia="仿宋_GB2312"/>
                <w:kern w:val="0"/>
                <w:sz w:val="20"/>
                <w:szCs w:val="20"/>
              </w:rPr>
              <w:t>6</w:t>
            </w:r>
          </w:p>
        </w:tc>
        <w:tc>
          <w:tcPr>
            <w:tcW w:w="3259" w:type="dxa"/>
            <w:tcBorders>
              <w:top w:val="nil"/>
              <w:left w:val="nil"/>
              <w:bottom w:val="single" w:color="auto" w:sz="4" w:space="0"/>
              <w:right w:val="single" w:color="auto" w:sz="4" w:space="0"/>
            </w:tcBorders>
            <w:noWrap w:val="0"/>
            <w:vAlign w:val="center"/>
          </w:tcPr>
          <w:p>
            <w:pPr>
              <w:widowControl/>
              <w:spacing w:line="300" w:lineRule="exact"/>
              <w:jc w:val="left"/>
              <w:rPr>
                <w:rFonts w:hint="eastAsia" w:eastAsia="仿宋_GB2312" w:cs="仿宋_GB2312"/>
                <w:kern w:val="0"/>
                <w:sz w:val="20"/>
                <w:szCs w:val="20"/>
                <w:lang w:eastAsia="zh-CN"/>
              </w:rPr>
            </w:pPr>
            <w:r>
              <w:rPr>
                <w:rFonts w:eastAsia="仿宋_GB2312"/>
                <w:kern w:val="0"/>
                <w:sz w:val="20"/>
                <w:szCs w:val="20"/>
              </w:rPr>
              <w:t>90%</w:t>
            </w:r>
            <w:r>
              <w:rPr>
                <w:rFonts w:hint="eastAsia" w:eastAsia="仿宋_GB2312" w:cs="仿宋_GB2312"/>
                <w:kern w:val="0"/>
                <w:sz w:val="20"/>
                <w:szCs w:val="20"/>
              </w:rPr>
              <w:t>（含）以上计</w:t>
            </w:r>
            <w:r>
              <w:rPr>
                <w:rFonts w:eastAsia="仿宋_GB2312"/>
                <w:kern w:val="0"/>
                <w:sz w:val="20"/>
                <w:szCs w:val="20"/>
              </w:rPr>
              <w:t>6</w:t>
            </w:r>
            <w:r>
              <w:rPr>
                <w:rFonts w:hint="eastAsia" w:eastAsia="仿宋_GB2312" w:cs="仿宋_GB2312"/>
                <w:kern w:val="0"/>
                <w:sz w:val="20"/>
                <w:szCs w:val="20"/>
              </w:rPr>
              <w:t>分；</w:t>
            </w:r>
          </w:p>
          <w:p>
            <w:pPr>
              <w:widowControl/>
              <w:spacing w:line="300" w:lineRule="exact"/>
              <w:jc w:val="left"/>
              <w:rPr>
                <w:rFonts w:hint="eastAsia" w:eastAsia="仿宋_GB2312" w:cs="仿宋_GB2312"/>
                <w:kern w:val="0"/>
                <w:sz w:val="20"/>
                <w:szCs w:val="20"/>
                <w:lang w:eastAsia="zh-CN"/>
              </w:rPr>
            </w:pPr>
            <w:r>
              <w:rPr>
                <w:rFonts w:eastAsia="仿宋_GB2312"/>
                <w:kern w:val="0"/>
                <w:sz w:val="20"/>
                <w:szCs w:val="20"/>
              </w:rPr>
              <w:t>80%</w:t>
            </w:r>
            <w:r>
              <w:rPr>
                <w:rFonts w:hint="eastAsia" w:eastAsia="仿宋_GB2312" w:cs="仿宋_GB2312"/>
                <w:kern w:val="0"/>
                <w:sz w:val="20"/>
                <w:szCs w:val="20"/>
              </w:rPr>
              <w:t>（含）</w:t>
            </w:r>
            <w:r>
              <w:rPr>
                <w:rFonts w:eastAsia="仿宋_GB2312"/>
                <w:kern w:val="0"/>
                <w:sz w:val="20"/>
                <w:szCs w:val="20"/>
              </w:rPr>
              <w:t>-90%</w:t>
            </w:r>
            <w:r>
              <w:rPr>
                <w:rFonts w:hint="eastAsia" w:eastAsia="仿宋_GB2312" w:cs="仿宋_GB2312"/>
                <w:kern w:val="0"/>
                <w:sz w:val="20"/>
                <w:szCs w:val="20"/>
              </w:rPr>
              <w:t>，计</w:t>
            </w:r>
            <w:r>
              <w:rPr>
                <w:rFonts w:eastAsia="仿宋_GB2312"/>
                <w:kern w:val="0"/>
                <w:sz w:val="20"/>
                <w:szCs w:val="20"/>
              </w:rPr>
              <w:t>4</w:t>
            </w:r>
            <w:r>
              <w:rPr>
                <w:rFonts w:hint="eastAsia" w:eastAsia="仿宋_GB2312" w:cs="仿宋_GB2312"/>
                <w:kern w:val="0"/>
                <w:sz w:val="20"/>
                <w:szCs w:val="20"/>
              </w:rPr>
              <w:t>分；</w:t>
            </w:r>
          </w:p>
          <w:p>
            <w:pPr>
              <w:widowControl/>
              <w:spacing w:line="300" w:lineRule="exact"/>
              <w:jc w:val="left"/>
              <w:rPr>
                <w:rFonts w:hint="eastAsia" w:eastAsia="仿宋_GB2312" w:cs="仿宋_GB2312"/>
                <w:kern w:val="0"/>
                <w:sz w:val="20"/>
                <w:szCs w:val="20"/>
                <w:lang w:eastAsia="zh-CN"/>
              </w:rPr>
            </w:pPr>
            <w:r>
              <w:rPr>
                <w:rFonts w:eastAsia="仿宋_GB2312"/>
                <w:kern w:val="0"/>
                <w:sz w:val="20"/>
                <w:szCs w:val="20"/>
              </w:rPr>
              <w:t>70%</w:t>
            </w:r>
            <w:r>
              <w:rPr>
                <w:rFonts w:hint="eastAsia" w:eastAsia="仿宋_GB2312" w:cs="仿宋_GB2312"/>
                <w:kern w:val="0"/>
                <w:sz w:val="20"/>
                <w:szCs w:val="20"/>
              </w:rPr>
              <w:t>（含）</w:t>
            </w:r>
            <w:r>
              <w:rPr>
                <w:rFonts w:eastAsia="仿宋_GB2312"/>
                <w:kern w:val="0"/>
                <w:sz w:val="20"/>
                <w:szCs w:val="20"/>
              </w:rPr>
              <w:t>-80%</w:t>
            </w:r>
            <w:r>
              <w:rPr>
                <w:rFonts w:hint="eastAsia" w:eastAsia="仿宋_GB2312" w:cs="仿宋_GB2312"/>
                <w:kern w:val="0"/>
                <w:sz w:val="20"/>
                <w:szCs w:val="20"/>
              </w:rPr>
              <w:t>，计</w:t>
            </w:r>
            <w:r>
              <w:rPr>
                <w:rFonts w:eastAsia="仿宋_GB2312"/>
                <w:kern w:val="0"/>
                <w:sz w:val="20"/>
                <w:szCs w:val="20"/>
              </w:rPr>
              <w:t>2</w:t>
            </w:r>
            <w:r>
              <w:rPr>
                <w:rFonts w:hint="eastAsia" w:eastAsia="仿宋_GB2312" w:cs="仿宋_GB2312"/>
                <w:kern w:val="0"/>
                <w:sz w:val="20"/>
                <w:szCs w:val="20"/>
              </w:rPr>
              <w:t>分；</w:t>
            </w:r>
          </w:p>
          <w:p>
            <w:pPr>
              <w:widowControl/>
              <w:spacing w:line="300" w:lineRule="exact"/>
              <w:jc w:val="left"/>
              <w:rPr>
                <w:rFonts w:eastAsia="仿宋_GB2312"/>
                <w:kern w:val="0"/>
                <w:sz w:val="20"/>
                <w:szCs w:val="20"/>
              </w:rPr>
            </w:pPr>
            <w:r>
              <w:rPr>
                <w:rFonts w:hint="eastAsia" w:eastAsia="仿宋_GB2312" w:cs="仿宋_GB2312"/>
                <w:kern w:val="0"/>
                <w:sz w:val="20"/>
                <w:szCs w:val="20"/>
              </w:rPr>
              <w:t>低于</w:t>
            </w:r>
            <w:r>
              <w:rPr>
                <w:rFonts w:eastAsia="仿宋_GB2312"/>
                <w:kern w:val="0"/>
                <w:sz w:val="20"/>
                <w:szCs w:val="20"/>
              </w:rPr>
              <w:t>70%</w:t>
            </w:r>
            <w:r>
              <w:rPr>
                <w:rFonts w:hint="eastAsia" w:eastAsia="仿宋_GB2312" w:cs="仿宋_GB2312"/>
                <w:kern w:val="0"/>
                <w:sz w:val="20"/>
                <w:szCs w:val="20"/>
              </w:rPr>
              <w:t>计</w:t>
            </w:r>
            <w:r>
              <w:rPr>
                <w:rFonts w:eastAsia="仿宋_GB2312"/>
                <w:kern w:val="0"/>
                <w:sz w:val="20"/>
                <w:szCs w:val="20"/>
              </w:rPr>
              <w:t>0</w:t>
            </w:r>
            <w:r>
              <w:rPr>
                <w:rFonts w:hint="eastAsia" w:eastAsia="仿宋_GB2312" w:cs="仿宋_GB2312"/>
                <w:kern w:val="0"/>
                <w:sz w:val="20"/>
                <w:szCs w:val="20"/>
              </w:rPr>
              <w:t>分。</w:t>
            </w:r>
          </w:p>
        </w:tc>
        <w:tc>
          <w:tcPr>
            <w:tcW w:w="2722" w:type="dxa"/>
            <w:tcBorders>
              <w:top w:val="nil"/>
              <w:left w:val="nil"/>
              <w:bottom w:val="single" w:color="auto" w:sz="4" w:space="0"/>
              <w:right w:val="single" w:color="auto" w:sz="4" w:space="0"/>
            </w:tcBorders>
            <w:noWrap w:val="0"/>
            <w:vAlign w:val="center"/>
          </w:tcPr>
          <w:p>
            <w:pPr>
              <w:widowControl/>
              <w:spacing w:line="300" w:lineRule="exact"/>
              <w:jc w:val="left"/>
              <w:rPr>
                <w:rFonts w:eastAsia="仿宋_GB2312"/>
                <w:kern w:val="0"/>
                <w:sz w:val="20"/>
                <w:szCs w:val="20"/>
              </w:rPr>
            </w:pPr>
            <w:r>
              <w:rPr>
                <w:rFonts w:hint="eastAsia" w:eastAsia="仿宋_GB2312" w:cs="仿宋_GB2312"/>
                <w:kern w:val="0"/>
                <w:sz w:val="20"/>
                <w:szCs w:val="20"/>
              </w:rPr>
              <w:t>社会公众或服务对象是指部门（单位）履行职责而影响到的部门、群体或个人，一般采取社会调查的方式。</w:t>
            </w:r>
          </w:p>
        </w:tc>
        <w:tc>
          <w:tcPr>
            <w:tcW w:w="637"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eastAsia="宋体"/>
                <w:kern w:val="0"/>
                <w:sz w:val="24"/>
                <w:lang w:val="en-US" w:eastAsia="zh-CN"/>
              </w:rPr>
            </w:pPr>
            <w:r>
              <w:rPr>
                <w:rFonts w:hint="eastAsia" w:cs="宋体"/>
                <w:kern w:val="0"/>
                <w:sz w:val="24"/>
                <w:lang w:val="en-US" w:eastAsia="zh-CN"/>
              </w:rPr>
              <w:t>5</w:t>
            </w:r>
          </w:p>
        </w:tc>
      </w:tr>
      <w:tr>
        <w:tblPrEx>
          <w:tblCellMar>
            <w:top w:w="0" w:type="dxa"/>
            <w:left w:w="108" w:type="dxa"/>
            <w:bottom w:w="0" w:type="dxa"/>
            <w:right w:w="108" w:type="dxa"/>
          </w:tblCellMar>
        </w:tblPrEx>
        <w:trPr>
          <w:jc w:val="center"/>
        </w:trPr>
        <w:tc>
          <w:tcPr>
            <w:tcW w:w="679" w:type="dxa"/>
            <w:tcBorders>
              <w:top w:val="single" w:color="auto" w:sz="4" w:space="0"/>
              <w:left w:val="single" w:color="auto" w:sz="4" w:space="0"/>
              <w:bottom w:val="single" w:color="auto" w:sz="4" w:space="0"/>
              <w:right w:val="single" w:color="auto" w:sz="4" w:space="0"/>
            </w:tcBorders>
            <w:noWrap w:val="0"/>
            <w:vAlign w:val="center"/>
          </w:tcPr>
          <w:p>
            <w:pPr>
              <w:rPr>
                <w:rFonts w:hint="eastAsia" w:eastAsia="宋体"/>
                <w:lang w:eastAsia="zh-CN"/>
              </w:rPr>
            </w:pPr>
            <w:r>
              <w:rPr>
                <w:rFonts w:hint="eastAsia"/>
                <w:lang w:eastAsia="zh-CN"/>
              </w:rPr>
              <w:t>总分</w:t>
            </w:r>
          </w:p>
        </w:tc>
        <w:tc>
          <w:tcPr>
            <w:tcW w:w="645" w:type="dxa"/>
            <w:tcBorders>
              <w:top w:val="single" w:color="auto" w:sz="4" w:space="0"/>
              <w:left w:val="single" w:color="auto" w:sz="4" w:space="0"/>
              <w:bottom w:val="single" w:color="auto" w:sz="4" w:space="0"/>
              <w:right w:val="single" w:color="auto" w:sz="4" w:space="0"/>
            </w:tcBorders>
            <w:noWrap w:val="0"/>
            <w:vAlign w:val="center"/>
          </w:tcPr>
          <w:p>
            <w:pPr>
              <w:rPr>
                <w:rFonts w:hint="default" w:eastAsia="宋体"/>
                <w:lang w:val="en-US" w:eastAsia="zh-CN"/>
              </w:rPr>
            </w:pPr>
            <w:r>
              <w:rPr>
                <w:rFonts w:hint="eastAsia"/>
                <w:lang w:val="en-US" w:eastAsia="zh-CN"/>
              </w:rPr>
              <w:t>100</w:t>
            </w:r>
          </w:p>
        </w:tc>
        <w:tc>
          <w:tcPr>
            <w:tcW w:w="720" w:type="dxa"/>
            <w:tcBorders>
              <w:top w:val="single" w:color="auto" w:sz="4" w:space="0"/>
              <w:left w:val="single" w:color="auto" w:sz="4" w:space="0"/>
              <w:bottom w:val="single" w:color="auto" w:sz="4" w:space="0"/>
              <w:right w:val="single" w:color="auto" w:sz="4" w:space="0"/>
            </w:tcBorders>
            <w:noWrap w:val="0"/>
            <w:vAlign w:val="center"/>
          </w:tcPr>
          <w:p/>
        </w:tc>
        <w:tc>
          <w:tcPr>
            <w:tcW w:w="585" w:type="dxa"/>
            <w:tcBorders>
              <w:top w:val="single" w:color="auto" w:sz="4" w:space="0"/>
              <w:left w:val="single" w:color="auto" w:sz="4" w:space="0"/>
              <w:bottom w:val="single" w:color="auto" w:sz="4" w:space="0"/>
              <w:right w:val="single" w:color="auto" w:sz="4" w:space="0"/>
            </w:tcBorders>
            <w:noWrap w:val="0"/>
            <w:vAlign w:val="center"/>
          </w:tcPr>
          <w:p/>
        </w:tc>
        <w:tc>
          <w:tcPr>
            <w:tcW w:w="855"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eastAsia="仿宋_GB2312" w:cs="仿宋_GB2312"/>
                <w:kern w:val="0"/>
                <w:sz w:val="20"/>
                <w:szCs w:val="20"/>
              </w:rPr>
            </w:pPr>
          </w:p>
        </w:tc>
        <w:tc>
          <w:tcPr>
            <w:tcW w:w="49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仿宋_GB2312"/>
                <w:kern w:val="0"/>
                <w:sz w:val="20"/>
                <w:szCs w:val="20"/>
              </w:rPr>
            </w:pPr>
          </w:p>
        </w:tc>
        <w:tc>
          <w:tcPr>
            <w:tcW w:w="325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eastAsia="仿宋_GB2312"/>
                <w:kern w:val="0"/>
                <w:sz w:val="20"/>
                <w:szCs w:val="20"/>
              </w:rPr>
            </w:pPr>
          </w:p>
        </w:tc>
        <w:tc>
          <w:tcPr>
            <w:tcW w:w="2722"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eastAsia="仿宋_GB2312" w:cs="仿宋_GB2312"/>
                <w:kern w:val="0"/>
                <w:sz w:val="20"/>
                <w:szCs w:val="20"/>
              </w:rPr>
            </w:pPr>
          </w:p>
        </w:tc>
        <w:tc>
          <w:tcPr>
            <w:tcW w:w="637"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default" w:eastAsia="宋体" w:cs="宋体"/>
                <w:kern w:val="0"/>
                <w:sz w:val="24"/>
                <w:lang w:val="en-US" w:eastAsia="zh-CN"/>
              </w:rPr>
            </w:pPr>
            <w:r>
              <w:rPr>
                <w:rFonts w:hint="eastAsia" w:cs="宋体"/>
                <w:kern w:val="0"/>
                <w:sz w:val="24"/>
                <w:lang w:val="en-US" w:eastAsia="zh-CN"/>
              </w:rPr>
              <w:t>91</w:t>
            </w:r>
          </w:p>
        </w:tc>
      </w:tr>
    </w:tbl>
    <w:p>
      <w:pPr>
        <w:rPr>
          <w:highlight w:val="none"/>
        </w:rPr>
      </w:pPr>
      <w:r>
        <w:rPr>
          <w:rFonts w:hint="eastAsia" w:ascii="仿宋_GB2312" w:hAnsi="仿宋_GB2312" w:eastAsia="仿宋_GB2312" w:cs="仿宋_GB2312"/>
          <w:kern w:val="2"/>
          <w:sz w:val="32"/>
          <w:szCs w:val="32"/>
          <w:highlight w:val="none"/>
          <w:lang w:val="en-US" w:eastAsia="zh-CN" w:bidi="ar"/>
        </w:rPr>
        <w:t xml:space="preserve">                  </w:t>
      </w:r>
    </w:p>
    <w:p>
      <w:pPr>
        <w:pStyle w:val="6"/>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S Mincho">
    <w:altName w:val="Meiryo UI"/>
    <w:panose1 w:val="02020609040205080304"/>
    <w:charset w:val="80"/>
    <w:family w:val="modern"/>
    <w:pitch w:val="default"/>
    <w:sig w:usb0="00000000" w:usb1="00000000" w:usb2="00000010" w:usb3="00000000" w:csb0="0002009F" w:csb1="00000000"/>
  </w:font>
  <w:font w:name="Meiryo UI">
    <w:panose1 w:val="020B0604030504040204"/>
    <w:charset w:val="80"/>
    <w:family w:val="auto"/>
    <w:pitch w:val="default"/>
    <w:sig w:usb0="E10102FF" w:usb1="EAC7FFFF" w:usb2="00010012" w:usb3="00000000" w:csb0="6002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B49638"/>
    <w:multiLevelType w:val="singleLevel"/>
    <w:tmpl w:val="A1B4963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lYWNhZDJjODdlODcxNjA2NmNjZTYwM2I4NDk5NmQifQ=="/>
  </w:docVars>
  <w:rsids>
    <w:rsidRoot w:val="00F01044"/>
    <w:rsid w:val="001C2BCF"/>
    <w:rsid w:val="003C07C2"/>
    <w:rsid w:val="005027E7"/>
    <w:rsid w:val="005946AC"/>
    <w:rsid w:val="00650532"/>
    <w:rsid w:val="00881B5B"/>
    <w:rsid w:val="008B24D8"/>
    <w:rsid w:val="009B586A"/>
    <w:rsid w:val="00B61EB6"/>
    <w:rsid w:val="00D92918"/>
    <w:rsid w:val="00F01044"/>
    <w:rsid w:val="00F85A6B"/>
    <w:rsid w:val="01205D5C"/>
    <w:rsid w:val="0285730E"/>
    <w:rsid w:val="059F47CA"/>
    <w:rsid w:val="069524B2"/>
    <w:rsid w:val="06C61153"/>
    <w:rsid w:val="071371A5"/>
    <w:rsid w:val="097A7FD3"/>
    <w:rsid w:val="09FE29B2"/>
    <w:rsid w:val="0B8B7304"/>
    <w:rsid w:val="0DE14AC5"/>
    <w:rsid w:val="0F2413EE"/>
    <w:rsid w:val="0F5900E9"/>
    <w:rsid w:val="0F786D63"/>
    <w:rsid w:val="0FDD12BC"/>
    <w:rsid w:val="10EB06C0"/>
    <w:rsid w:val="11CA0D63"/>
    <w:rsid w:val="1209283C"/>
    <w:rsid w:val="124D7859"/>
    <w:rsid w:val="14042A4C"/>
    <w:rsid w:val="148D32B1"/>
    <w:rsid w:val="150A29FD"/>
    <w:rsid w:val="19870AB7"/>
    <w:rsid w:val="21B55BF5"/>
    <w:rsid w:val="229E2810"/>
    <w:rsid w:val="233D2346"/>
    <w:rsid w:val="275579B7"/>
    <w:rsid w:val="27AC02E3"/>
    <w:rsid w:val="27C40159"/>
    <w:rsid w:val="2A107165"/>
    <w:rsid w:val="2A6401B8"/>
    <w:rsid w:val="2C153E60"/>
    <w:rsid w:val="2C8F625E"/>
    <w:rsid w:val="31A517E2"/>
    <w:rsid w:val="31DD5420"/>
    <w:rsid w:val="334D57D8"/>
    <w:rsid w:val="341E587B"/>
    <w:rsid w:val="344B363E"/>
    <w:rsid w:val="36900F43"/>
    <w:rsid w:val="36A353A2"/>
    <w:rsid w:val="37294733"/>
    <w:rsid w:val="38C3213F"/>
    <w:rsid w:val="399D7242"/>
    <w:rsid w:val="3D131C38"/>
    <w:rsid w:val="3E2449C7"/>
    <w:rsid w:val="400277B2"/>
    <w:rsid w:val="40730CFD"/>
    <w:rsid w:val="40B44C53"/>
    <w:rsid w:val="40FA4F7A"/>
    <w:rsid w:val="43195B8C"/>
    <w:rsid w:val="4A075542"/>
    <w:rsid w:val="4A4A6F73"/>
    <w:rsid w:val="4BDB3A41"/>
    <w:rsid w:val="4D357A66"/>
    <w:rsid w:val="4DE66FB2"/>
    <w:rsid w:val="4EC56BC8"/>
    <w:rsid w:val="50E772C9"/>
    <w:rsid w:val="51223D82"/>
    <w:rsid w:val="512C73D2"/>
    <w:rsid w:val="515F1555"/>
    <w:rsid w:val="52D71FC3"/>
    <w:rsid w:val="54CF254E"/>
    <w:rsid w:val="551322A2"/>
    <w:rsid w:val="5579126C"/>
    <w:rsid w:val="55AB34F6"/>
    <w:rsid w:val="56327239"/>
    <w:rsid w:val="567E247E"/>
    <w:rsid w:val="59861649"/>
    <w:rsid w:val="5D01009A"/>
    <w:rsid w:val="5DCA7D57"/>
    <w:rsid w:val="5ED54282"/>
    <w:rsid w:val="5F7A45A2"/>
    <w:rsid w:val="5F93061C"/>
    <w:rsid w:val="607D37A6"/>
    <w:rsid w:val="609B47AE"/>
    <w:rsid w:val="60D3786A"/>
    <w:rsid w:val="61D94C85"/>
    <w:rsid w:val="633E152A"/>
    <w:rsid w:val="6536645B"/>
    <w:rsid w:val="66D31ECC"/>
    <w:rsid w:val="67856D3D"/>
    <w:rsid w:val="680D3662"/>
    <w:rsid w:val="688507FD"/>
    <w:rsid w:val="6A153733"/>
    <w:rsid w:val="6B2B4A32"/>
    <w:rsid w:val="6BBB2EE0"/>
    <w:rsid w:val="6DB427D1"/>
    <w:rsid w:val="6EC0788F"/>
    <w:rsid w:val="6F15104E"/>
    <w:rsid w:val="6FD26F3F"/>
    <w:rsid w:val="712D7413"/>
    <w:rsid w:val="71AB1318"/>
    <w:rsid w:val="72E74AAF"/>
    <w:rsid w:val="73217FC1"/>
    <w:rsid w:val="73640C00"/>
    <w:rsid w:val="73F2195D"/>
    <w:rsid w:val="7C5467C2"/>
    <w:rsid w:val="7EB61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5"/>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ind w:firstLine="420"/>
    </w:pPr>
  </w:style>
  <w:style w:type="paragraph" w:styleId="3">
    <w:name w:val="Body Text Indent"/>
    <w:basedOn w:val="1"/>
    <w:next w:val="2"/>
    <w:qFormat/>
    <w:uiPriority w:val="0"/>
    <w:pPr>
      <w:ind w:firstLine="640" w:firstLineChars="200"/>
    </w:pPr>
    <w:rPr>
      <w:sz w:val="32"/>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next w:val="2"/>
    <w:semiHidden/>
    <w:qFormat/>
    <w:uiPriority w:val="0"/>
    <w:pPr>
      <w:snapToGrid w:val="0"/>
      <w:jc w:val="left"/>
    </w:pPr>
    <w:rPr>
      <w:sz w:val="18"/>
    </w:rPr>
  </w:style>
  <w:style w:type="paragraph" w:styleId="7">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semiHidden/>
    <w:qFormat/>
    <w:uiPriority w:val="99"/>
    <w:rPr>
      <w:sz w:val="18"/>
      <w:szCs w:val="18"/>
    </w:rPr>
  </w:style>
  <w:style w:type="paragraph" w:customStyle="1" w:styleId="12">
    <w:name w:val="p"/>
    <w:basedOn w:val="1"/>
    <w:qFormat/>
    <w:uiPriority w:val="0"/>
    <w:pPr>
      <w:widowControl/>
      <w:spacing w:before="100" w:beforeAutospacing="1" w:after="100" w:afterAutospacing="1"/>
      <w:jc w:val="left"/>
    </w:pPr>
    <w:rPr>
      <w:kern w:val="0"/>
      <w:sz w:val="24"/>
      <w:lang w:val="en-US" w:eastAsia="zh-CN" w:bidi="ar"/>
    </w:rPr>
  </w:style>
  <w:style w:type="character" w:customStyle="1" w:styleId="13">
    <w:name w:val="15"/>
    <w:basedOn w:val="9"/>
    <w:qFormat/>
    <w:uiPriority w:val="0"/>
  </w:style>
  <w:style w:type="paragraph" w:customStyle="1" w:styleId="14">
    <w:name w:val="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
    <w:name w:val="NormalCharacter"/>
    <w:link w:val="1"/>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5111</Words>
  <Characters>5340</Characters>
  <Lines>26</Lines>
  <Paragraphs>7</Paragraphs>
  <TotalTime>2</TotalTime>
  <ScaleCrop>false</ScaleCrop>
  <LinksUpToDate>false</LinksUpToDate>
  <CharactersWithSpaces>5635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2022-06-28T23:14:00Z</dcterms:created>
  <dc:creator>个人用户</dc:creator>
  <cp:lastModifiedBy>Administrator</cp:lastModifiedBy>
  <dcterms:modified xsi:type="dcterms:W3CDTF">2022-11-18T05:22:42Z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A0F0F6CEF3B24166A62C6C64580ADCAB</vt:lpwstr>
  </property>
</Properties>
</file>