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42" w:firstLineChars="316"/>
        <w:jc w:val="center"/>
        <w:rPr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双清区汽车站街道办事处202</w:t>
      </w:r>
      <w:r>
        <w:rPr>
          <w:rFonts w:hint="eastAsia"/>
          <w:b/>
          <w:bCs/>
          <w:sz w:val="36"/>
          <w:szCs w:val="44"/>
          <w:lang w:val="en-US" w:eastAsia="zh-CN"/>
        </w:rPr>
        <w:t>2</w:t>
      </w:r>
      <w:r>
        <w:rPr>
          <w:rFonts w:hint="eastAsia"/>
          <w:b/>
          <w:bCs/>
          <w:sz w:val="36"/>
          <w:szCs w:val="44"/>
        </w:rPr>
        <w:t>年度</w:t>
      </w:r>
    </w:p>
    <w:p>
      <w:pPr>
        <w:ind w:firstLine="723" w:firstLineChars="200"/>
        <w:jc w:val="center"/>
        <w:rPr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部门整体支出绩效评价报告</w:t>
      </w:r>
    </w:p>
    <w:p>
      <w:pPr>
        <w:rPr>
          <w:b/>
          <w:sz w:val="20"/>
        </w:rPr>
      </w:pPr>
      <w:r>
        <w:rPr>
          <w:rFonts w:hint="eastAsia"/>
          <w:b/>
          <w:sz w:val="20"/>
        </w:rPr>
        <w:t>一、部门（单位）情况</w:t>
      </w:r>
    </w:p>
    <w:p>
      <w:pPr>
        <w:ind w:firstLine="360" w:firstLineChars="200"/>
        <w:rPr>
          <w:sz w:val="18"/>
        </w:rPr>
      </w:pPr>
      <w:r>
        <w:rPr>
          <w:rFonts w:hint="eastAsia"/>
          <w:sz w:val="18"/>
        </w:rPr>
        <w:t>（一）基本情况。</w:t>
      </w:r>
    </w:p>
    <w:p>
      <w:pPr>
        <w:ind w:firstLine="360" w:firstLineChars="200"/>
        <w:rPr>
          <w:sz w:val="18"/>
        </w:rPr>
      </w:pPr>
      <w:r>
        <w:rPr>
          <w:rFonts w:hint="eastAsia"/>
          <w:sz w:val="18"/>
        </w:rPr>
        <w:t>（一）贯彻执行党和国家的路线方针、政策以及市、区关于街道工作方面的指示，制订具体的管理办法并组织实施。</w:t>
      </w:r>
    </w:p>
    <w:p>
      <w:pPr>
        <w:ind w:firstLine="360" w:firstLineChars="200"/>
        <w:rPr>
          <w:sz w:val="18"/>
        </w:rPr>
      </w:pPr>
      <w:r>
        <w:rPr>
          <w:rFonts w:hint="eastAsia"/>
          <w:sz w:val="18"/>
        </w:rPr>
        <w:t>（二）指导、搞好辖区内村（居）委会的工作，支持、帮助村（居）民委员会加强思想、组织、制度建设，向区人民政府和有关部门及时反映村（居）民的意见、建议和要求。</w:t>
      </w:r>
    </w:p>
    <w:p>
      <w:pPr>
        <w:ind w:firstLine="360" w:firstLineChars="200"/>
        <w:rPr>
          <w:sz w:val="18"/>
        </w:rPr>
      </w:pPr>
      <w:r>
        <w:rPr>
          <w:rFonts w:hint="eastAsia"/>
          <w:sz w:val="18"/>
        </w:rPr>
        <w:t>（三）抓好村（社区）主化建设，开展文明街道、文明单位、文明小区建设活动，组织村（居）民开展经常性的文化、娱乐、体育活动。</w:t>
      </w:r>
    </w:p>
    <w:p>
      <w:pPr>
        <w:ind w:firstLine="360" w:firstLineChars="200"/>
        <w:rPr>
          <w:sz w:val="18"/>
        </w:rPr>
      </w:pPr>
      <w:r>
        <w:rPr>
          <w:rFonts w:hint="eastAsia"/>
          <w:sz w:val="18"/>
        </w:rPr>
        <w:t>（四）负责在辖区开展普法教育工作，做好民事调解，开展法律咨询、服务等工作，维护居民的合法权益，搞好辖区内社会管理综合治理工作。</w:t>
      </w:r>
    </w:p>
    <w:p>
      <w:pPr>
        <w:ind w:firstLine="360" w:firstLineChars="200"/>
        <w:rPr>
          <w:sz w:val="18"/>
        </w:rPr>
      </w:pPr>
      <w:r>
        <w:rPr>
          <w:rFonts w:hint="eastAsia"/>
          <w:sz w:val="18"/>
        </w:rPr>
        <w:t>（五）协助有关部门做好辖区拥军优属、优抚安置、社会救济、殡葬改革、残疾人就业等工作；积极开展便民利民的村（社区）服务和教育工作。</w:t>
      </w:r>
    </w:p>
    <w:p>
      <w:pPr>
        <w:ind w:firstLine="360" w:firstLineChars="200"/>
        <w:rPr>
          <w:sz w:val="18"/>
        </w:rPr>
      </w:pPr>
      <w:r>
        <w:rPr>
          <w:rFonts w:hint="eastAsia"/>
          <w:sz w:val="18"/>
        </w:rPr>
        <w:t>（六）6、会同有关部门做好辖区内常住和流动人口的计划生育工作，完成下达的各项计划生育指标任务。</w:t>
      </w:r>
    </w:p>
    <w:p>
      <w:pPr>
        <w:ind w:firstLine="360" w:firstLineChars="200"/>
        <w:rPr>
          <w:sz w:val="18"/>
        </w:rPr>
      </w:pPr>
      <w:r>
        <w:rPr>
          <w:rFonts w:hint="eastAsia"/>
          <w:sz w:val="18"/>
        </w:rPr>
        <w:t>（七）6、会同有关部门做好辖区内常住和流动人口的计划生育工作，完成下达的各项计划生育指标任务。</w:t>
      </w:r>
    </w:p>
    <w:p>
      <w:pPr>
        <w:ind w:firstLine="360" w:firstLineChars="200"/>
        <w:rPr>
          <w:sz w:val="18"/>
        </w:rPr>
      </w:pPr>
      <w:r>
        <w:rPr>
          <w:rFonts w:hint="eastAsia"/>
          <w:sz w:val="18"/>
        </w:rPr>
        <w:t>（八）协助武装部门做好辖区民兵训练和公民服兵役工作。</w:t>
      </w:r>
    </w:p>
    <w:p>
      <w:pPr>
        <w:ind w:firstLine="360" w:firstLineChars="200"/>
        <w:rPr>
          <w:sz w:val="18"/>
        </w:rPr>
      </w:pPr>
      <w:r>
        <w:rPr>
          <w:rFonts w:hint="eastAsia"/>
          <w:sz w:val="18"/>
        </w:rPr>
        <w:t>（九）协助武装部门做好辖区民兵训练和公民服兵役工作。</w:t>
      </w:r>
    </w:p>
    <w:p>
      <w:pPr>
        <w:ind w:firstLine="360" w:firstLineChars="200"/>
        <w:rPr>
          <w:sz w:val="18"/>
        </w:rPr>
      </w:pPr>
      <w:r>
        <w:rPr>
          <w:rFonts w:hint="eastAsia"/>
          <w:sz w:val="18"/>
        </w:rPr>
        <w:t>（十）负责在辖区开展普法教育工作，做好民事调解，开展法律咨询、服务等工作，维护居民的合法权益，搞好辖区内社会管理综合治理工作。</w:t>
      </w:r>
    </w:p>
    <w:p>
      <w:pPr>
        <w:ind w:firstLine="360" w:firstLineChars="200"/>
        <w:rPr>
          <w:sz w:val="18"/>
        </w:rPr>
      </w:pPr>
      <w:r>
        <w:rPr>
          <w:rFonts w:hint="eastAsia"/>
          <w:sz w:val="18"/>
        </w:rPr>
        <w:t>（十一）负责在辖区开展普法教育工作，做好民事调解，开展法律咨询、服务等工作，维护居民的合法权益，搞好辖区内社会管理综合治理工作。</w:t>
      </w:r>
    </w:p>
    <w:p>
      <w:pPr>
        <w:ind w:firstLine="360" w:firstLineChars="200"/>
        <w:rPr>
          <w:sz w:val="18"/>
        </w:rPr>
      </w:pPr>
      <w:r>
        <w:rPr>
          <w:rFonts w:hint="eastAsia"/>
          <w:sz w:val="18"/>
        </w:rPr>
        <w:t>（十二）负责本辖区的城市管理工作，发动群众开展爱国卫生运动，绿化、美化、净化城市环境，协助有关部门做好环境卫生、环境保护工作。</w:t>
      </w:r>
    </w:p>
    <w:p>
      <w:pPr>
        <w:ind w:firstLine="360" w:firstLineChars="200"/>
        <w:rPr>
          <w:sz w:val="18"/>
        </w:rPr>
      </w:pPr>
      <w:r>
        <w:rPr>
          <w:rFonts w:hint="eastAsia"/>
          <w:sz w:val="18"/>
        </w:rPr>
        <w:t>（十三）负责本辖区的城市管理工作，发动群众开展爱国卫生运动，绿化、美化、净化城市环境，协助有关部门做好环境卫生、环境保护工作。</w:t>
      </w:r>
    </w:p>
    <w:p>
      <w:pPr>
        <w:ind w:firstLine="360" w:firstLineChars="200"/>
        <w:rPr>
          <w:sz w:val="18"/>
        </w:rPr>
      </w:pPr>
      <w:r>
        <w:rPr>
          <w:rFonts w:hint="eastAsia"/>
          <w:sz w:val="18"/>
        </w:rPr>
        <w:t>（十四）负责本辖区的综合执法工作，维护辖区的良好秩序。</w:t>
      </w:r>
    </w:p>
    <w:p>
      <w:pPr>
        <w:ind w:firstLine="360" w:firstLineChars="200"/>
        <w:rPr>
          <w:sz w:val="18"/>
        </w:rPr>
      </w:pPr>
      <w:r>
        <w:rPr>
          <w:rFonts w:hint="eastAsia"/>
          <w:sz w:val="18"/>
        </w:rPr>
        <w:t>（十五）负责研究辖区经济发展的规划，协助有关部门抓好安全生产工作。</w:t>
      </w:r>
    </w:p>
    <w:p>
      <w:pPr>
        <w:ind w:firstLine="360" w:firstLineChars="200"/>
        <w:rPr>
          <w:sz w:val="18"/>
        </w:rPr>
      </w:pPr>
      <w:r>
        <w:rPr>
          <w:rFonts w:hint="eastAsia"/>
          <w:sz w:val="18"/>
        </w:rPr>
        <w:t>（十六）配合有关部门做好辖区内的三防、抢险救灾、安全生产检查、居民迁移等工作。</w:t>
      </w:r>
    </w:p>
    <w:p>
      <w:pPr>
        <w:ind w:firstLine="360" w:firstLineChars="200"/>
        <w:rPr>
          <w:sz w:val="18"/>
        </w:rPr>
      </w:pPr>
      <w:r>
        <w:rPr>
          <w:rFonts w:hint="eastAsia"/>
          <w:sz w:val="18"/>
        </w:rPr>
        <w:t>（十七）承办区委、区政府交办的其他工作。</w:t>
      </w:r>
    </w:p>
    <w:p>
      <w:pPr>
        <w:ind w:firstLine="361" w:firstLineChars="200"/>
        <w:rPr>
          <w:b/>
          <w:sz w:val="18"/>
        </w:rPr>
      </w:pPr>
      <w:r>
        <w:rPr>
          <w:rFonts w:hint="eastAsia"/>
          <w:b/>
          <w:sz w:val="18"/>
        </w:rPr>
        <w:t>二、机构设置及决算单位构成</w:t>
      </w:r>
    </w:p>
    <w:p>
      <w:pPr>
        <w:ind w:firstLine="360" w:firstLineChars="200"/>
        <w:rPr>
          <w:sz w:val="18"/>
        </w:rPr>
      </w:pPr>
      <w:r>
        <w:rPr>
          <w:rFonts w:hint="eastAsia"/>
          <w:sz w:val="18"/>
        </w:rPr>
        <w:t>  （一）内设机构设置</w:t>
      </w:r>
    </w:p>
    <w:p>
      <w:pPr>
        <w:ind w:firstLine="360" w:firstLineChars="200"/>
        <w:rPr>
          <w:sz w:val="18"/>
        </w:rPr>
      </w:pPr>
      <w:r>
        <w:rPr>
          <w:rFonts w:hint="eastAsia"/>
          <w:sz w:val="18"/>
        </w:rPr>
        <w:t>   邵阳市双清区汽车站街道办事处内设股室12个，分别为：党政综合办公室、财税所、基层党建办公室、经济发展办公室、城市管理办公室、公共服务办公室、公共安全办公室、街道文化综合服务中心、网格化综合服务中心、综合行政执法大队、街道政务服务中心、退役军人服务站。202</w:t>
      </w:r>
      <w:r>
        <w:rPr>
          <w:rFonts w:hint="eastAsia"/>
          <w:sz w:val="18"/>
          <w:lang w:val="en-US" w:eastAsia="zh-CN"/>
        </w:rPr>
        <w:t>2</w:t>
      </w:r>
      <w:r>
        <w:rPr>
          <w:rFonts w:hint="eastAsia"/>
          <w:sz w:val="18"/>
        </w:rPr>
        <w:t>年我单位共有编制人数</w:t>
      </w:r>
      <w:r>
        <w:rPr>
          <w:rFonts w:hint="eastAsia"/>
          <w:sz w:val="18"/>
          <w:lang w:val="en-US" w:eastAsia="zh-CN"/>
        </w:rPr>
        <w:t>67</w:t>
      </w:r>
      <w:r>
        <w:rPr>
          <w:rFonts w:hint="eastAsia"/>
          <w:sz w:val="18"/>
        </w:rPr>
        <w:t>人，年末实有在职人数</w:t>
      </w:r>
      <w:r>
        <w:rPr>
          <w:rFonts w:hint="eastAsia"/>
          <w:sz w:val="18"/>
          <w:lang w:val="en-US" w:eastAsia="zh-CN"/>
        </w:rPr>
        <w:t>64</w:t>
      </w:r>
      <w:bookmarkStart w:id="0" w:name="_GoBack"/>
      <w:bookmarkEnd w:id="0"/>
      <w:r>
        <w:rPr>
          <w:rFonts w:hint="eastAsia"/>
          <w:sz w:val="18"/>
        </w:rPr>
        <w:t>人，退休人数</w:t>
      </w:r>
      <w:r>
        <w:rPr>
          <w:rFonts w:hint="eastAsia"/>
          <w:sz w:val="18"/>
          <w:lang w:val="en-US" w:eastAsia="zh-CN"/>
        </w:rPr>
        <w:t>131</w:t>
      </w:r>
      <w:r>
        <w:rPr>
          <w:rFonts w:hint="eastAsia"/>
          <w:sz w:val="18"/>
        </w:rPr>
        <w:t>人，离休人数0人。</w:t>
      </w:r>
    </w:p>
    <w:p>
      <w:pPr>
        <w:ind w:firstLine="361" w:firstLineChars="200"/>
        <w:rPr>
          <w:sz w:val="18"/>
        </w:rPr>
      </w:pPr>
      <w:r>
        <w:rPr>
          <w:rFonts w:hint="eastAsia"/>
          <w:b/>
          <w:sz w:val="18"/>
        </w:rPr>
        <w:t>三、 部门内部控制及厉行节约制度建设情况</w:t>
      </w:r>
    </w:p>
    <w:p>
      <w:pPr>
        <w:ind w:firstLine="360" w:firstLineChars="200"/>
        <w:rPr>
          <w:sz w:val="18"/>
        </w:rPr>
      </w:pPr>
      <w:r>
        <w:rPr>
          <w:rFonts w:hint="eastAsia"/>
          <w:sz w:val="18"/>
        </w:rPr>
        <w:t xml:space="preserve">  1、高度重视预算支出绩效评价工作， 建立了机关整体支出管理方面的内控制度，并不断进行完善和修订。如：制定了《汽车站办事处财务管理办法》等办法，对招待费、公务用车等支出进行了有效管控。</w:t>
      </w:r>
    </w:p>
    <w:p>
      <w:pPr>
        <w:ind w:firstLine="360" w:firstLineChars="200"/>
        <w:rPr>
          <w:sz w:val="18"/>
        </w:rPr>
      </w:pPr>
      <w:r>
        <w:rPr>
          <w:rFonts w:hint="eastAsia"/>
          <w:sz w:val="18"/>
        </w:rPr>
        <w:t>2、 严格制度执行，特别是“三公”经费的预算控制。加强对公务租用车辆的管理，严格招待费用审核审批程序，“三公”经费较好地控制在预算范围之内。</w:t>
      </w:r>
    </w:p>
    <w:p>
      <w:pPr>
        <w:ind w:firstLine="361" w:firstLineChars="200"/>
        <w:rPr>
          <w:sz w:val="18"/>
        </w:rPr>
      </w:pPr>
      <w:r>
        <w:rPr>
          <w:rFonts w:hint="eastAsia"/>
          <w:b/>
          <w:sz w:val="18"/>
        </w:rPr>
        <w:t>四、内部控制部门整体支出规模及使用方向</w:t>
      </w:r>
    </w:p>
    <w:p>
      <w:pPr>
        <w:ind w:firstLine="360" w:firstLineChars="200"/>
        <w:rPr>
          <w:sz w:val="18"/>
        </w:rPr>
      </w:pPr>
      <w:r>
        <w:rPr>
          <w:rFonts w:hint="eastAsia"/>
          <w:sz w:val="18"/>
        </w:rPr>
        <w:t>基本支出的范围和主要用途:办事处的人员经费和日常公用经费。</w:t>
      </w:r>
    </w:p>
    <w:p>
      <w:pPr>
        <w:ind w:firstLine="361" w:firstLineChars="200"/>
        <w:rPr>
          <w:sz w:val="18"/>
        </w:rPr>
      </w:pPr>
      <w:r>
        <w:rPr>
          <w:rFonts w:hint="eastAsia"/>
          <w:b/>
          <w:sz w:val="18"/>
        </w:rPr>
        <w:t>五、收入支出预算执行情况分析</w:t>
      </w:r>
    </w:p>
    <w:p>
      <w:pPr>
        <w:ind w:firstLine="360" w:firstLineChars="200"/>
        <w:rPr>
          <w:sz w:val="18"/>
        </w:rPr>
      </w:pPr>
      <w:r>
        <w:rPr>
          <w:rFonts w:hint="eastAsia"/>
          <w:sz w:val="18"/>
        </w:rPr>
        <w:t>（一）收入支出预算安排情况</w:t>
      </w:r>
    </w:p>
    <w:p>
      <w:pPr>
        <w:ind w:firstLine="270" w:firstLineChars="150"/>
        <w:rPr>
          <w:rFonts w:hint="eastAsia"/>
          <w:sz w:val="18"/>
        </w:rPr>
      </w:pPr>
      <w:r>
        <w:rPr>
          <w:rFonts w:hint="eastAsia"/>
          <w:sz w:val="18"/>
        </w:rPr>
        <w:t>2022年度财政拨款支出1,734.91万元，主要用于以下方面：一般公共服务支出843.96万元，占48.66%；文化旅游体育与传媒支出8万元，占0.46%；社会保障和就业支出409.12万元，占23.58%；卫生健康支出75.34万元，占4.34%；城乡社区支出219.06万元，占12.63%；农林水支出15万元，占0.86%；住房保障支出51.26万元，占2.95%；灾害防治及应急管理支出28.16万元，占1.62%；其他支出85万元，占4.9%。202</w:t>
      </w:r>
      <w:r>
        <w:rPr>
          <w:rFonts w:hint="eastAsia"/>
          <w:sz w:val="18"/>
          <w:lang w:val="en-US" w:eastAsia="zh-CN"/>
        </w:rPr>
        <w:t>2</w:t>
      </w:r>
      <w:r>
        <w:rPr>
          <w:rFonts w:hint="eastAsia"/>
          <w:sz w:val="18"/>
        </w:rPr>
        <w:t>年收入                                                               金额单位：万元</w:t>
      </w:r>
    </w:p>
    <w:tbl>
      <w:tblPr>
        <w:tblStyle w:val="4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328"/>
        <w:gridCol w:w="1184"/>
        <w:gridCol w:w="1183"/>
        <w:gridCol w:w="1184"/>
        <w:gridCol w:w="1184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225" w:type="dxa"/>
            <w:vAlign w:val="center"/>
          </w:tcPr>
          <w:p>
            <w:pPr>
              <w:ind w:firstLine="320" w:firstLineChars="20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经费</w:t>
            </w:r>
          </w:p>
        </w:tc>
        <w:tc>
          <w:tcPr>
            <w:tcW w:w="1225" w:type="dxa"/>
            <w:vAlign w:val="center"/>
          </w:tcPr>
          <w:p>
            <w:pPr>
              <w:ind w:firstLine="320" w:firstLineChars="20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财政拨款基本收入</w:t>
            </w:r>
          </w:p>
        </w:tc>
        <w:tc>
          <w:tcPr>
            <w:tcW w:w="1225" w:type="dxa"/>
            <w:vAlign w:val="center"/>
          </w:tcPr>
          <w:p>
            <w:pPr>
              <w:ind w:firstLine="320" w:firstLineChars="20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其他收入</w:t>
            </w:r>
          </w:p>
        </w:tc>
        <w:tc>
          <w:tcPr>
            <w:tcW w:w="1225" w:type="dxa"/>
            <w:vAlign w:val="center"/>
          </w:tcPr>
          <w:p>
            <w:pPr>
              <w:ind w:firstLine="320" w:firstLineChars="20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政府性基金收入</w:t>
            </w:r>
          </w:p>
        </w:tc>
        <w:tc>
          <w:tcPr>
            <w:tcW w:w="1226" w:type="dxa"/>
            <w:vAlign w:val="center"/>
          </w:tcPr>
          <w:p>
            <w:pPr>
              <w:ind w:firstLine="320" w:firstLineChars="20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专项经费收入</w:t>
            </w:r>
          </w:p>
        </w:tc>
        <w:tc>
          <w:tcPr>
            <w:tcW w:w="1226" w:type="dxa"/>
            <w:vAlign w:val="center"/>
          </w:tcPr>
          <w:p>
            <w:pPr>
              <w:ind w:firstLine="320" w:firstLineChars="20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利息收入</w:t>
            </w:r>
          </w:p>
        </w:tc>
        <w:tc>
          <w:tcPr>
            <w:tcW w:w="1226" w:type="dxa"/>
            <w:vAlign w:val="center"/>
          </w:tcPr>
          <w:p>
            <w:pPr>
              <w:ind w:firstLine="320" w:firstLineChars="20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25" w:type="dxa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金额</w:t>
            </w:r>
          </w:p>
        </w:tc>
        <w:tc>
          <w:tcPr>
            <w:tcW w:w="1225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1408.44</w:t>
            </w:r>
          </w:p>
        </w:tc>
        <w:tc>
          <w:tcPr>
            <w:tcW w:w="1225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690.32</w:t>
            </w:r>
          </w:p>
        </w:tc>
        <w:tc>
          <w:tcPr>
            <w:tcW w:w="1225" w:type="dxa"/>
            <w:vAlign w:val="center"/>
          </w:tcPr>
          <w:p>
            <w:pPr>
              <w:ind w:firstLine="280" w:firstLineChars="200"/>
              <w:rPr>
                <w:rFonts w:hint="default" w:ascii="Tahoma" w:hAnsi="Tahoma" w:eastAsia="宋体" w:cs="Tahoma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226" w:type="dxa"/>
            <w:vAlign w:val="center"/>
          </w:tcPr>
          <w:p>
            <w:pPr>
              <w:ind w:firstLine="420" w:firstLineChars="200"/>
            </w:pPr>
          </w:p>
        </w:tc>
        <w:tc>
          <w:tcPr>
            <w:tcW w:w="1226" w:type="dxa"/>
            <w:vAlign w:val="center"/>
          </w:tcPr>
          <w:p>
            <w:pPr>
              <w:ind w:firstLine="420" w:firstLineChars="200"/>
            </w:pPr>
          </w:p>
        </w:tc>
        <w:tc>
          <w:tcPr>
            <w:tcW w:w="1226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2098.76</w:t>
            </w:r>
          </w:p>
        </w:tc>
      </w:tr>
    </w:tbl>
    <w:p>
      <w:pPr>
        <w:ind w:firstLine="360" w:firstLineChars="200"/>
        <w:rPr>
          <w:rFonts w:hint="eastAsia"/>
          <w:sz w:val="18"/>
        </w:rPr>
      </w:pPr>
    </w:p>
    <w:p>
      <w:pPr>
        <w:ind w:firstLine="360" w:firstLineChars="200"/>
        <w:rPr>
          <w:rFonts w:hint="eastAsia"/>
          <w:sz w:val="18"/>
        </w:rPr>
      </w:pPr>
      <w:r>
        <w:rPr>
          <w:rFonts w:hint="eastAsia"/>
          <w:sz w:val="18"/>
        </w:rPr>
        <w:t>202</w:t>
      </w:r>
      <w:r>
        <w:rPr>
          <w:rFonts w:hint="eastAsia"/>
          <w:sz w:val="18"/>
          <w:lang w:val="en-US" w:eastAsia="zh-CN"/>
        </w:rPr>
        <w:t>2</w:t>
      </w:r>
      <w:r>
        <w:rPr>
          <w:rFonts w:hint="eastAsia"/>
          <w:sz w:val="18"/>
        </w:rPr>
        <w:t>年支出                                                             金额单位：万元</w:t>
      </w:r>
    </w:p>
    <w:tbl>
      <w:tblPr>
        <w:tblStyle w:val="4"/>
        <w:tblW w:w="8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226"/>
        <w:gridCol w:w="1226"/>
        <w:gridCol w:w="1226"/>
        <w:gridCol w:w="1227"/>
        <w:gridCol w:w="1227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26" w:type="dxa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经费</w:t>
            </w:r>
          </w:p>
        </w:tc>
        <w:tc>
          <w:tcPr>
            <w:tcW w:w="1226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财政拨款基本支出</w:t>
            </w:r>
          </w:p>
        </w:tc>
        <w:tc>
          <w:tcPr>
            <w:tcW w:w="1226" w:type="dxa"/>
            <w:vAlign w:val="center"/>
          </w:tcPr>
          <w:p>
            <w:r>
              <w:rPr>
                <w:rFonts w:hint="eastAsia"/>
              </w:rPr>
              <w:t>财政拨款项目支出</w:t>
            </w:r>
          </w:p>
        </w:tc>
        <w:tc>
          <w:tcPr>
            <w:tcW w:w="1226" w:type="dxa"/>
            <w:vAlign w:val="center"/>
          </w:tcPr>
          <w:p>
            <w:r>
              <w:rPr>
                <w:rFonts w:hint="eastAsia"/>
              </w:rPr>
              <w:t>基建支出</w:t>
            </w:r>
          </w:p>
        </w:tc>
        <w:tc>
          <w:tcPr>
            <w:tcW w:w="1227" w:type="dxa"/>
            <w:vAlign w:val="center"/>
          </w:tcPr>
          <w:p>
            <w:r>
              <w:rPr>
                <w:rFonts w:hint="eastAsia"/>
              </w:rPr>
              <w:t>专项支出</w:t>
            </w:r>
          </w:p>
        </w:tc>
        <w:tc>
          <w:tcPr>
            <w:tcW w:w="1227" w:type="dxa"/>
            <w:vAlign w:val="center"/>
          </w:tcPr>
          <w:p>
            <w:pPr>
              <w:ind w:firstLine="315" w:firstLineChars="150"/>
            </w:pPr>
            <w:r>
              <w:rPr>
                <w:rFonts w:hint="eastAsia"/>
              </w:rPr>
              <w:t>合计</w:t>
            </w:r>
          </w:p>
        </w:tc>
        <w:tc>
          <w:tcPr>
            <w:tcW w:w="1227" w:type="dxa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26" w:type="dxa"/>
          </w:tcPr>
          <w:p>
            <w:pPr>
              <w:ind w:firstLine="360" w:firstLineChars="200"/>
              <w:rPr>
                <w:sz w:val="18"/>
              </w:rPr>
            </w:pPr>
            <w:r>
              <w:rPr>
                <w:rFonts w:hint="eastAsia"/>
                <w:sz w:val="18"/>
              </w:rPr>
              <w:t>金额</w:t>
            </w:r>
          </w:p>
        </w:tc>
        <w:tc>
          <w:tcPr>
            <w:tcW w:w="1226" w:type="dxa"/>
          </w:tcPr>
          <w:p>
            <w:pPr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1786.51</w:t>
            </w:r>
          </w:p>
        </w:tc>
        <w:tc>
          <w:tcPr>
            <w:tcW w:w="1226" w:type="dxa"/>
          </w:tcPr>
          <w:p>
            <w:pPr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655.58</w:t>
            </w:r>
          </w:p>
        </w:tc>
        <w:tc>
          <w:tcPr>
            <w:tcW w:w="1226" w:type="dxa"/>
          </w:tcPr>
          <w:p>
            <w:pPr>
              <w:rPr>
                <w:sz w:val="18"/>
              </w:rPr>
            </w:pPr>
          </w:p>
        </w:tc>
        <w:tc>
          <w:tcPr>
            <w:tcW w:w="1227" w:type="dxa"/>
          </w:tcPr>
          <w:p>
            <w:pPr>
              <w:rPr>
                <w:sz w:val="18"/>
              </w:rPr>
            </w:pPr>
          </w:p>
        </w:tc>
        <w:tc>
          <w:tcPr>
            <w:tcW w:w="1227" w:type="dxa"/>
          </w:tcPr>
          <w:p>
            <w:pPr>
              <w:rPr>
                <w:sz w:val="18"/>
              </w:rPr>
            </w:pPr>
          </w:p>
        </w:tc>
        <w:tc>
          <w:tcPr>
            <w:tcW w:w="1227" w:type="dxa"/>
          </w:tcPr>
          <w:p>
            <w:pPr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2442.09</w:t>
            </w:r>
          </w:p>
        </w:tc>
      </w:tr>
    </w:tbl>
    <w:p>
      <w:pPr>
        <w:ind w:firstLine="361" w:firstLineChars="200"/>
        <w:rPr>
          <w:b/>
          <w:sz w:val="18"/>
        </w:rPr>
      </w:pPr>
      <w:r>
        <w:rPr>
          <w:rFonts w:hint="eastAsia"/>
          <w:b/>
          <w:sz w:val="18"/>
        </w:rPr>
        <w:t>六、政府性基金预算收入支出决算情况</w:t>
      </w:r>
    </w:p>
    <w:p>
      <w:pPr>
        <w:ind w:firstLine="360" w:firstLineChars="200"/>
        <w:rPr>
          <w:rFonts w:hint="eastAsia"/>
          <w:sz w:val="18"/>
        </w:rPr>
      </w:pPr>
      <w:r>
        <w:rPr>
          <w:rFonts w:hint="eastAsia"/>
          <w:sz w:val="18"/>
        </w:rPr>
        <w:t>2022年度政府性基金预算财政拨款收入5万元；年初结转和结余0万元；支出5万元，其中基本支出5万元，项目支出0万元；年末结转和结余0万元。</w:t>
      </w:r>
    </w:p>
    <w:p>
      <w:pPr>
        <w:ind w:firstLine="181" w:firstLineChars="100"/>
        <w:rPr>
          <w:b/>
          <w:sz w:val="18"/>
        </w:rPr>
      </w:pPr>
      <w:r>
        <w:rPr>
          <w:rFonts w:hint="eastAsia"/>
          <w:b/>
          <w:sz w:val="18"/>
        </w:rPr>
        <w:t>七、一般公共预算财政拨款三公经费支出决算情况说明</w:t>
      </w:r>
    </w:p>
    <w:p>
      <w:pPr>
        <w:ind w:firstLine="360" w:firstLineChars="200"/>
        <w:rPr>
          <w:sz w:val="18"/>
        </w:rPr>
      </w:pPr>
      <w:r>
        <w:rPr>
          <w:rFonts w:hint="eastAsia"/>
          <w:sz w:val="18"/>
        </w:rPr>
        <w:t>（一）“三公”经费财政拨款支出决算总体情况说明</w:t>
      </w:r>
    </w:p>
    <w:p>
      <w:pPr>
        <w:ind w:firstLine="360" w:firstLineChars="200"/>
        <w:rPr>
          <w:sz w:val="18"/>
        </w:rPr>
      </w:pPr>
      <w:r>
        <w:rPr>
          <w:rFonts w:hint="eastAsia"/>
          <w:sz w:val="18"/>
        </w:rPr>
        <w:t>2022年度“三公”经费财政拨款支出预算为1.11万元，支出决算为1.11万元，完成预算的100%，其中：</w:t>
      </w:r>
    </w:p>
    <w:p>
      <w:pPr>
        <w:ind w:firstLine="360" w:firstLineChars="200"/>
        <w:rPr>
          <w:rFonts w:hint="default"/>
          <w:sz w:val="18"/>
        </w:rPr>
      </w:pPr>
      <w:r>
        <w:rPr>
          <w:rFonts w:hint="eastAsia"/>
          <w:sz w:val="18"/>
        </w:rPr>
        <w:t>因公出国（境）费支出预算为0万元，支出决算为0万元，决算数与预算数一致，我单位严格按预算执行决算，因公出国（境）费支出与上年持平。</w:t>
      </w:r>
    </w:p>
    <w:p>
      <w:pPr>
        <w:ind w:firstLine="360" w:firstLineChars="200"/>
        <w:rPr>
          <w:rFonts w:hint="default"/>
          <w:sz w:val="18"/>
        </w:rPr>
      </w:pPr>
      <w:r>
        <w:rPr>
          <w:rFonts w:hint="eastAsia"/>
          <w:sz w:val="18"/>
        </w:rPr>
        <w:t>公务接待费支出预算为0万元，支出决算为0万元，决算数与预算数一致，我单位严格按预算执行决算，公务接待费支出与上年持平。</w:t>
      </w:r>
    </w:p>
    <w:p>
      <w:pPr>
        <w:ind w:firstLine="360" w:firstLineChars="200"/>
        <w:rPr>
          <w:rFonts w:hint="default"/>
          <w:sz w:val="18"/>
        </w:rPr>
      </w:pPr>
      <w:r>
        <w:rPr>
          <w:rFonts w:hint="eastAsia"/>
          <w:sz w:val="18"/>
        </w:rPr>
        <w:t>公务用车购置费支出预算为0万元，支出决算为0万元，决算数与预算数一致，我单位严格按预算执行决算，公务用车购置费支出与上年持平。</w:t>
      </w:r>
    </w:p>
    <w:p>
      <w:pPr>
        <w:ind w:firstLine="360" w:firstLineChars="200"/>
        <w:rPr>
          <w:rFonts w:hint="default"/>
          <w:sz w:val="18"/>
        </w:rPr>
      </w:pPr>
      <w:r>
        <w:rPr>
          <w:rFonts w:hint="eastAsia"/>
          <w:sz w:val="18"/>
        </w:rPr>
        <w:t>公务用车运行维护费支出预算为1.11万元，支出决算为1.11万元，决算数与预算数一致，我单位严格按预算执行决算，与上年相比增加0.11万元，增长11%，增长的主要原因是实际工作需要增加。</w:t>
      </w:r>
    </w:p>
    <w:p>
      <w:pPr>
        <w:ind w:firstLine="360" w:firstLineChars="200"/>
        <w:rPr>
          <w:sz w:val="18"/>
        </w:rPr>
      </w:pPr>
      <w:r>
        <w:rPr>
          <w:rFonts w:hint="eastAsia"/>
          <w:sz w:val="18"/>
        </w:rPr>
        <w:t>（二）“三公”经费财政拨款支出决算具体情况说明</w:t>
      </w:r>
    </w:p>
    <w:p>
      <w:pPr>
        <w:ind w:firstLine="360" w:firstLineChars="200"/>
        <w:rPr>
          <w:sz w:val="18"/>
        </w:rPr>
      </w:pPr>
      <w:r>
        <w:rPr>
          <w:rFonts w:hint="eastAsia"/>
          <w:sz w:val="18"/>
        </w:rPr>
        <w:t>2022年度“三公”经费财政拨款支出决算中，公务接待费支出决算0万元，因公出国（境）费支出决算0万元，公务用车购置费及运行维护费支出决算1.11万元，占100%。其中：</w:t>
      </w:r>
    </w:p>
    <w:p>
      <w:pPr>
        <w:ind w:firstLine="360" w:firstLineChars="200"/>
        <w:rPr>
          <w:rFonts w:hint="default"/>
          <w:sz w:val="18"/>
        </w:rPr>
      </w:pPr>
      <w:r>
        <w:rPr>
          <w:rFonts w:hint="eastAsia"/>
          <w:sz w:val="18"/>
        </w:rPr>
        <w:t>1、因公出国（境）费支出决算为0万元，全年安排因公出国（境）团组0个，累计0人次，我单位2022年度无因公出国（境）费支出。</w:t>
      </w:r>
    </w:p>
    <w:p>
      <w:pPr>
        <w:ind w:firstLine="360" w:firstLineChars="200"/>
        <w:rPr>
          <w:rFonts w:hint="default"/>
          <w:sz w:val="18"/>
        </w:rPr>
      </w:pPr>
      <w:r>
        <w:rPr>
          <w:rFonts w:hint="eastAsia"/>
          <w:sz w:val="18"/>
        </w:rPr>
        <w:t>2、公务接待费支出决算为0万元，全年共接待来访团组0个、来宾0人次，我单位2022年度无公务接待费支出。</w:t>
      </w:r>
    </w:p>
    <w:p>
      <w:pPr>
        <w:ind w:firstLine="360" w:firstLineChars="200"/>
        <w:rPr>
          <w:rFonts w:hint="default"/>
          <w:sz w:val="18"/>
        </w:rPr>
      </w:pPr>
      <w:r>
        <w:rPr>
          <w:rFonts w:hint="eastAsia"/>
          <w:sz w:val="18"/>
        </w:rPr>
        <w:t>3、公务用车购置费及运行维护费支出决算为1.11万元，其中：公务用车购置费0万元，邵阳市双清区汽车站街道办事处更新公务用车0辆。公务用车运行维护费1.11万元，主要是工作支出，截至2022年12月31日，我单位开支财政拨款的公务用车保有量为1辆。</w:t>
      </w:r>
    </w:p>
    <w:p>
      <w:pPr>
        <w:ind w:firstLine="181" w:firstLineChars="100"/>
        <w:rPr>
          <w:b/>
          <w:sz w:val="18"/>
        </w:rPr>
      </w:pPr>
      <w:r>
        <w:rPr>
          <w:rFonts w:hint="eastAsia"/>
          <w:b/>
          <w:sz w:val="18"/>
        </w:rPr>
        <w:t>八、</w:t>
      </w:r>
      <w:r>
        <w:rPr>
          <w:b/>
          <w:sz w:val="18"/>
        </w:rPr>
        <w:t>评价结论及自评得分情况</w:t>
      </w:r>
    </w:p>
    <w:p>
      <w:pPr>
        <w:ind w:firstLine="420" w:firstLineChars="200"/>
      </w:pPr>
      <w:r>
        <w:t>整体绩效评价总分100分，自评得分95.40分。</w:t>
      </w:r>
    </w:p>
    <w:p>
      <w:pPr>
        <w:ind w:firstLine="360" w:firstLineChars="200"/>
        <w:rPr>
          <w:sz w:val="18"/>
        </w:rPr>
      </w:pPr>
      <w:r>
        <w:rPr>
          <w:sz w:val="18"/>
        </w:rPr>
        <w:t>（一）预算编制总分30分，自评得分29.87分。</w:t>
      </w:r>
    </w:p>
    <w:p>
      <w:pPr>
        <w:ind w:firstLine="360" w:firstLineChars="200"/>
        <w:rPr>
          <w:sz w:val="18"/>
        </w:rPr>
      </w:pPr>
      <w:r>
        <w:rPr>
          <w:sz w:val="18"/>
        </w:rPr>
        <w:t>1.“目标填报”总分4分，自评得分4分。</w:t>
      </w:r>
    </w:p>
    <w:p>
      <w:pPr>
        <w:ind w:firstLine="360" w:firstLineChars="200"/>
        <w:rPr>
          <w:sz w:val="18"/>
        </w:rPr>
      </w:pPr>
      <w:r>
        <w:rPr>
          <w:sz w:val="18"/>
        </w:rPr>
        <w:t>2.“目标完整具体”总分8分，自评得分8分。</w:t>
      </w:r>
    </w:p>
    <w:p>
      <w:pPr>
        <w:ind w:firstLine="360" w:firstLineChars="200"/>
        <w:rPr>
          <w:sz w:val="18"/>
        </w:rPr>
      </w:pPr>
      <w:r>
        <w:rPr>
          <w:sz w:val="18"/>
        </w:rPr>
        <w:t>3.“目标量化”总分8分，自评得分8分。</w:t>
      </w:r>
    </w:p>
    <w:p>
      <w:pPr>
        <w:ind w:firstLine="360" w:firstLineChars="200"/>
        <w:rPr>
          <w:sz w:val="18"/>
        </w:rPr>
      </w:pPr>
      <w:r>
        <w:rPr>
          <w:sz w:val="18"/>
        </w:rPr>
        <w:t>4.“预算编制准确性”总分5分，自评得分4.87分。</w:t>
      </w:r>
    </w:p>
    <w:p>
      <w:pPr>
        <w:ind w:firstLine="360" w:firstLineChars="200"/>
        <w:rPr>
          <w:sz w:val="18"/>
        </w:rPr>
      </w:pPr>
      <w:r>
        <w:rPr>
          <w:sz w:val="18"/>
        </w:rPr>
        <w:t>改进措施：加强沟通，仔细筹划，争取将预算工作做得更细更准。</w:t>
      </w:r>
    </w:p>
    <w:p>
      <w:pPr>
        <w:ind w:firstLine="360" w:firstLineChars="200"/>
        <w:rPr>
          <w:sz w:val="18"/>
        </w:rPr>
      </w:pPr>
      <w:r>
        <w:rPr>
          <w:sz w:val="18"/>
        </w:rPr>
        <w:t>5.“项目分类”总分3分，自评得分3分。</w:t>
      </w:r>
    </w:p>
    <w:p>
      <w:pPr>
        <w:ind w:firstLine="360" w:firstLineChars="200"/>
        <w:rPr>
          <w:sz w:val="18"/>
        </w:rPr>
      </w:pPr>
      <w:r>
        <w:rPr>
          <w:sz w:val="18"/>
        </w:rPr>
        <w:t>6.“预算编制报送时效和质量”总分2分，自评得分2分。</w:t>
      </w:r>
    </w:p>
    <w:p>
      <w:pPr>
        <w:ind w:firstLine="360" w:firstLineChars="200"/>
        <w:rPr>
          <w:sz w:val="18"/>
        </w:rPr>
      </w:pPr>
      <w:r>
        <w:rPr>
          <w:sz w:val="18"/>
        </w:rPr>
        <w:t>（二）预算管理总分55分，自评得分50.77分。</w:t>
      </w:r>
    </w:p>
    <w:p>
      <w:pPr>
        <w:ind w:firstLine="360" w:firstLineChars="200"/>
        <w:rPr>
          <w:sz w:val="18"/>
        </w:rPr>
      </w:pPr>
      <w:r>
        <w:rPr>
          <w:sz w:val="18"/>
        </w:rPr>
        <w:t>1.“预算调整”总分2分，自评得分1.91分。</w:t>
      </w:r>
    </w:p>
    <w:p>
      <w:pPr>
        <w:ind w:firstLine="360" w:firstLineChars="200"/>
        <w:rPr>
          <w:sz w:val="18"/>
        </w:rPr>
      </w:pPr>
      <w:r>
        <w:rPr>
          <w:sz w:val="18"/>
        </w:rPr>
        <w:t>改进措施：做好工作统筹，加强工作的计划性，减少预算调整事项。</w:t>
      </w:r>
    </w:p>
    <w:p>
      <w:pPr>
        <w:ind w:firstLine="360" w:firstLineChars="200"/>
        <w:rPr>
          <w:sz w:val="18"/>
        </w:rPr>
      </w:pPr>
      <w:r>
        <w:rPr>
          <w:sz w:val="18"/>
        </w:rPr>
        <w:t>2.“结余结转”总分2分，自评得分1.88分。</w:t>
      </w:r>
    </w:p>
    <w:p>
      <w:pPr>
        <w:ind w:firstLine="360" w:firstLineChars="200"/>
        <w:rPr>
          <w:sz w:val="18"/>
        </w:rPr>
      </w:pPr>
      <w:r>
        <w:rPr>
          <w:sz w:val="18"/>
        </w:rPr>
        <w:t>改进措施：提前做好工作开展的各项准备，资金到位后迅速展开工作，避免工作跨年。</w:t>
      </w:r>
    </w:p>
    <w:p>
      <w:pPr>
        <w:ind w:firstLine="360" w:firstLineChars="200"/>
        <w:rPr>
          <w:sz w:val="18"/>
        </w:rPr>
      </w:pPr>
      <w:r>
        <w:rPr>
          <w:sz w:val="18"/>
        </w:rPr>
        <w:t>3.“部门总体执行进度”总分7分，自评得分7分。</w:t>
      </w:r>
    </w:p>
    <w:p>
      <w:pPr>
        <w:ind w:firstLine="360" w:firstLineChars="200"/>
        <w:rPr>
          <w:sz w:val="18"/>
        </w:rPr>
      </w:pPr>
      <w:r>
        <w:rPr>
          <w:sz w:val="18"/>
        </w:rPr>
        <w:t>4.“政府采购预算执行”总分2分，自评得分1.98分。</w:t>
      </w:r>
    </w:p>
    <w:p>
      <w:pPr>
        <w:ind w:firstLine="360" w:firstLineChars="200"/>
        <w:rPr>
          <w:sz w:val="18"/>
        </w:rPr>
      </w:pPr>
      <w:r>
        <w:rPr>
          <w:sz w:val="18"/>
        </w:rPr>
        <w:t>5.“三公经费控制”总分2分，自评得分2分。</w:t>
      </w:r>
    </w:p>
    <w:p>
      <w:pPr>
        <w:ind w:firstLine="360" w:firstLineChars="200"/>
        <w:rPr>
          <w:sz w:val="18"/>
        </w:rPr>
      </w:pPr>
      <w:r>
        <w:rPr>
          <w:sz w:val="18"/>
        </w:rPr>
        <w:t>6.“管理制度健全性”总分2分，自评得分2分。</w:t>
      </w:r>
    </w:p>
    <w:p>
      <w:pPr>
        <w:ind w:firstLine="360" w:firstLineChars="200"/>
        <w:rPr>
          <w:sz w:val="18"/>
        </w:rPr>
      </w:pPr>
      <w:r>
        <w:rPr>
          <w:sz w:val="18"/>
        </w:rPr>
        <w:t>7.“资金使用合规性”总分3分，自评得分3分。</w:t>
      </w:r>
    </w:p>
    <w:p>
      <w:pPr>
        <w:ind w:firstLine="360" w:firstLineChars="200"/>
        <w:rPr>
          <w:sz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1YjUzZDYzZmZlZDM4OWY2NTA4NmI4ZDJiOWNjYTkifQ=="/>
  </w:docVars>
  <w:rsids>
    <w:rsidRoot w:val="00AF5491"/>
    <w:rsid w:val="004E1F94"/>
    <w:rsid w:val="00AD0225"/>
    <w:rsid w:val="00AF5491"/>
    <w:rsid w:val="0DB02729"/>
    <w:rsid w:val="245A7921"/>
    <w:rsid w:val="289364C7"/>
    <w:rsid w:val="4C487B00"/>
    <w:rsid w:val="6E37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rPr>
      <w:sz w:val="24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1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peoplefilling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2747</Words>
  <Characters>2982</Characters>
  <Lines>23</Lines>
  <Paragraphs>6</Paragraphs>
  <TotalTime>67</TotalTime>
  <ScaleCrop>false</ScaleCrop>
  <LinksUpToDate>false</LinksUpToDate>
  <CharactersWithSpaces>3116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2022-11-18T02:06:00Z</dcterms:created>
  <dc:creator>Administrator</dc:creator>
  <cp:lastModifiedBy>Administrator</cp:lastModifiedBy>
  <dcterms:modified xsi:type="dcterms:W3CDTF">2023-09-18T03:12:18Z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BB23061BA5B642B5BD0551CE2F06FED7</vt:lpwstr>
  </property>
</Properties>
</file>