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双清区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爱莲</w:t>
      </w:r>
      <w:r>
        <w:rPr>
          <w:rFonts w:hint="eastAsia" w:ascii="黑体" w:hAnsi="黑体" w:eastAsia="黑体"/>
          <w:b/>
          <w:bCs/>
          <w:sz w:val="44"/>
          <w:szCs w:val="44"/>
        </w:rPr>
        <w:t>街道办事处202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/>
          <w:b/>
          <w:bCs/>
          <w:sz w:val="44"/>
          <w:szCs w:val="44"/>
        </w:rPr>
        <w:t>年度</w:t>
      </w:r>
    </w:p>
    <w:p>
      <w:pPr>
        <w:ind w:firstLine="883" w:firstLineChars="2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部门整体支出绩效评价报告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一、单位概况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（一）机构组成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邵阳市双清区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爱莲</w:t>
      </w:r>
      <w:r>
        <w:rPr>
          <w:rFonts w:hint="eastAsia" w:ascii="仿宋" w:hAnsi="仿宋" w:eastAsia="仿宋"/>
          <w:sz w:val="30"/>
          <w:szCs w:val="30"/>
        </w:rPr>
        <w:t>街道办事处内设股室1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个，分别为：党政综合办公室、基层党建办公室、经济发展办公室、社会事务办公室、社会治安和应急管理办公室、自然资源和生态环境办公室、综合行政执法大队、社会事务综合服务中心、农业综合服务中心、政务（便民）服务中心、退役军人服务站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办事处管辖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个社区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2个村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（二）机构职能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爱莲</w:t>
      </w:r>
      <w:r>
        <w:rPr>
          <w:rFonts w:hint="eastAsia" w:ascii="仿宋" w:hAnsi="仿宋" w:eastAsia="仿宋"/>
          <w:sz w:val="30"/>
          <w:szCs w:val="30"/>
        </w:rPr>
        <w:t>街道办事处是行政单位性质的单位，上级部门是双清区人民政府。主要职责包括：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1、贯彻执行党和国家的路线方针、政策以及市、区关于街道工作方面的指示，制订具体的管理办法并组织实施。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2、指导、搞好辖区内村（居）委会的工作，支持、帮助村（居）民委员会加强思想、组织、制度建设，向区人民政府和有关部门及时反映村（居）民的意见、建议和要求。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 3、抓好村（社区）文化建设，开展文明街道、文明单位，文明小区建设活动，组织村（居）民开展经常性的文化、娱乐、体育活动。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4、负责街道的人民调解、治安保卫工作，加强对违法青少年的帮教转化，保护老人、妇女、儿童的合法权益。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 5、协助有关部门做好辖区拥军优属、优抚安置、社会救济、殡葬改革、残疾人就业等工作；积极开展便民利民的村（社区）服务和教育工作。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6、会同有关部门做好辖区内常住和流动人口的管理及计划生育工作，完成区下达的各项计划生育指标任务。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7、协助武装部门做好辖区民兵训练和公民服兵役工作。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8、负责在辖区开展普法教育工作，做好民事调解，开展法律咨询、服务等工作，维护居民的合法权益，搞好辖区内社会管理综合治理工作。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  9、负责本辖区的城市管理工作，发动群众开展爱国卫生运动，绿化、美化、净化城市环境，协助有关部门做好环境卫生、环境保护工作。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10、负责本辖区的综合执法工作，维护辖区的良好秩序。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11、负责研究辖区经济发展的规划，协助有关部门抓好安全生产工作。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12、配合有关部门做好辖区内的三防、抢险救灾、安全生产检查、居民迁移等工作。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13、承办区委、区政府交办的其他工作。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二、财政资金总体情况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（一）街道财政资金整体收支情况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2021年预算安排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746.94</w:t>
      </w:r>
      <w:r>
        <w:rPr>
          <w:rFonts w:hint="eastAsia" w:ascii="仿宋" w:hAnsi="仿宋" w:eastAsia="仿宋"/>
          <w:sz w:val="30"/>
          <w:szCs w:val="30"/>
        </w:rPr>
        <w:t>万元，基本支出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746.94</w:t>
      </w:r>
      <w:r>
        <w:rPr>
          <w:rFonts w:hint="eastAsia" w:ascii="仿宋" w:hAnsi="仿宋" w:eastAsia="仿宋"/>
          <w:sz w:val="30"/>
          <w:szCs w:val="30"/>
        </w:rPr>
        <w:t>万元，项目支出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万元。其中一般公共服务支出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479.79</w:t>
      </w:r>
      <w:r>
        <w:rPr>
          <w:rFonts w:hint="eastAsia" w:ascii="仿宋" w:hAnsi="仿宋" w:eastAsia="仿宋"/>
          <w:sz w:val="30"/>
          <w:szCs w:val="30"/>
        </w:rPr>
        <w:t>万元，社会保障与就业支出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169.65</w:t>
      </w:r>
      <w:r>
        <w:rPr>
          <w:rFonts w:hint="eastAsia" w:ascii="仿宋" w:hAnsi="仿宋" w:eastAsia="仿宋"/>
          <w:sz w:val="30"/>
          <w:szCs w:val="30"/>
        </w:rPr>
        <w:t>万元，卫生健康支出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47.98</w:t>
      </w:r>
      <w:r>
        <w:rPr>
          <w:rFonts w:hint="eastAsia" w:ascii="仿宋" w:hAnsi="仿宋" w:eastAsia="仿宋"/>
          <w:sz w:val="30"/>
          <w:szCs w:val="30"/>
        </w:rPr>
        <w:t>万元，住房保障支出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39.51</w:t>
      </w:r>
      <w:r>
        <w:rPr>
          <w:rFonts w:hint="eastAsia" w:ascii="仿宋" w:hAnsi="仿宋" w:eastAsia="仿宋"/>
          <w:sz w:val="30"/>
          <w:szCs w:val="30"/>
        </w:rPr>
        <w:t>万元。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（二）街道预算编制及绩效目标设定情况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街道预算编制精心细致严谨，将有限的资金安排到关系民生提高人民幸福获得感、保障社会稳定、促进辖区经济发展、保障机构正常运转等方面。主要目标包括：1.保障辖区环境卫生质量；2..合理运用社区公共服务保障资金，为辖区居民做好公共服务；3.保障办事处基本运行与各项工作的顺利开展；4.保障基层各级党组织的健全运转；5.做好做细城市管理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三、预算管理情况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（一）预算执行情况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1、总体执行进度：本单位当年预算支出完成率为100%。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2、预算调整及结余结转情况。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(1)预算调整。年度执行过程中一般公共预算财政拨款调整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增加556.53</w:t>
      </w:r>
      <w:r>
        <w:rPr>
          <w:rFonts w:hint="eastAsia" w:ascii="仿宋" w:hAnsi="仿宋" w:eastAsia="仿宋"/>
          <w:sz w:val="30"/>
          <w:szCs w:val="30"/>
        </w:rPr>
        <w:t>万元，主要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因为2022年度疫情防控、创文、信访及人员调入开支增加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(2)结转结余情况。202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年度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无</w:t>
      </w:r>
      <w:r>
        <w:rPr>
          <w:rFonts w:hint="eastAsia" w:ascii="仿宋" w:hAnsi="仿宋" w:eastAsia="仿宋"/>
          <w:sz w:val="30"/>
          <w:szCs w:val="30"/>
        </w:rPr>
        <w:t>结转结余。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（二）“三公”经费管理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“三公”经费支出总额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万元，其中：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（1）无因公出国（境），年初无预算，与上年决算数持平。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（2）现公务用车保有量1辆。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（3）公务接待费0万元，较上年决算0万元，变动原因为未发生招待费用。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（三）绩效管理情况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街道实际情况实施绩效管理，按规定组织和开展绩效评价，工作内容包括本部门的自评、完成本部门绩效评价报告与佐证、对各项目都进行了绩效评价，积极加强绩效管理与落实。通过加强绩效评价工作的指导和督导，提高了资金使用的效率和效益，让工作留下了痕迹，同时也产生了许多宝贵的经验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四、街道整体绩效情况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是配足配强改革工作力量。成立由街道党工委书记牵头，各科室及社区参加的街道全面深化改革工作领导小组，统筹全面深改工作；制定街道全面深化改革工作方案，明确任分工；建立月分析、季汇总的工作机制，抓好任务推进。二是强化中央、省、市、区委重要改革部署及要求。组织街道全面深化改革工作动员部署会1次，按照要求组织相关人员学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次，围绕干部关心激励、税收等6个方面组织调查研究并形成调研成果；分管副书记每月召集会议强化工作推进。三是注重优化举措，积极推动辖区改革创新工作，形成工作亮点。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五、评价结论及自评得分情况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整体绩效评价总分100分，自评得分9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.4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（一）预算编制总分30分，自评得分2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sz w:val="30"/>
          <w:szCs w:val="30"/>
        </w:rPr>
        <w:t>.87分。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1.“目标填报”总分4分，自评得分4分。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2.“目标完整具体”总分8分，自评得分8分。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3.“目标量化”总分8分，自评得分8分。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4.“预算编制准确性”总分5分，自评得分4.87分。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改进措施：加强沟通，仔细筹划，争取将预算工作做得更细更准。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5.“项目分类”总分3分，自评得分3分。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6.“预算编制报送时效和质量”总分2分，自评得分2分。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（二）预算管理总分55分，自评得分5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.77分。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1.“预算调整”总分2分，自评得分1.9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改进措施：做好工作统筹，加强工作的计划性，减少预算调整事项。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2.“结余结转”总分2分，自评得分1.8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改进措施：提前做好工作开展的各项准备，资金到位后迅速展开工作，避免工作跨年。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3.“部门总体执行进度” 总分7分，自评得分7分。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4.“政府采购预算执行” 总分2分，自评得分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5.“三公经费控制”总分2分，自评得分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6.“管理制度健全性”总分2分，自评得分2分。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7.“资金使用合规性”总分3分，自评得分3分。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8．“资产信息系统建设情况”总分2分，自评得分2分。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9.“行政事业单位资产清查开展情况”总分2分，自评得分2分。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 “行政事业单位资产报表上报情况”总分2分，自评得分2分。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11.“部门决算质量”总分3分，自评得分3分。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12.“决算账表一致性”总分2分，自评得分2分。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13.“预决算信息公开”总分2分，自评得分2分。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14.“遵纪情况”总分2分，自评得分2分。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15.“绩效评价工作开展”总分3分，自评得分3分。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16．“绩效指标构建”总分1分，自评得分0分。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改进措施：加强绩效指标构建的主动性，深入思考工作，构建出与单位实际情况贴切的指标，促进工作成效上台阶。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17.“评价结果报送”总分2分，自评得分2分。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18.“整改完成情况”总分4分，自评得分4分。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19.“绩效信息公开”总分3分，自评得分3分。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20.“绩效工作宣传”总分3分，自评得分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改进措施：加大绩效工作宣传力度，拓宽宣传渠道，主动作为，让更多的事项参与到绩效评价工作中来，提高工作效率和效益。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（三）整体绩效总分15分，自评得分1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.8分。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1.“工作任务完成”总分10分，自评得分10分。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2.“满意度”总分5分，自评得分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.8分。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改进措施：不断提高服务质量，提高工作对象的满意度。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六、建议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将降低单位运行成本作为财务工作的一项重要任务，重点抓好报销标准的审核、日常办公费用的节约以及严控不必要的项目支出，力争通过行之有效的制度，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将全年预算编制整体筹划好、执行过程把控好。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双清区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爱莲</w:t>
      </w:r>
      <w:r>
        <w:rPr>
          <w:rFonts w:hint="eastAsia" w:ascii="仿宋" w:hAnsi="仿宋" w:eastAsia="仿宋"/>
          <w:sz w:val="30"/>
          <w:szCs w:val="30"/>
        </w:rPr>
        <w:t>街道办事处</w:t>
      </w:r>
    </w:p>
    <w:p>
      <w:pPr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年9月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ind w:firstLine="600" w:firstLineChars="200"/>
        <w:jc w:val="right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MmI0NzVhMWYyN2U1ZjFmMDAyODdkMmQxNmM2MjQifQ=="/>
  </w:docVars>
  <w:rsids>
    <w:rsidRoot w:val="007760D9"/>
    <w:rsid w:val="000618C8"/>
    <w:rsid w:val="0054740E"/>
    <w:rsid w:val="006D5FAF"/>
    <w:rsid w:val="007760D9"/>
    <w:rsid w:val="00997FF2"/>
    <w:rsid w:val="009A4E31"/>
    <w:rsid w:val="00A83E7B"/>
    <w:rsid w:val="00CF090F"/>
    <w:rsid w:val="00D06590"/>
    <w:rsid w:val="00DC358E"/>
    <w:rsid w:val="00DE3F9B"/>
    <w:rsid w:val="00FA0C1D"/>
    <w:rsid w:val="030255E3"/>
    <w:rsid w:val="0FDE1E81"/>
    <w:rsid w:val="1B0D3C6F"/>
    <w:rsid w:val="2A7E6C5F"/>
    <w:rsid w:val="33E3258B"/>
    <w:rsid w:val="375B0062"/>
    <w:rsid w:val="38215DEB"/>
    <w:rsid w:val="38F46AA8"/>
    <w:rsid w:val="41B3283F"/>
    <w:rsid w:val="55DB7174"/>
    <w:rsid w:val="67693DB6"/>
    <w:rsid w:val="6B2D31E7"/>
    <w:rsid w:val="6C876151"/>
    <w:rsid w:val="759B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1">
    <w:name w:val="peoplefilling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2896</Words>
  <Characters>3059</Characters>
  <Lines>28</Lines>
  <Paragraphs>7</Paragraphs>
  <TotalTime>144</TotalTime>
  <ScaleCrop>false</ScaleCrop>
  <LinksUpToDate>false</LinksUpToDate>
  <CharactersWithSpaces>3071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2022-09-28T03:32:00Z</dcterms:created>
  <dc:creator>Administrator</dc:creator>
  <cp:lastModifiedBy>Administrator</cp:lastModifiedBy>
  <dcterms:modified xsi:type="dcterms:W3CDTF">2023-09-19T07:19:19Z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A47059CF815C45E78F88D0B853AB5830</vt:lpwstr>
  </property>
</Properties>
</file>