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邵阳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  <w:t>市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灵活就业人员缴存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  <w:t>住房公积金协议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甲方：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邵阳市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乙方: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身份证号码: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移动电话：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固定电话: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住址: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缴存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管理部: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根据《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邵阳市灵活就业人员缴存住房公积金管理办法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金管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号）文件要求，经双方协商，就乙方缴存住房公积金事宜签定本协议。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第一条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一、甲方负责承办乙方住房公积金缴存、提取和使用等业务。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二、甲方为乙方设立住房公积金个人账户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三、甲方每年6月30日按照国家规定的利率对乙方缴存的住房公积金计算利息，利息自动转入本金。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四、甲方按规定为乙方办理住房公积金提取审批手续。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五、甲方为符合住房公积金贷款条件的乙方提供住房公积金贷款。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乙方通过虚假、无效或不完整的信息、文件、资料或承诺等违规手段获取住房公积金贷款的，甲方有权提前终止借款合同，并追究乙方相应法律责任。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乙方的权利和义务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乙方根据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金管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eastAsia="仿宋_GB2312" w:cs="Times New Roman"/>
          <w:color w:val="auto"/>
          <w:sz w:val="32"/>
          <w:szCs w:val="32"/>
          <w:u w:val="none"/>
          <w:lang w:val="en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号文件规定缴存住房公积金，并按甲方要求提供办理开户登记和账户设立手续所需资料。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经双方协商，确定乙方缴存时间自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年  月至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年  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不得超过法定退休年龄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月缴存基数为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元，月缴存比例为  %，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月缴存额为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三、乙方提供缴存住房公积金的个人银行帐户（需符合甲方要求），并授权甲方在协议缴存期间通过银行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约定金额存入乙方住房公积金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帐户。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四、在约定缴存期间，乙方保证代扣住房公积金的个人银行帐户在每月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日前保留不少于约定每月缴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的金额。乙方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按月、足额缴存住房公积金，连续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个月个人住房公积金帐户自动封存，封存后申请再缴存的，需向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邵阳市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住房公积金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中心缴存管理部重新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办缴存手续，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以前停缴的不能补缴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五、乙方住房公积金缴存基数和缴存比例，每年可调整一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，申请时间为每年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月份。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六、乙方按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邵阳市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住房公积金提取使用规定申请提取本人住房公积金。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七、乙方按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邵阳市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住房公积金贷款规定向甲方申请住房公积金贷款。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乙方在还清贷款前不得停缴住房公积金，原约定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缴存时间自动延长至贷款还清日，原约定缴存金额低于每月还贷额的需提升至不低于每月还贷额（夫妻双方缴交的，双方住房公积金月缴存额之和低于每月还贷额的，需提升至不低于每月还贷额），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乙方可按规定使用个人住房公积金帐户（已婚的含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夫妻双方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）余额用于每月还贷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八、乙方手机号码、家庭住址等信息发生变更的，需在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天内向缴存管理部提交书面信息变更申请表，及时办理信息变更；乙方如需变更缴存扣款帐号，应先到缴存管理部办理变更。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九、乙方保证所提供资料客观真实、有效，如有不实，由此造成的不利后果及相应法律责任均由乙方承担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十、本协议到期后，乙方如需继续缴存的，应在到期前3个月内与甲方续签缴存协议。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其它约定事项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第四条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本协议一式三份（甲方持二份、乙方持一份），自签定之日起生效，均具有同等法律效力。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第五条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本协议未尽事宜，甲乙双方协商解决。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甲方（盖章）：          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法人或授权代表：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F71CC0-0441-47FC-9974-D447E506947A}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A1F83E1-FCFC-4D7B-B870-DCDBA5A8A99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C1ED45A-1DA1-4E8B-AA24-7C1FB91DBE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6D24642A"/>
    <w:rsid w:val="6D2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0"/>
      <w:sz w:val="32"/>
      <w:szCs w:val="32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line="580" w:lineRule="exact"/>
    </w:pPr>
    <w:rPr>
      <w:rFonts w:hint="eastAsia" w:ascii="..ì." w:hAnsi="..ì." w:eastAsia="..ì." w:cs="黑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2024-11-21T08:00:00Z</dcterms:created>
  <dc:creator>旧时光·不见旧人</dc:creator>
  <cp:lastModifiedBy>旧时光·不见旧人</cp:lastModifiedBy>
  <dcterms:modified xsi:type="dcterms:W3CDTF">2024-11-21T08:01:09Z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D768480FEB4B4F7AB77592ACA1EFB465_11</vt:lpwstr>
  </property>
</Properties>
</file>