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79" w:lineRule="exact"/>
        <w:textAlignment w:val="auto"/>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微软雅黑" w:hAnsi="微软雅黑" w:eastAsia="微软雅黑" w:cs="微软雅黑"/>
          <w:color w:val="auto"/>
          <w:sz w:val="36"/>
          <w:szCs w:val="36"/>
          <w:lang w:eastAsia="zh-CN"/>
        </w:rPr>
      </w:pPr>
      <w:r>
        <w:rPr>
          <w:rFonts w:hint="eastAsia" w:ascii="微软雅黑" w:hAnsi="微软雅黑" w:eastAsia="微软雅黑" w:cs="微软雅黑"/>
          <w:color w:val="auto"/>
          <w:sz w:val="36"/>
          <w:szCs w:val="36"/>
          <w:lang w:val="en-US" w:eastAsia="zh-CN"/>
        </w:rPr>
        <w:t>邵阳市</w:t>
      </w:r>
      <w:r>
        <w:rPr>
          <w:rFonts w:hint="eastAsia" w:ascii="微软雅黑" w:hAnsi="微软雅黑" w:eastAsia="微软雅黑" w:cs="微软雅黑"/>
          <w:color w:val="auto"/>
          <w:sz w:val="36"/>
          <w:szCs w:val="36"/>
          <w:u w:val="single"/>
          <w:lang w:val="en-US" w:eastAsia="zh-CN"/>
        </w:rPr>
        <w:t xml:space="preserve">      </w:t>
      </w:r>
      <w:r>
        <w:rPr>
          <w:rFonts w:hint="eastAsia" w:ascii="微软雅黑" w:hAnsi="微软雅黑" w:eastAsia="微软雅黑" w:cs="微软雅黑"/>
          <w:color w:val="auto"/>
          <w:sz w:val="36"/>
          <w:szCs w:val="36"/>
          <w:lang w:val="en-US" w:eastAsia="zh-CN"/>
        </w:rPr>
        <w:t>（县市区）</w:t>
      </w:r>
      <w:r>
        <w:rPr>
          <w:rFonts w:hint="eastAsia" w:ascii="微软雅黑" w:hAnsi="微软雅黑" w:eastAsia="微软雅黑" w:cs="微软雅黑"/>
          <w:color w:val="auto"/>
          <w:sz w:val="36"/>
          <w:szCs w:val="36"/>
          <w:lang w:eastAsia="zh-CN"/>
        </w:rPr>
        <w:t>经济困难失能老年人集中照护</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微软雅黑" w:hAnsi="微软雅黑" w:eastAsia="微软雅黑" w:cs="微软雅黑"/>
          <w:color w:val="auto"/>
          <w:sz w:val="36"/>
          <w:szCs w:val="36"/>
          <w:vertAlign w:val="baseline"/>
          <w:lang w:eastAsia="zh-CN"/>
        </w:rPr>
      </w:pPr>
      <w:r>
        <w:rPr>
          <w:rFonts w:hint="eastAsia" w:ascii="微软雅黑" w:hAnsi="微软雅黑" w:eastAsia="微软雅黑" w:cs="微软雅黑"/>
          <w:color w:val="auto"/>
          <w:sz w:val="36"/>
          <w:szCs w:val="36"/>
          <w:lang w:eastAsia="zh-CN"/>
        </w:rPr>
        <w:t>意愿采集表</w:t>
      </w: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1785"/>
        <w:gridCol w:w="990"/>
        <w:gridCol w:w="945"/>
        <w:gridCol w:w="510"/>
        <w:gridCol w:w="940"/>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姓</w:t>
            </w:r>
            <w:r>
              <w:rPr>
                <w:rFonts w:hint="eastAsia" w:ascii="仿宋" w:hAnsi="仿宋" w:eastAsia="仿宋" w:cs="仿宋"/>
                <w:color w:val="auto"/>
                <w:sz w:val="28"/>
                <w:szCs w:val="28"/>
                <w:vertAlign w:val="baseline"/>
                <w:lang w:val="en-US" w:eastAsia="zh-CN"/>
              </w:rPr>
              <w:t xml:space="preserve">  </w:t>
            </w:r>
            <w:r>
              <w:rPr>
                <w:rFonts w:hint="eastAsia" w:ascii="仿宋" w:hAnsi="仿宋" w:eastAsia="仿宋" w:cs="仿宋"/>
                <w:color w:val="auto"/>
                <w:sz w:val="28"/>
                <w:szCs w:val="28"/>
                <w:vertAlign w:val="baseline"/>
                <w:lang w:eastAsia="zh-CN"/>
              </w:rPr>
              <w:t>名</w:t>
            </w:r>
          </w:p>
        </w:tc>
        <w:tc>
          <w:tcPr>
            <w:tcW w:w="1785"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color w:val="auto"/>
                <w:sz w:val="28"/>
                <w:szCs w:val="28"/>
                <w:vertAlign w:val="baseline"/>
                <w:lang w:eastAsia="zh-CN"/>
              </w:rPr>
            </w:pPr>
          </w:p>
        </w:tc>
        <w:tc>
          <w:tcPr>
            <w:tcW w:w="99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性别</w:t>
            </w:r>
          </w:p>
        </w:tc>
        <w:tc>
          <w:tcPr>
            <w:tcW w:w="14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color w:val="auto"/>
                <w:sz w:val="28"/>
                <w:szCs w:val="28"/>
                <w:vertAlign w:val="baseline"/>
                <w:lang w:eastAsia="zh-CN"/>
              </w:rPr>
            </w:pPr>
          </w:p>
        </w:tc>
        <w:tc>
          <w:tcPr>
            <w:tcW w:w="940"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年龄</w:t>
            </w:r>
          </w:p>
        </w:tc>
        <w:tc>
          <w:tcPr>
            <w:tcW w:w="152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身份证号码</w:t>
            </w:r>
          </w:p>
        </w:tc>
        <w:tc>
          <w:tcPr>
            <w:tcW w:w="37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color w:val="auto"/>
                <w:sz w:val="28"/>
                <w:szCs w:val="28"/>
                <w:vertAlign w:val="baseline"/>
                <w:lang w:eastAsia="zh-CN"/>
              </w:rPr>
            </w:pPr>
          </w:p>
        </w:tc>
        <w:tc>
          <w:tcPr>
            <w:tcW w:w="14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失能等级</w:t>
            </w:r>
          </w:p>
        </w:tc>
        <w:tc>
          <w:tcPr>
            <w:tcW w:w="1524"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noWrap w:val="0"/>
            <w:vAlign w:val="top"/>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家庭住址</w:t>
            </w:r>
          </w:p>
        </w:tc>
        <w:tc>
          <w:tcPr>
            <w:tcW w:w="6694"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本人（照护人）联系电话</w:t>
            </w:r>
          </w:p>
        </w:tc>
        <w:tc>
          <w:tcPr>
            <w:tcW w:w="490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518"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为满足我市有意愿入住养老机构的经济困难失能老年人集中照护服务需求，进一步减轻经济困难失能老年人家庭照护压力，切实增强经济困难失能老年人及其家庭的获得感、幸福感，安全感。按照湖南省民政厅、湖南省财政厅关于印发《全省经济困难失能老年人集中照护服务工作实施方案》的通知，现通过前期摸底、预评估等流程，您已基本符合申请集中照护各项条件，可申请入住我市集中照护专业养老机构享受集中照护服务。现将有关事项告知如下：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 xml:space="preserve">    </w:t>
            </w:r>
            <w:r>
              <w:rPr>
                <w:rFonts w:hint="eastAsia" w:ascii="仿宋" w:hAnsi="仿宋" w:eastAsia="仿宋" w:cs="仿宋"/>
                <w:b/>
                <w:bCs/>
                <w:color w:val="auto"/>
                <w:sz w:val="28"/>
                <w:szCs w:val="28"/>
                <w:vertAlign w:val="baseline"/>
                <w:lang w:eastAsia="zh-CN"/>
              </w:rPr>
              <w:t>一、救助对象。</w:t>
            </w:r>
            <w:r>
              <w:rPr>
                <w:rFonts w:hint="eastAsia" w:ascii="仿宋" w:hAnsi="仿宋" w:eastAsia="仿宋" w:cs="仿宋"/>
                <w:color w:val="auto"/>
                <w:sz w:val="28"/>
                <w:szCs w:val="28"/>
                <w:vertAlign w:val="baseline"/>
                <w:lang w:eastAsia="zh-CN"/>
              </w:rPr>
              <w:t>本市年满60周岁并已纳入最低生活保障范围，且经《老年人能力评估规范》（GB/T42195-2022）评估为能力完全失能等级，自愿入住养老机构的老年人。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 xml:space="preserve">    </w:t>
            </w:r>
            <w:r>
              <w:rPr>
                <w:rFonts w:hint="eastAsia" w:ascii="仿宋" w:hAnsi="仿宋" w:eastAsia="仿宋" w:cs="仿宋"/>
                <w:b/>
                <w:bCs/>
                <w:color w:val="auto"/>
                <w:sz w:val="28"/>
                <w:szCs w:val="28"/>
                <w:vertAlign w:val="baseline"/>
                <w:lang w:eastAsia="zh-CN"/>
              </w:rPr>
              <w:t>二、补贴标准。</w:t>
            </w:r>
            <w:r>
              <w:rPr>
                <w:rFonts w:hint="eastAsia" w:ascii="仿宋" w:hAnsi="仿宋" w:eastAsia="仿宋" w:cs="仿宋"/>
                <w:color w:val="auto"/>
                <w:sz w:val="28"/>
                <w:szCs w:val="28"/>
                <w:vertAlign w:val="baseline"/>
                <w:lang w:eastAsia="zh-CN"/>
              </w:rPr>
              <w:t>集中照护救助金的标准是按照入住养老机构的实际收费标准，减去老年人已经获得的最低生活保障金、残疾人“两项补贴”等行政给付后的差额确定。其中，收住经济困难失能老年人的养老机构，最高收费标准原则上不得高于本县集中供养特困人员基本生活标准及护理照料标准总和。已购买长期护理保险参保人员并已经通过基金支付基本护理服务费用的，暂不纳入救助范围。</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28"/>
                <w:szCs w:val="28"/>
                <w:vertAlign w:val="baseline"/>
                <w:lang w:eastAsia="zh-CN"/>
              </w:rPr>
              <w:t xml:space="preserve">    </w:t>
            </w:r>
            <w:r>
              <w:rPr>
                <w:rFonts w:hint="eastAsia" w:ascii="仿宋" w:hAnsi="仿宋" w:eastAsia="仿宋" w:cs="仿宋"/>
                <w:b/>
                <w:bCs/>
                <w:color w:val="auto"/>
                <w:sz w:val="28"/>
                <w:szCs w:val="28"/>
                <w:vertAlign w:val="baseline"/>
                <w:lang w:eastAsia="zh-CN"/>
              </w:rPr>
              <w:t>三、工作流程。</w:t>
            </w:r>
            <w:r>
              <w:rPr>
                <w:rFonts w:hint="eastAsia" w:ascii="仿宋" w:hAnsi="仿宋" w:eastAsia="仿宋" w:cs="仿宋"/>
                <w:color w:val="auto"/>
                <w:sz w:val="28"/>
                <w:szCs w:val="28"/>
                <w:vertAlign w:val="baseline"/>
                <w:lang w:eastAsia="zh-CN"/>
              </w:rPr>
              <w:t xml:space="preserve">经济困难失能老人集中照护工作，按照“预评估、先入住、后补贴”的方式开展。在申请救助时，老年人或其代理人可以在入住养老机构满30天后，持养老服务协议和有效缴费凭证向养老机构所在地民政局提出申请；救助金从申请对象入住养老机构的当月开始计算。救助对象根据经济、身体状况变化坚持动态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8518"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 w:hAnsi="仿宋" w:eastAsia="仿宋" w:cs="仿宋"/>
                <w:color w:val="auto"/>
                <w:sz w:val="32"/>
                <w:szCs w:val="32"/>
                <w:vertAlign w:val="baseline"/>
                <w:lang w:eastAsia="zh-CN"/>
              </w:rPr>
            </w:pPr>
            <w:r>
              <w:rPr>
                <w:rFonts w:hint="eastAsia" w:ascii="仿宋" w:hAnsi="仿宋" w:eastAsia="仿宋" w:cs="仿宋"/>
                <w:b/>
                <w:bCs/>
                <w:color w:val="auto"/>
                <w:sz w:val="32"/>
                <w:szCs w:val="32"/>
                <w:vertAlign w:val="baseline"/>
                <w:lang w:eastAsia="zh-CN"/>
              </w:rPr>
              <w:t>本人已认真阅读以上全部内容，知晓并同意以上条件，现</w:t>
            </w:r>
            <w:r>
              <w:rPr>
                <w:rFonts w:hint="eastAsia" w:ascii="仿宋" w:hAnsi="仿宋" w:eastAsia="仿宋" w:cs="仿宋"/>
                <w:b/>
                <w:bCs/>
                <w:color w:val="auto"/>
                <w:sz w:val="32"/>
                <w:szCs w:val="32"/>
                <w:u w:val="single"/>
                <w:vertAlign w:val="baseline"/>
                <w:lang w:val="en-US" w:eastAsia="zh-CN"/>
              </w:rPr>
              <w:t xml:space="preserve">       </w:t>
            </w:r>
            <w:r>
              <w:rPr>
                <w:rFonts w:hint="eastAsia" w:ascii="仿宋" w:hAnsi="仿宋" w:eastAsia="仿宋" w:cs="仿宋"/>
                <w:b/>
                <w:bCs/>
                <w:color w:val="auto"/>
                <w:sz w:val="32"/>
                <w:szCs w:val="32"/>
                <w:u w:val="none"/>
                <w:vertAlign w:val="baseline"/>
                <w:lang w:val="en-US" w:eastAsia="zh-CN"/>
              </w:rPr>
              <w:t>（有/无）</w:t>
            </w:r>
            <w:r>
              <w:rPr>
                <w:rFonts w:hint="eastAsia" w:ascii="仿宋" w:hAnsi="仿宋" w:eastAsia="仿宋" w:cs="仿宋"/>
                <w:b/>
                <w:bCs/>
                <w:color w:val="auto"/>
                <w:sz w:val="32"/>
                <w:szCs w:val="32"/>
                <w:vertAlign w:val="baseline"/>
                <w:lang w:eastAsia="zh-CN"/>
              </w:rPr>
              <w:t>意愿申请入住集中照护养老机构。</w:t>
            </w: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 w:hAnsi="仿宋" w:eastAsia="仿宋" w:cs="仿宋"/>
                <w:color w:val="auto"/>
                <w:sz w:val="32"/>
                <w:szCs w:val="32"/>
                <w:u w:val="single"/>
                <w:vertAlign w:val="baseline"/>
                <w:lang w:val="en-US" w:eastAsia="zh-CN"/>
              </w:rPr>
            </w:pPr>
            <w:r>
              <w:rPr>
                <w:rFonts w:hint="eastAsia" w:ascii="仿宋" w:hAnsi="仿宋" w:eastAsia="仿宋" w:cs="仿宋"/>
                <w:color w:val="auto"/>
                <w:sz w:val="32"/>
                <w:szCs w:val="32"/>
                <w:vertAlign w:val="baseline"/>
                <w:lang w:eastAsia="zh-CN"/>
              </w:rPr>
              <w:t>申请人或照护人：</w:t>
            </w:r>
            <w:r>
              <w:rPr>
                <w:rFonts w:hint="eastAsia" w:ascii="仿宋" w:hAnsi="仿宋" w:eastAsia="仿宋" w:cs="仿宋"/>
                <w:color w:val="auto"/>
                <w:sz w:val="32"/>
                <w:szCs w:val="32"/>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 w:hAnsi="仿宋" w:eastAsia="仿宋" w:cs="仿宋"/>
                <w:color w:val="auto"/>
                <w:sz w:val="32"/>
                <w:szCs w:val="32"/>
                <w:vertAlign w:val="baseline"/>
                <w:lang w:eastAsia="zh-CN"/>
              </w:rPr>
              <w:t xml:space="preserve">     </w:t>
            </w:r>
            <w:r>
              <w:rPr>
                <w:rFonts w:hint="eastAsia" w:ascii="仿宋" w:hAnsi="仿宋" w:eastAsia="仿宋" w:cs="仿宋"/>
                <w:color w:val="auto"/>
                <w:sz w:val="32"/>
                <w:szCs w:val="32"/>
                <w:vertAlign w:val="baseline"/>
                <w:lang w:val="en-US" w:eastAsia="zh-CN"/>
              </w:rPr>
              <w:t xml:space="preserve">                       </w:t>
            </w:r>
            <w:r>
              <w:rPr>
                <w:rFonts w:hint="eastAsia" w:ascii="仿宋" w:hAnsi="仿宋" w:eastAsia="仿宋" w:cs="仿宋"/>
                <w:color w:val="auto"/>
                <w:sz w:val="32"/>
                <w:szCs w:val="32"/>
                <w:vertAlign w:val="baseline"/>
                <w:lang w:eastAsia="zh-CN"/>
              </w:rPr>
              <w:t>时间：</w:t>
            </w:r>
            <w:r>
              <w:rPr>
                <w:rFonts w:hint="eastAsia" w:ascii="仿宋" w:hAnsi="仿宋" w:eastAsia="仿宋" w:cs="仿宋"/>
                <w:color w:val="auto"/>
                <w:sz w:val="32"/>
                <w:szCs w:val="32"/>
                <w:u w:val="single"/>
                <w:vertAlign w:val="baseline"/>
                <w:lang w:eastAsia="zh-CN"/>
              </w:rPr>
              <w:t xml:space="preserve">    </w:t>
            </w:r>
            <w:r>
              <w:rPr>
                <w:rFonts w:hint="eastAsia" w:ascii="仿宋" w:hAnsi="仿宋" w:eastAsia="仿宋" w:cs="仿宋"/>
                <w:color w:val="auto"/>
                <w:sz w:val="32"/>
                <w:szCs w:val="32"/>
                <w:vertAlign w:val="baseline"/>
                <w:lang w:eastAsia="zh-CN"/>
              </w:rPr>
              <w:t>年</w:t>
            </w:r>
            <w:r>
              <w:rPr>
                <w:rFonts w:hint="eastAsia" w:ascii="仿宋" w:hAnsi="仿宋" w:eastAsia="仿宋" w:cs="仿宋"/>
                <w:color w:val="auto"/>
                <w:sz w:val="32"/>
                <w:szCs w:val="32"/>
                <w:u w:val="single"/>
                <w:vertAlign w:val="baseline"/>
                <w:lang w:eastAsia="zh-CN"/>
              </w:rPr>
              <w:t xml:space="preserve">    </w:t>
            </w:r>
            <w:r>
              <w:rPr>
                <w:rFonts w:hint="eastAsia" w:ascii="仿宋" w:hAnsi="仿宋" w:eastAsia="仿宋" w:cs="仿宋"/>
                <w:color w:val="auto"/>
                <w:sz w:val="32"/>
                <w:szCs w:val="32"/>
                <w:vertAlign w:val="baseline"/>
                <w:lang w:eastAsia="zh-CN"/>
              </w:rPr>
              <w:t>月</w:t>
            </w:r>
            <w:r>
              <w:rPr>
                <w:rFonts w:hint="eastAsia" w:ascii="仿宋" w:hAnsi="仿宋" w:eastAsia="仿宋" w:cs="仿宋"/>
                <w:color w:val="auto"/>
                <w:sz w:val="32"/>
                <w:szCs w:val="32"/>
                <w:u w:val="single"/>
                <w:vertAlign w:val="baseline"/>
                <w:lang w:eastAsia="zh-CN"/>
              </w:rPr>
              <w:t xml:space="preserve"> </w:t>
            </w:r>
            <w:r>
              <w:rPr>
                <w:rFonts w:hint="eastAsia" w:ascii="仿宋" w:hAnsi="仿宋" w:eastAsia="仿宋" w:cs="仿宋"/>
                <w:color w:val="auto"/>
                <w:sz w:val="32"/>
                <w:szCs w:val="32"/>
                <w:u w:val="single"/>
                <w:vertAlign w:val="baseline"/>
                <w:lang w:val="en-US" w:eastAsia="zh-CN"/>
              </w:rPr>
              <w:t xml:space="preserve"> </w:t>
            </w:r>
            <w:r>
              <w:rPr>
                <w:rFonts w:hint="eastAsia" w:ascii="仿宋" w:hAnsi="仿宋" w:eastAsia="仿宋" w:cs="仿宋"/>
                <w:color w:val="auto"/>
                <w:sz w:val="32"/>
                <w:szCs w:val="32"/>
                <w:u w:val="single"/>
                <w:vertAlign w:val="baseline"/>
                <w:lang w:eastAsia="zh-CN"/>
              </w:rPr>
              <w:t xml:space="preserve">  </w:t>
            </w:r>
            <w:r>
              <w:rPr>
                <w:rFonts w:hint="eastAsia" w:ascii="仿宋" w:hAnsi="仿宋" w:eastAsia="仿宋" w:cs="仿宋"/>
                <w:color w:val="auto"/>
                <w:sz w:val="32"/>
                <w:szCs w:val="32"/>
                <w:vertAlign w:val="baseline"/>
                <w:lang w:eastAsia="zh-CN"/>
              </w:rPr>
              <w:t>日</w:t>
            </w:r>
          </w:p>
        </w:tc>
      </w:tr>
    </w:tbl>
    <w:p>
      <w:pPr>
        <w:keepNext w:val="0"/>
        <w:keepLines w:val="0"/>
        <w:pageBreakBefore w:val="0"/>
        <w:kinsoku/>
        <w:wordWrap/>
        <w:topLinePunct w:val="0"/>
        <w:bidi w:val="0"/>
        <w:spacing w:line="579" w:lineRule="exact"/>
        <w:rPr>
          <w:rFonts w:hint="default" w:ascii="仿宋_GB2312" w:hAnsi="Times New Roman" w:eastAsia="仿宋_GB2312"/>
          <w:color w:val="auto"/>
          <w:sz w:val="32"/>
          <w:szCs w:val="32"/>
          <w:lang w:val="en-US" w:eastAsia="zh-CN"/>
        </w:rPr>
        <w:sectPr>
          <w:pgSz w:w="11906" w:h="16838"/>
          <w:pgMar w:top="1784"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036A64FE"/>
    <w:rsid w:val="036A6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2024-09-04T06:29:00Z</dcterms:created>
  <dc:creator>旧时光·不见旧人</dc:creator>
  <cp:lastModifiedBy>旧时光·不见旧人</cp:lastModifiedBy>
  <dcterms:modified xsi:type="dcterms:W3CDTF">2024-09-04T06:30:11Z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D9FC2E4E3A9B4A3F8EEE74D5DD3F488B_11</vt:lpwstr>
  </property>
</Properties>
</file>