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SYCR-202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14001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邵建发〔202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u w:val="none"/>
        </w:rPr>
      </w:pPr>
    </w:p>
    <w:p>
      <w:pPr>
        <w:spacing w:line="60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关于印发《邵阳市</w:t>
      </w:r>
      <w:r>
        <w:rPr>
          <w:rFonts w:hint="default" w:ascii="方正小标宋简体" w:hAnsi="方正小标宋简体" w:eastAsia="方正小标宋简体" w:cs="方正小标宋简体"/>
          <w:sz w:val="44"/>
          <w:szCs w:val="44"/>
          <w:u w:val="none"/>
          <w:lang w:val="en" w:eastAsia="zh-CN"/>
        </w:rPr>
        <w:t>建筑施工企业</w:t>
      </w:r>
      <w:r>
        <w:rPr>
          <w:rFonts w:hint="eastAsia" w:ascii="方正小标宋简体" w:hAnsi="方正小标宋简体" w:eastAsia="方正小标宋简体" w:cs="方正小标宋简体"/>
          <w:sz w:val="44"/>
          <w:szCs w:val="44"/>
          <w:u w:val="none"/>
        </w:rPr>
        <w:t>信用评价</w:t>
      </w:r>
    </w:p>
    <w:p>
      <w:pPr>
        <w:spacing w:line="600" w:lineRule="exact"/>
        <w:jc w:val="center"/>
        <w:rPr>
          <w:rFonts w:ascii="方正小标宋简体" w:hAnsi="方正小标宋简体" w:eastAsia="方正小标宋简体" w:cs="方正小标宋简体"/>
          <w:sz w:val="44"/>
          <w:szCs w:val="44"/>
          <w:u w:val="none"/>
        </w:rPr>
      </w:pPr>
      <w:bookmarkStart w:id="0" w:name="_GoBack"/>
      <w:r>
        <w:rPr>
          <w:rFonts w:hint="eastAsia" w:ascii="方正小标宋简体" w:hAnsi="方正小标宋简体" w:eastAsia="方正小标宋简体" w:cs="方正小标宋简体"/>
          <w:sz w:val="44"/>
          <w:szCs w:val="44"/>
          <w:u w:val="none"/>
        </w:rPr>
        <w:t>管理办法》的通知</w:t>
      </w:r>
    </w:p>
    <w:bookmarkEnd w:id="0"/>
    <w:p>
      <w:pPr>
        <w:spacing w:before="312" w:beforeLines="100" w:line="600" w:lineRule="exact"/>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各县市住房和城乡建设局，各</w:t>
      </w:r>
      <w:r>
        <w:rPr>
          <w:rFonts w:hint="default" w:ascii="仿宋_GB2312" w:hAnsi="仿宋_GB2312" w:eastAsia="仿宋_GB2312" w:cs="仿宋_GB2312"/>
          <w:sz w:val="32"/>
          <w:szCs w:val="32"/>
          <w:u w:val="none"/>
          <w:lang w:val="en" w:eastAsia="zh-CN"/>
        </w:rPr>
        <w:t>建筑施工企业</w:t>
      </w:r>
      <w:r>
        <w:rPr>
          <w:rFonts w:hint="eastAsia" w:ascii="仿宋_GB2312" w:hAnsi="仿宋_GB2312" w:eastAsia="仿宋_GB2312" w:cs="仿宋_GB2312"/>
          <w:sz w:val="32"/>
          <w:szCs w:val="32"/>
          <w:u w:val="none"/>
        </w:rPr>
        <w:t>：</w:t>
      </w:r>
    </w:p>
    <w:p>
      <w:pPr>
        <w:spacing w:line="60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为推进</w:t>
      </w:r>
      <w:r>
        <w:rPr>
          <w:rFonts w:hint="eastAsia" w:ascii="仿宋_GB2312" w:hAnsi="仿宋_GB2312" w:eastAsia="仿宋_GB2312" w:cs="仿宋_GB2312"/>
          <w:sz w:val="32"/>
          <w:szCs w:val="32"/>
          <w:u w:val="none"/>
          <w:lang w:eastAsia="zh-CN"/>
        </w:rPr>
        <w:t>住建</w:t>
      </w:r>
      <w:r>
        <w:rPr>
          <w:rFonts w:hint="eastAsia" w:ascii="仿宋_GB2312" w:hAnsi="仿宋_GB2312" w:eastAsia="仿宋_GB2312" w:cs="仿宋_GB2312"/>
          <w:sz w:val="32"/>
          <w:szCs w:val="32"/>
          <w:u w:val="none"/>
        </w:rPr>
        <w:t>行业</w:t>
      </w:r>
      <w:r>
        <w:rPr>
          <w:rFonts w:hint="eastAsia" w:ascii="仿宋_GB2312" w:hAnsi="仿宋_GB2312" w:eastAsia="仿宋_GB2312" w:cs="仿宋_GB2312"/>
          <w:sz w:val="32"/>
          <w:szCs w:val="32"/>
          <w:u w:val="none"/>
          <w:lang w:eastAsia="zh-CN"/>
        </w:rPr>
        <w:t>社会</w:t>
      </w:r>
      <w:r>
        <w:rPr>
          <w:rFonts w:hint="eastAsia" w:ascii="仿宋_GB2312" w:hAnsi="仿宋_GB2312" w:eastAsia="仿宋_GB2312" w:cs="仿宋_GB2312"/>
          <w:sz w:val="32"/>
          <w:szCs w:val="32"/>
          <w:u w:val="none"/>
        </w:rPr>
        <w:t>信用体系建设，规范建筑市场秩序，营造公平竞争、诚信守法的市场环境，</w:t>
      </w:r>
      <w:r>
        <w:rPr>
          <w:rFonts w:hint="eastAsia" w:ascii="方正仿宋_GBK" w:hAnsi="方正仿宋_GBK" w:eastAsia="方正仿宋_GBK" w:cs="方正仿宋_GBK"/>
          <w:sz w:val="32"/>
          <w:szCs w:val="32"/>
          <w:u w:val="none"/>
        </w:rPr>
        <w:t>以信用建设促进</w:t>
      </w:r>
      <w:r>
        <w:rPr>
          <w:rFonts w:hint="eastAsia" w:ascii="方正仿宋_GBK" w:hAnsi="方正仿宋_GBK" w:eastAsia="方正仿宋_GBK" w:cs="方正仿宋_GBK"/>
          <w:sz w:val="32"/>
          <w:szCs w:val="32"/>
          <w:u w:val="none"/>
          <w:lang w:eastAsia="zh-CN"/>
        </w:rPr>
        <w:t>我</w:t>
      </w:r>
      <w:r>
        <w:rPr>
          <w:rFonts w:hint="eastAsia" w:ascii="方正仿宋_GBK" w:hAnsi="方正仿宋_GBK" w:eastAsia="方正仿宋_GBK" w:cs="方正仿宋_GBK"/>
          <w:sz w:val="32"/>
          <w:szCs w:val="32"/>
          <w:u w:val="none"/>
        </w:rPr>
        <w:t>市</w:t>
      </w:r>
      <w:r>
        <w:rPr>
          <w:rFonts w:hint="eastAsia" w:ascii="方正仿宋_GBK" w:hAnsi="方正仿宋_GBK" w:eastAsia="方正仿宋_GBK" w:cs="方正仿宋_GBK"/>
          <w:sz w:val="32"/>
          <w:szCs w:val="32"/>
          <w:u w:val="none"/>
          <w:lang w:eastAsia="zh-CN"/>
        </w:rPr>
        <w:t>建筑业</w:t>
      </w:r>
      <w:r>
        <w:rPr>
          <w:rFonts w:hint="eastAsia" w:ascii="方正仿宋_GBK" w:hAnsi="方正仿宋_GBK" w:eastAsia="方正仿宋_GBK" w:cs="方正仿宋_GBK"/>
          <w:sz w:val="32"/>
          <w:szCs w:val="32"/>
          <w:u w:val="none"/>
        </w:rPr>
        <w:t>高质量发展，</w:t>
      </w:r>
      <w:r>
        <w:rPr>
          <w:rFonts w:hint="eastAsia" w:ascii="仿宋_GB2312" w:hAnsi="仿宋_GB2312" w:eastAsia="仿宋_GB2312" w:cs="仿宋_GB2312"/>
          <w:sz w:val="32"/>
          <w:szCs w:val="32"/>
          <w:u w:val="none"/>
        </w:rPr>
        <w:t>根据《</w:t>
      </w:r>
      <w:r>
        <w:rPr>
          <w:rFonts w:hint="eastAsia" w:ascii="仿宋_GB2312" w:hAnsi="仿宋_GB2312" w:eastAsia="仿宋_GB2312" w:cs="仿宋_GB2312"/>
          <w:sz w:val="32"/>
          <w:szCs w:val="32"/>
          <w:u w:val="none"/>
          <w:lang w:eastAsia="zh-CN"/>
        </w:rPr>
        <w:t>国务院办公厅关于加快推进社会信用体系建设构建以信用为基础的新型监管机制的指导意见</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、《湖南省社会信用条例》</w:t>
      </w:r>
      <w:r>
        <w:rPr>
          <w:rFonts w:hint="eastAsia" w:ascii="仿宋_GB2312" w:hAnsi="仿宋_GB2312" w:eastAsia="仿宋_GB2312" w:cs="仿宋_GB2312"/>
          <w:sz w:val="32"/>
          <w:szCs w:val="32"/>
          <w:u w:val="none"/>
        </w:rPr>
        <w:t>等精神，我局制定了《邵阳市</w:t>
      </w:r>
      <w:r>
        <w:rPr>
          <w:rFonts w:hint="default" w:ascii="仿宋_GB2312" w:hAnsi="仿宋_GB2312" w:eastAsia="仿宋_GB2312" w:cs="仿宋_GB2312"/>
          <w:sz w:val="32"/>
          <w:szCs w:val="32"/>
          <w:u w:val="none"/>
          <w:lang w:val="en"/>
        </w:rPr>
        <w:t>建筑施工企业</w:t>
      </w:r>
      <w:r>
        <w:rPr>
          <w:rFonts w:hint="eastAsia" w:ascii="仿宋_GB2312" w:hAnsi="仿宋_GB2312" w:eastAsia="仿宋_GB2312" w:cs="仿宋_GB2312"/>
          <w:sz w:val="32"/>
          <w:szCs w:val="32"/>
          <w:u w:val="none"/>
        </w:rPr>
        <w:t>信用评价管理办法》，现予印发，请遵照执行。</w:t>
      </w:r>
    </w:p>
    <w:p>
      <w:pPr>
        <w:spacing w:line="600" w:lineRule="exact"/>
        <w:rPr>
          <w:rFonts w:ascii="仿宋_GB2312" w:hAnsi="仿宋_GB2312" w:eastAsia="仿宋_GB2312" w:cs="仿宋_GB2312"/>
          <w:sz w:val="32"/>
          <w:szCs w:val="32"/>
          <w:u w:val="none"/>
        </w:rPr>
      </w:pPr>
    </w:p>
    <w:p>
      <w:pPr>
        <w:spacing w:line="600" w:lineRule="exact"/>
        <w:rPr>
          <w:rFonts w:ascii="仿宋_GB2312" w:hAnsi="仿宋_GB2312" w:eastAsia="仿宋_GB2312" w:cs="仿宋_GB2312"/>
          <w:sz w:val="32"/>
          <w:szCs w:val="32"/>
          <w:u w:val="none"/>
        </w:rPr>
      </w:pPr>
    </w:p>
    <w:p>
      <w:pPr>
        <w:spacing w:line="600" w:lineRule="exact"/>
        <w:ind w:right="420" w:rightChars="200"/>
        <w:jc w:val="right"/>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邵阳市住房和城乡建设局</w:t>
      </w:r>
    </w:p>
    <w:p>
      <w:pPr>
        <w:spacing w:line="600" w:lineRule="exact"/>
        <w:ind w:right="840" w:rightChars="400"/>
        <w:jc w:val="center"/>
        <w:rPr>
          <w:rFonts w:ascii="方正小标宋简体" w:hAnsi="方正小标宋简体" w:eastAsia="方正小标宋简体" w:cs="方正小标宋简体"/>
          <w:sz w:val="44"/>
          <w:szCs w:val="44"/>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p>
    <w:p>
      <w:pP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br w:type="page"/>
      </w:r>
    </w:p>
    <w:p>
      <w:pPr>
        <w:spacing w:line="600" w:lineRule="exact"/>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邵阳市</w:t>
      </w:r>
      <w:r>
        <w:rPr>
          <w:rFonts w:hint="default" w:ascii="方正小标宋简体" w:hAnsi="方正小标宋简体" w:eastAsia="方正小标宋简体" w:cs="方正小标宋简体"/>
          <w:b w:val="0"/>
          <w:bCs w:val="0"/>
          <w:color w:val="auto"/>
          <w:sz w:val="44"/>
          <w:szCs w:val="44"/>
          <w:u w:val="none"/>
          <w:lang w:val="en" w:eastAsia="zh-CN"/>
        </w:rPr>
        <w:t>建筑施工企业</w:t>
      </w:r>
      <w:r>
        <w:rPr>
          <w:rFonts w:hint="eastAsia" w:ascii="方正小标宋简体" w:hAnsi="方正小标宋简体" w:eastAsia="方正小标宋简体" w:cs="方正小标宋简体"/>
          <w:b w:val="0"/>
          <w:bCs w:val="0"/>
          <w:color w:val="auto"/>
          <w:sz w:val="44"/>
          <w:szCs w:val="44"/>
          <w:u w:val="none"/>
        </w:rPr>
        <w:t>信用评价管理办法</w:t>
      </w:r>
    </w:p>
    <w:p>
      <w:pPr>
        <w:spacing w:line="600" w:lineRule="exact"/>
        <w:ind w:firstLine="640" w:firstLineChars="200"/>
        <w:rPr>
          <w:rFonts w:hint="eastAsia" w:ascii="仿宋_GB2312" w:hAnsi="仿宋_GB2312" w:eastAsia="仿宋_GB2312" w:cs="仿宋_GB2312"/>
          <w:b w:val="0"/>
          <w:bCs w:val="0"/>
          <w:color w:val="auto"/>
          <w:sz w:val="32"/>
          <w:szCs w:val="32"/>
          <w:u w:val="none"/>
        </w:rPr>
      </w:pP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第一条 为规范全市</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行为，建立和完善</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诚信档案，营造诚实守信的市场环境，根据《</w:t>
      </w:r>
      <w:r>
        <w:rPr>
          <w:rFonts w:hint="eastAsia" w:ascii="仿宋_GB2312" w:hAnsi="仿宋_GB2312" w:eastAsia="仿宋_GB2312" w:cs="仿宋_GB2312"/>
          <w:b w:val="0"/>
          <w:bCs w:val="0"/>
          <w:color w:val="auto"/>
          <w:sz w:val="32"/>
          <w:szCs w:val="32"/>
          <w:u w:val="none"/>
          <w:lang w:eastAsia="zh-CN"/>
        </w:rPr>
        <w:t>国务院办公厅关于加快推进社会信用体系建设构建以信用为基础的新型监管机制的指导意见</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、《湖南省社会信用条例》</w:t>
      </w:r>
      <w:r>
        <w:rPr>
          <w:rFonts w:hint="eastAsia" w:ascii="仿宋_GB2312" w:hAnsi="仿宋_GB2312" w:eastAsia="仿宋_GB2312" w:cs="仿宋_GB2312"/>
          <w:b w:val="0"/>
          <w:bCs w:val="0"/>
          <w:color w:val="auto"/>
          <w:sz w:val="32"/>
          <w:szCs w:val="32"/>
          <w:u w:val="none"/>
        </w:rPr>
        <w:t>等精神，制定本办法。</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第二条 本办法所称信用评价是指</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贯彻执行国家相关法律、法规、规章或强制性标准、行为规范、市场秩序等建设活动中诚信程度的综合评价，其信用评价结果主要用于推进</w:t>
      </w:r>
      <w:r>
        <w:rPr>
          <w:rFonts w:hint="eastAsia" w:ascii="仿宋_GB2312" w:hAnsi="仿宋_GB2312" w:eastAsia="仿宋_GB2312" w:cs="仿宋_GB2312"/>
          <w:b w:val="0"/>
          <w:bCs w:val="0"/>
          <w:color w:val="auto"/>
          <w:sz w:val="32"/>
          <w:szCs w:val="32"/>
          <w:u w:val="none"/>
          <w:lang w:eastAsia="zh-CN"/>
        </w:rPr>
        <w:t>建筑业</w:t>
      </w:r>
      <w:r>
        <w:rPr>
          <w:rFonts w:hint="eastAsia" w:ascii="仿宋_GB2312" w:hAnsi="仿宋_GB2312" w:eastAsia="仿宋_GB2312" w:cs="仿宋_GB2312"/>
          <w:b w:val="0"/>
          <w:bCs w:val="0"/>
          <w:color w:val="auto"/>
          <w:sz w:val="32"/>
          <w:szCs w:val="32"/>
          <w:u w:val="none"/>
        </w:rPr>
        <w:t>信用分级分类监管。</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第三条 信用评价对象</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凡取得建筑施工相应资格，具有独立法人资格的本市</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和在邵阳市行政区域内有固定办公场所、有配套专业技术人员和技术设备、且从事建设活动满五年以上的外地入邵企业。</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第四条 成立邵阳市</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信用评价工作领导小组（以下简称“市评价领导小组”），由局长任组长，分管副局长任副组长，其他相关班子成员为领导小组成员；领导小组下设办公室（以下简称“市评价办”），办公室设局建设监督科，牵头组织企业信用评价日常工作。由市</w:t>
      </w:r>
      <w:r>
        <w:rPr>
          <w:rFonts w:hint="default" w:ascii="仿宋_GB2312" w:hAnsi="仿宋_GB2312" w:eastAsia="仿宋_GB2312" w:cs="仿宋_GB2312"/>
          <w:b w:val="0"/>
          <w:bCs w:val="0"/>
          <w:color w:val="auto"/>
          <w:sz w:val="32"/>
          <w:szCs w:val="32"/>
          <w:u w:val="none"/>
          <w:lang w:val="en"/>
        </w:rPr>
        <w:t>住房和城乡建设局</w:t>
      </w:r>
      <w:r>
        <w:rPr>
          <w:rFonts w:hint="eastAsia" w:ascii="仿宋_GB2312" w:hAnsi="仿宋_GB2312" w:eastAsia="仿宋_GB2312" w:cs="仿宋_GB2312"/>
          <w:b w:val="0"/>
          <w:bCs w:val="0"/>
          <w:color w:val="auto"/>
          <w:sz w:val="32"/>
          <w:szCs w:val="32"/>
          <w:u w:val="none"/>
        </w:rPr>
        <w:t>相关科室及局属相关单位和相关行业协会人员组成邵阳市</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信用评价评审小组（以下简称“市评价小组”），对企业报送和采集的信用材料进行审核、计分，并出具评价意见。</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第五条 信用评价内容</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受到各级建设行政主管部门和相关部门的奖励和表彰、批评和惩处、通报和约谈等</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企业在综合实力、市场行为、社会义务履行、工程质量安全管理、日常管理、工程创优获奖、资信信誉等各方面的良好</w:t>
      </w:r>
      <w:r>
        <w:rPr>
          <w:rFonts w:hint="eastAsia" w:ascii="仿宋_GB2312" w:hAnsi="仿宋_GB2312" w:eastAsia="仿宋_GB2312" w:cs="仿宋_GB2312"/>
          <w:b w:val="0"/>
          <w:bCs w:val="0"/>
          <w:color w:val="auto"/>
          <w:sz w:val="32"/>
          <w:szCs w:val="32"/>
          <w:u w:val="none"/>
          <w:lang w:eastAsia="zh-CN"/>
        </w:rPr>
        <w:t>信用</w:t>
      </w:r>
      <w:r>
        <w:rPr>
          <w:rFonts w:hint="eastAsia" w:ascii="仿宋_GB2312" w:hAnsi="仿宋_GB2312" w:eastAsia="仿宋_GB2312" w:cs="仿宋_GB2312"/>
          <w:b w:val="0"/>
          <w:bCs w:val="0"/>
          <w:color w:val="auto"/>
          <w:sz w:val="32"/>
          <w:szCs w:val="32"/>
          <w:u w:val="none"/>
        </w:rPr>
        <w:t>信息和不良</w:t>
      </w:r>
      <w:r>
        <w:rPr>
          <w:rFonts w:hint="eastAsia" w:ascii="仿宋_GB2312" w:hAnsi="仿宋_GB2312" w:eastAsia="仿宋_GB2312" w:cs="仿宋_GB2312"/>
          <w:b w:val="0"/>
          <w:bCs w:val="0"/>
          <w:color w:val="auto"/>
          <w:sz w:val="32"/>
          <w:szCs w:val="32"/>
          <w:u w:val="none"/>
          <w:lang w:eastAsia="zh-CN"/>
        </w:rPr>
        <w:t>信用</w:t>
      </w:r>
      <w:r>
        <w:rPr>
          <w:rFonts w:hint="eastAsia" w:ascii="仿宋_GB2312" w:hAnsi="仿宋_GB2312" w:eastAsia="仿宋_GB2312" w:cs="仿宋_GB2312"/>
          <w:b w:val="0"/>
          <w:bCs w:val="0"/>
          <w:color w:val="auto"/>
          <w:sz w:val="32"/>
          <w:szCs w:val="32"/>
          <w:u w:val="none"/>
        </w:rPr>
        <w:t>信息。</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第六条 信用评价信息</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信用评价信息由</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基本信息、良好信用信息、不良信用信息以及其它与评价有关的信息构成，相关建设企业应主动、全面、真实提供本企业的信用评价信息。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1</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企业基本信息</w:t>
      </w:r>
      <w:r>
        <w:rPr>
          <w:rFonts w:hint="eastAsia" w:ascii="仿宋_GB2312" w:hAnsi="仿宋_GB2312" w:eastAsia="仿宋_GB2312" w:cs="仿宋_GB2312"/>
          <w:b w:val="0"/>
          <w:bCs w:val="0"/>
          <w:color w:val="auto"/>
          <w:sz w:val="32"/>
          <w:szCs w:val="32"/>
          <w:u w:val="none"/>
          <w:lang w:eastAsia="zh-CN"/>
        </w:rPr>
        <w:t>包括：</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企业登记注册</w:t>
      </w:r>
      <w:r>
        <w:rPr>
          <w:rFonts w:hint="eastAsia" w:ascii="仿宋_GB2312" w:hAnsi="仿宋_GB2312" w:eastAsia="仿宋_GB2312" w:cs="仿宋_GB2312"/>
          <w:b w:val="0"/>
          <w:bCs w:val="0"/>
          <w:color w:val="auto"/>
          <w:sz w:val="32"/>
          <w:szCs w:val="32"/>
          <w:u w:val="none"/>
          <w:lang w:eastAsia="zh-CN"/>
        </w:rPr>
        <w:t>类</w:t>
      </w:r>
      <w:r>
        <w:rPr>
          <w:rFonts w:hint="eastAsia" w:ascii="仿宋_GB2312" w:hAnsi="仿宋_GB2312" w:eastAsia="仿宋_GB2312" w:cs="仿宋_GB2312"/>
          <w:b w:val="0"/>
          <w:bCs w:val="0"/>
          <w:color w:val="auto"/>
          <w:sz w:val="32"/>
          <w:szCs w:val="32"/>
          <w:u w:val="none"/>
        </w:rPr>
        <w:t>信息；</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企业资质</w:t>
      </w:r>
      <w:r>
        <w:rPr>
          <w:rFonts w:hint="eastAsia" w:ascii="仿宋_GB2312" w:hAnsi="仿宋_GB2312" w:eastAsia="仿宋_GB2312" w:cs="仿宋_GB2312"/>
          <w:b w:val="0"/>
          <w:bCs w:val="0"/>
          <w:color w:val="auto"/>
          <w:sz w:val="32"/>
          <w:szCs w:val="32"/>
          <w:u w:val="none"/>
          <w:lang w:eastAsia="zh-CN"/>
        </w:rPr>
        <w:t>和安全生产许可</w:t>
      </w:r>
      <w:r>
        <w:rPr>
          <w:rFonts w:hint="eastAsia" w:ascii="仿宋_GB2312" w:hAnsi="仿宋_GB2312" w:eastAsia="仿宋_GB2312" w:cs="仿宋_GB2312"/>
          <w:b w:val="0"/>
          <w:bCs w:val="0"/>
          <w:color w:val="auto"/>
          <w:sz w:val="32"/>
          <w:szCs w:val="32"/>
          <w:u w:val="none"/>
        </w:rPr>
        <w:t>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eastAsia="zh-CN"/>
        </w:rPr>
        <w:t>）企业法定代表人、技术负责人、财务负责人、经营负责人及主要从业人员信息；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）工程项目信息；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企业的专业统计报表数据信息</w:t>
      </w:r>
      <w:r>
        <w:rPr>
          <w:rFonts w:hint="eastAsia" w:ascii="仿宋_GB2312" w:hAnsi="仿宋_GB2312" w:eastAsia="仿宋_GB2312" w:cs="仿宋_GB2312"/>
          <w:b w:val="0"/>
          <w:bCs w:val="0"/>
          <w:color w:val="auto"/>
          <w:sz w:val="32"/>
          <w:szCs w:val="32"/>
          <w:u w:val="none"/>
          <w:lang w:eastAsia="zh-CN"/>
        </w:rPr>
        <w:t>等其他各级住房和城乡建设部门依法登记、备案或收集的其他信息。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良好信用信息</w:t>
      </w:r>
      <w:r>
        <w:rPr>
          <w:rFonts w:hint="eastAsia" w:ascii="仿宋_GB2312" w:hAnsi="仿宋_GB2312" w:eastAsia="仿宋_GB2312" w:cs="仿宋_GB2312"/>
          <w:b w:val="0"/>
          <w:bCs w:val="0"/>
          <w:color w:val="auto"/>
          <w:sz w:val="32"/>
          <w:szCs w:val="32"/>
          <w:u w:val="none"/>
          <w:lang w:eastAsia="zh-CN"/>
        </w:rPr>
        <w:t>包括：</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val="en" w:eastAsia="zh-CN"/>
        </w:rPr>
        <w:t>）成功在国内外资本市场挂牌上市的；</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rPr>
        <w:t>获得国家、省、市政府及部门通报表扬</w:t>
      </w:r>
      <w:r>
        <w:rPr>
          <w:rFonts w:hint="eastAsia" w:ascii="仿宋_GB2312" w:hAnsi="仿宋_GB2312" w:eastAsia="仿宋_GB2312" w:cs="仿宋_GB2312"/>
          <w:b w:val="0"/>
          <w:bCs w:val="0"/>
          <w:color w:val="auto"/>
          <w:sz w:val="32"/>
          <w:szCs w:val="32"/>
          <w:u w:val="none"/>
          <w:lang w:eastAsia="zh-CN"/>
        </w:rPr>
        <w:t>或</w:t>
      </w:r>
      <w:r>
        <w:rPr>
          <w:rFonts w:hint="eastAsia" w:ascii="仿宋_GB2312" w:hAnsi="仿宋_GB2312" w:eastAsia="仿宋_GB2312" w:cs="仿宋_GB2312"/>
          <w:b w:val="0"/>
          <w:bCs w:val="0"/>
          <w:color w:val="auto"/>
          <w:sz w:val="32"/>
          <w:szCs w:val="32"/>
          <w:u w:val="none"/>
        </w:rPr>
        <w:t>获得部、省、市建设行政主管部门</w:t>
      </w:r>
      <w:r>
        <w:rPr>
          <w:rFonts w:hint="eastAsia" w:ascii="仿宋_GB2312" w:hAnsi="仿宋_GB2312" w:eastAsia="仿宋_GB2312" w:cs="仿宋_GB2312"/>
          <w:b w:val="0"/>
          <w:bCs w:val="0"/>
          <w:color w:val="auto"/>
          <w:sz w:val="32"/>
          <w:szCs w:val="32"/>
          <w:u w:val="none"/>
          <w:lang w:eastAsia="zh-CN"/>
        </w:rPr>
        <w:t>或行业组织</w:t>
      </w:r>
      <w:r>
        <w:rPr>
          <w:rFonts w:hint="eastAsia" w:ascii="仿宋_GB2312" w:hAnsi="仿宋_GB2312" w:eastAsia="仿宋_GB2312" w:cs="仿宋_GB2312"/>
          <w:b w:val="0"/>
          <w:bCs w:val="0"/>
          <w:color w:val="auto"/>
          <w:sz w:val="32"/>
          <w:szCs w:val="32"/>
          <w:u w:val="none"/>
        </w:rPr>
        <w:t>颁发</w:t>
      </w:r>
      <w:r>
        <w:rPr>
          <w:rFonts w:hint="eastAsia" w:ascii="仿宋_GB2312" w:hAnsi="仿宋_GB2312" w:eastAsia="仿宋_GB2312" w:cs="仿宋_GB2312"/>
          <w:b w:val="0"/>
          <w:bCs w:val="0"/>
          <w:color w:val="auto"/>
          <w:sz w:val="32"/>
          <w:szCs w:val="32"/>
          <w:u w:val="none"/>
          <w:lang w:eastAsia="zh-CN"/>
        </w:rPr>
        <w:t>的奖项</w:t>
      </w:r>
      <w:r>
        <w:rPr>
          <w:rFonts w:hint="eastAsia" w:ascii="仿宋_GB2312" w:hAnsi="仿宋_GB2312" w:eastAsia="仿宋_GB2312" w:cs="仿宋_GB2312"/>
          <w:b w:val="0"/>
          <w:bCs w:val="0"/>
          <w:color w:val="auto"/>
          <w:sz w:val="32"/>
          <w:szCs w:val="32"/>
          <w:u w:val="none"/>
        </w:rPr>
        <w:t>的；</w:t>
      </w:r>
    </w:p>
    <w:p>
      <w:pPr>
        <w:spacing w:line="600" w:lineRule="exact"/>
        <w:ind w:firstLine="640" w:firstLineChars="200"/>
        <w:rPr>
          <w:rFonts w:hint="eastAsia" w:ascii="仿宋_GB2312" w:hAnsi="仿宋_GB2312" w:eastAsia="仿宋_GB2312" w:cs="仿宋_GB2312"/>
          <w:b w:val="0"/>
          <w:bCs w:val="0"/>
          <w:color w:val="auto"/>
          <w:sz w:val="32"/>
          <w:szCs w:val="32"/>
          <w:u w:val="none"/>
          <w:lang w:val="en" w:eastAsia="zh-CN"/>
        </w:rPr>
      </w:pP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val="en" w:eastAsia="zh-CN"/>
        </w:rPr>
        <w:t>）获评省级及以上的科技成果、工法研究、标准编制成果奖励的；</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）入围标准化示范工地，样板示范工程，或被纳入省部级以上试点、示范项目；</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在处理突发事件工作中，积极支持政府工作的；</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6</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其它可以记入的有关企业的良好信用信息。</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不良信用信息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在经济社会活动中不履行法律法规和生效法律文书规定义务、不履行合同约定义务的信息</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被处以刑罚或行政处罚的信息</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在接受行政管理和公共服务过程中作出虚假承诺或不履行承诺的信息</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被列入严重失信主体名单的信息</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信用等级评价结果为D级的信用主体被纳入重点监管范围，整改后仍不合格的信息</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6</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法律、法规、规章规定的其他不良信用信息。</w:t>
      </w:r>
    </w:p>
    <w:p>
      <w:pPr>
        <w:spacing w:line="600" w:lineRule="exact"/>
        <w:ind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前款规定情形，情节轻微的，如适用简易程序作出的行政处罚信息，不纳入不良信用信息。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认定不良信用信息必须以司法机关、住房和城乡建设部门作出的具有法律效力的文书为依据，包括</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生效的司法文书</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行政处罚决定文书</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其他行政行为决定文书</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法律法规规定的可作为不良信用信息认定依据的其他文书。</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其它与评价有关的信息：</w:t>
      </w:r>
      <w:r>
        <w:rPr>
          <w:rFonts w:hint="eastAsia" w:ascii="仿宋_GB2312" w:hAnsi="仿宋_GB2312" w:eastAsia="仿宋_GB2312" w:cs="仿宋_GB2312"/>
          <w:b w:val="0"/>
          <w:bCs w:val="0"/>
          <w:color w:val="auto"/>
          <w:sz w:val="32"/>
          <w:szCs w:val="32"/>
          <w:u w:val="none"/>
          <w:lang w:eastAsia="zh-CN"/>
        </w:rPr>
        <w:t>纳税信用等级、</w:t>
      </w:r>
      <w:r>
        <w:rPr>
          <w:rFonts w:hint="eastAsia" w:ascii="仿宋_GB2312" w:hAnsi="仿宋_GB2312" w:eastAsia="仿宋_GB2312" w:cs="仿宋_GB2312"/>
          <w:b w:val="0"/>
          <w:bCs w:val="0"/>
          <w:color w:val="auto"/>
          <w:sz w:val="32"/>
          <w:szCs w:val="32"/>
          <w:u w:val="none"/>
        </w:rPr>
        <w:t>银行授信、评级，资格、体系认证等。</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第七条 信用评价信息采集和记录</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市评价办负责企业的信息采集和结果运用，根据管理权限，建立健全日常监督管理和各项检查、巡查制度，建立诚信信息台账并确定1-2名专职信息采集联络员，信息采集要求真实、准确、及时。</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申请材料的报送：</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县市</w:t>
      </w:r>
      <w:r>
        <w:rPr>
          <w:rFonts w:hint="eastAsia" w:ascii="仿宋_GB2312" w:hAnsi="仿宋_GB2312" w:eastAsia="仿宋_GB2312" w:cs="仿宋_GB2312"/>
          <w:b w:val="0"/>
          <w:bCs w:val="0"/>
          <w:color w:val="auto"/>
          <w:sz w:val="32"/>
          <w:szCs w:val="32"/>
          <w:u w:val="none"/>
          <w:lang w:eastAsia="zh-CN"/>
        </w:rPr>
        <w:t>参评</w:t>
      </w:r>
      <w:r>
        <w:rPr>
          <w:rFonts w:hint="eastAsia" w:ascii="仿宋_GB2312" w:hAnsi="仿宋_GB2312" w:eastAsia="仿宋_GB2312" w:cs="仿宋_GB2312"/>
          <w:b w:val="0"/>
          <w:bCs w:val="0"/>
          <w:color w:val="auto"/>
          <w:sz w:val="32"/>
          <w:szCs w:val="32"/>
          <w:u w:val="none"/>
        </w:rPr>
        <w:t>企业的申报材料交所在县市住房和城乡建设部门初验后送市评价办；市本级及外地入邵企业的申报材料由市评价办统一受理并组织核验。</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信息采集和核验：</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（1）企业基本信息、良好信息由市评价办综合后反馈给各县市住房和城乡建设行政主管部门或市相关建设行业协会。</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（2）不良信息</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① 日常监管信息：由企业主动提供和市、县市住房和城乡建设行政主管部门具有监管职能的科室提供。</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② 其它不良信息：由企业主动提供和由市、县市住房和城乡建设行政主管部门通过与其它相关部门建立的信息共享机制获取。</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（3）上述部门应及时对相关信息进行核实并反馈。</w:t>
      </w:r>
    </w:p>
    <w:p>
      <w:pPr>
        <w:spacing w:line="600" w:lineRule="exact"/>
        <w:ind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其它与综合评价有关的信息：银行授信、评级，资格、体系认证等由企业提供相关证明材料交上述核验单位核验后交市评价办。评价需要时，市评价办向人社、市场监督、税务、司法、银行等部门采集相关信息。</w:t>
      </w:r>
    </w:p>
    <w:p>
      <w:pPr>
        <w:spacing w:line="60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4.信用信息采集期限按照下述规定确定：</w:t>
      </w:r>
    </w:p>
    <w:p>
      <w:pPr>
        <w:spacing w:line="60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（1）基本信息的采集期限为信用主体存续期限；</w:t>
      </w:r>
    </w:p>
    <w:p>
      <w:pPr>
        <w:spacing w:line="60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（2）良好信用信息的采集期限为一年至三年，自受到表彰、获得荣誉称号之日起计算；</w:t>
      </w:r>
    </w:p>
    <w:p>
      <w:pPr>
        <w:spacing w:line="60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（3）不良信用信息的采集期限为六个月至三年，且不得低于相关行政处罚期限；</w:t>
      </w:r>
    </w:p>
    <w:p>
      <w:pPr>
        <w:spacing w:line="600" w:lineRule="exact"/>
        <w:ind w:firstLine="640" w:firstLineChars="200"/>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（4）法律法规对信息采集的期限有其他特别规定的，从其规定。</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第八条 信用评价办法</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市</w:t>
      </w:r>
      <w:r>
        <w:rPr>
          <w:rFonts w:hint="default" w:ascii="仿宋_GB2312" w:hAnsi="仿宋_GB2312" w:eastAsia="仿宋_GB2312" w:cs="仿宋_GB2312"/>
          <w:b w:val="0"/>
          <w:bCs w:val="0"/>
          <w:color w:val="auto"/>
          <w:sz w:val="32"/>
          <w:szCs w:val="32"/>
          <w:u w:val="none"/>
          <w:lang w:val="en"/>
        </w:rPr>
        <w:t>住房和城乡建设局</w:t>
      </w:r>
      <w:r>
        <w:rPr>
          <w:rFonts w:hint="eastAsia" w:ascii="仿宋_GB2312" w:hAnsi="仿宋_GB2312" w:eastAsia="仿宋_GB2312" w:cs="仿宋_GB2312"/>
          <w:b w:val="0"/>
          <w:bCs w:val="0"/>
          <w:color w:val="auto"/>
          <w:sz w:val="32"/>
          <w:szCs w:val="32"/>
          <w:u w:val="none"/>
        </w:rPr>
        <w:t>是</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信用等级评定主管部门</w:t>
      </w:r>
      <w:r>
        <w:rPr>
          <w:rFonts w:hint="default" w:ascii="仿宋_GB2312" w:hAnsi="仿宋_GB2312" w:eastAsia="仿宋_GB2312" w:cs="仿宋_GB2312"/>
          <w:b w:val="0"/>
          <w:bCs w:val="0"/>
          <w:color w:val="auto"/>
          <w:sz w:val="32"/>
          <w:szCs w:val="32"/>
          <w:u w:val="none"/>
          <w:lang w:val="en"/>
        </w:rPr>
        <w:t>，</w:t>
      </w:r>
      <w:r>
        <w:rPr>
          <w:rFonts w:hint="eastAsia" w:ascii="方正仿宋_GBK" w:hAnsi="方正仿宋_GBK" w:eastAsia="方正仿宋_GBK" w:cs="方正仿宋_GBK"/>
          <w:sz w:val="32"/>
          <w:szCs w:val="32"/>
          <w:lang w:val="en-US" w:eastAsia="zh-CN"/>
        </w:rPr>
        <w:t>鼓励相关行业协会、第三方服务机构、金融机构、新闻媒体等各类单位和个人依法参与</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方正仿宋_GBK" w:hAnsi="方正仿宋_GBK" w:eastAsia="方正仿宋_GBK" w:cs="方正仿宋_GBK"/>
          <w:sz w:val="32"/>
          <w:szCs w:val="32"/>
          <w:lang w:val="en-US" w:eastAsia="zh-CN"/>
        </w:rPr>
        <w:t>信用管理工作。</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评价工作遵循公开、公平、公正的原则，由自愿参加评价的</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提出申请并提供全面、准确、真实有效的申报资料参与评价。</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信用评价等级有效期为1年，自公布之日起生效。当新的年度诚信等级评定结果尚未公布前，原评定的诚信等级评定结果继续有效。建立建设企业诚信信息网络数据库和企业诚信档案，提供企业诚信等级查询服务。</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第九条 信用评价形式</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信用评价实行记分制，总分100分，主要包括企业综合实力、市场行为、经营业绩、信用记录等方面。</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信用等级综合评价指标及评分标准由市</w:t>
      </w:r>
      <w:r>
        <w:rPr>
          <w:rFonts w:hint="default" w:ascii="仿宋_GB2312" w:hAnsi="仿宋_GB2312" w:eastAsia="仿宋_GB2312" w:cs="仿宋_GB2312"/>
          <w:b w:val="0"/>
          <w:bCs w:val="0"/>
          <w:color w:val="auto"/>
          <w:sz w:val="32"/>
          <w:szCs w:val="32"/>
          <w:u w:val="none"/>
          <w:lang w:val="en"/>
        </w:rPr>
        <w:t>住房和城乡建设局</w:t>
      </w:r>
      <w:r>
        <w:rPr>
          <w:rFonts w:hint="eastAsia" w:ascii="仿宋_GB2312" w:hAnsi="仿宋_GB2312" w:eastAsia="仿宋_GB2312" w:cs="仿宋_GB2312"/>
          <w:b w:val="0"/>
          <w:bCs w:val="0"/>
          <w:color w:val="auto"/>
          <w:sz w:val="32"/>
          <w:szCs w:val="32"/>
          <w:u w:val="none"/>
        </w:rPr>
        <w:t>统一制定公布，并适时修订。</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第十条 信用等级划分</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建设企业信用等级划分为A、</w:t>
      </w:r>
      <w:r>
        <w:rPr>
          <w:rFonts w:hint="eastAsia" w:ascii="仿宋_GB2312" w:hAnsi="仿宋_GB2312" w:eastAsia="仿宋_GB2312" w:cs="仿宋_GB2312"/>
          <w:b w:val="0"/>
          <w:bCs w:val="0"/>
          <w:color w:val="auto"/>
          <w:sz w:val="32"/>
          <w:szCs w:val="32"/>
          <w:u w:val="none"/>
          <w:lang w:val="en-US" w:eastAsia="zh-CN"/>
        </w:rPr>
        <w:t>B</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C</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D</w:t>
      </w:r>
      <w:r>
        <w:rPr>
          <w:rFonts w:hint="eastAsia" w:ascii="仿宋_GB2312" w:hAnsi="仿宋_GB2312" w:eastAsia="仿宋_GB2312" w:cs="仿宋_GB2312"/>
          <w:b w:val="0"/>
          <w:bCs w:val="0"/>
          <w:color w:val="auto"/>
          <w:sz w:val="32"/>
          <w:szCs w:val="32"/>
          <w:u w:val="none"/>
        </w:rPr>
        <w:t>四个级别，其中：A</w:t>
      </w:r>
      <w:r>
        <w:rPr>
          <w:rFonts w:hint="eastAsia" w:ascii="仿宋_GB2312" w:hAnsi="仿宋_GB2312" w:eastAsia="仿宋_GB2312" w:cs="仿宋_GB2312"/>
          <w:b w:val="0"/>
          <w:bCs w:val="0"/>
          <w:color w:val="auto"/>
          <w:sz w:val="32"/>
          <w:szCs w:val="32"/>
          <w:u w:val="none"/>
          <w:lang w:eastAsia="zh-CN"/>
        </w:rPr>
        <w:t>级</w:t>
      </w:r>
      <w:r>
        <w:rPr>
          <w:rFonts w:hint="eastAsia" w:ascii="仿宋_GB2312" w:hAnsi="仿宋_GB2312" w:eastAsia="仿宋_GB2312" w:cs="仿宋_GB2312"/>
          <w:b w:val="0"/>
          <w:bCs w:val="0"/>
          <w:color w:val="auto"/>
          <w:sz w:val="32"/>
          <w:szCs w:val="32"/>
          <w:u w:val="none"/>
        </w:rPr>
        <w:t>为优秀信誉，</w:t>
      </w:r>
      <w:r>
        <w:rPr>
          <w:rFonts w:hint="eastAsia" w:ascii="仿宋_GB2312" w:hAnsi="仿宋_GB2312" w:eastAsia="仿宋_GB2312" w:cs="仿宋_GB2312"/>
          <w:b w:val="0"/>
          <w:bCs w:val="0"/>
          <w:color w:val="auto"/>
          <w:sz w:val="32"/>
          <w:szCs w:val="32"/>
          <w:u w:val="none"/>
          <w:lang w:val="en-US" w:eastAsia="zh-CN"/>
        </w:rPr>
        <w:t>B级</w:t>
      </w:r>
      <w:r>
        <w:rPr>
          <w:rFonts w:hint="eastAsia" w:ascii="仿宋_GB2312" w:hAnsi="仿宋_GB2312" w:eastAsia="仿宋_GB2312" w:cs="仿宋_GB2312"/>
          <w:b w:val="0"/>
          <w:bCs w:val="0"/>
          <w:color w:val="auto"/>
          <w:sz w:val="32"/>
          <w:szCs w:val="32"/>
          <w:u w:val="none"/>
        </w:rPr>
        <w:t>为良好信誉，</w:t>
      </w:r>
      <w:r>
        <w:rPr>
          <w:rFonts w:hint="eastAsia" w:ascii="仿宋_GB2312" w:hAnsi="仿宋_GB2312" w:eastAsia="仿宋_GB2312" w:cs="仿宋_GB2312"/>
          <w:b w:val="0"/>
          <w:bCs w:val="0"/>
          <w:color w:val="auto"/>
          <w:sz w:val="32"/>
          <w:szCs w:val="32"/>
          <w:u w:val="none"/>
          <w:lang w:val="en-US" w:eastAsia="zh-CN"/>
        </w:rPr>
        <w:t>C级</w:t>
      </w:r>
      <w:r>
        <w:rPr>
          <w:rFonts w:hint="eastAsia" w:ascii="仿宋_GB2312" w:hAnsi="仿宋_GB2312" w:eastAsia="仿宋_GB2312" w:cs="仿宋_GB2312"/>
          <w:b w:val="0"/>
          <w:bCs w:val="0"/>
          <w:color w:val="auto"/>
          <w:sz w:val="32"/>
          <w:szCs w:val="32"/>
          <w:u w:val="none"/>
        </w:rPr>
        <w:t>为一般信誉，</w:t>
      </w:r>
      <w:r>
        <w:rPr>
          <w:rFonts w:hint="eastAsia" w:ascii="仿宋_GB2312" w:hAnsi="仿宋_GB2312" w:eastAsia="仿宋_GB2312" w:cs="仿宋_GB2312"/>
          <w:b w:val="0"/>
          <w:bCs w:val="0"/>
          <w:color w:val="auto"/>
          <w:sz w:val="32"/>
          <w:szCs w:val="32"/>
          <w:u w:val="none"/>
          <w:lang w:val="en-US" w:eastAsia="zh-CN"/>
        </w:rPr>
        <w:t>D级</w:t>
      </w:r>
      <w:r>
        <w:rPr>
          <w:rFonts w:hint="eastAsia" w:ascii="仿宋_GB2312" w:hAnsi="仿宋_GB2312" w:eastAsia="仿宋_GB2312" w:cs="仿宋_GB2312"/>
          <w:b w:val="0"/>
          <w:bCs w:val="0"/>
          <w:color w:val="auto"/>
          <w:sz w:val="32"/>
          <w:szCs w:val="32"/>
          <w:u w:val="none"/>
        </w:rPr>
        <w:t>为不良信誉。</w:t>
      </w:r>
      <w:r>
        <w:rPr>
          <w:rFonts w:hint="eastAsia" w:ascii="仿宋_GB2312" w:hAnsi="仿宋_GB2312" w:eastAsia="仿宋_GB2312" w:cs="仿宋_GB2312"/>
          <w:b w:val="0"/>
          <w:bCs w:val="0"/>
          <w:color w:val="auto"/>
          <w:sz w:val="32"/>
          <w:szCs w:val="32"/>
          <w:u w:val="none"/>
          <w:lang w:val="en-US" w:eastAsia="zh-CN"/>
        </w:rPr>
        <w:t>D</w:t>
      </w:r>
      <w:r>
        <w:rPr>
          <w:rFonts w:hint="eastAsia" w:ascii="仿宋_GB2312" w:hAnsi="仿宋_GB2312" w:eastAsia="仿宋_GB2312" w:cs="仿宋_GB2312"/>
          <w:b w:val="0"/>
          <w:bCs w:val="0"/>
          <w:color w:val="auto"/>
          <w:sz w:val="32"/>
          <w:szCs w:val="32"/>
          <w:u w:val="none"/>
        </w:rPr>
        <w:t>级信用等级评价无论企业是否申报，可由市住房和城乡建设局信用评价工作领导小组直接认定。</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A</w:t>
      </w:r>
      <w:r>
        <w:rPr>
          <w:rFonts w:hint="eastAsia" w:ascii="仿宋_GB2312" w:hAnsi="仿宋_GB2312" w:eastAsia="仿宋_GB2312" w:cs="仿宋_GB2312"/>
          <w:b w:val="0"/>
          <w:bCs w:val="0"/>
          <w:color w:val="auto"/>
          <w:sz w:val="32"/>
          <w:szCs w:val="32"/>
          <w:u w:val="none"/>
          <w:lang w:eastAsia="zh-CN"/>
        </w:rPr>
        <w:t>级</w:t>
      </w:r>
      <w:r>
        <w:rPr>
          <w:rFonts w:hint="eastAsia" w:ascii="仿宋_GB2312" w:hAnsi="仿宋_GB2312" w:eastAsia="仿宋_GB2312" w:cs="仿宋_GB2312"/>
          <w:b w:val="0"/>
          <w:bCs w:val="0"/>
          <w:color w:val="auto"/>
          <w:sz w:val="32"/>
          <w:szCs w:val="32"/>
          <w:u w:val="none"/>
        </w:rPr>
        <w:t>：信用好。表示受信单位诚信度高，各项指标优秀，履约能力强、履约行为好，社会信誉优，得分在90分及以上；</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.B级</w:t>
      </w:r>
      <w:r>
        <w:rPr>
          <w:rFonts w:hint="eastAsia" w:ascii="仿宋_GB2312" w:hAnsi="仿宋_GB2312" w:eastAsia="仿宋_GB2312" w:cs="仿宋_GB2312"/>
          <w:b w:val="0"/>
          <w:bCs w:val="0"/>
          <w:color w:val="auto"/>
          <w:sz w:val="32"/>
          <w:szCs w:val="32"/>
          <w:u w:val="none"/>
        </w:rPr>
        <w:t>：信用较好。表示受信单位诚信度较高，各项指标较先进，履约能力较强、履约行为较好，社会信誉较优，得分在75分～90（不含）分之间；</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w:t>
      </w:r>
      <w:r>
        <w:rPr>
          <w:rFonts w:hint="eastAsia" w:ascii="仿宋_GB2312" w:hAnsi="仿宋_GB2312" w:eastAsia="仿宋_GB2312" w:cs="仿宋_GB2312"/>
          <w:b w:val="0"/>
          <w:bCs w:val="0"/>
          <w:color w:val="auto"/>
          <w:sz w:val="32"/>
          <w:szCs w:val="32"/>
          <w:u w:val="none"/>
          <w:lang w:val="en-US" w:eastAsia="zh-CN"/>
        </w:rPr>
        <w:t>.C级</w:t>
      </w:r>
      <w:r>
        <w:rPr>
          <w:rFonts w:hint="eastAsia" w:ascii="仿宋_GB2312" w:hAnsi="仿宋_GB2312" w:eastAsia="仿宋_GB2312" w:cs="仿宋_GB2312"/>
          <w:b w:val="0"/>
          <w:bCs w:val="0"/>
          <w:color w:val="auto"/>
          <w:sz w:val="32"/>
          <w:szCs w:val="32"/>
          <w:u w:val="none"/>
        </w:rPr>
        <w:t>：信用一般。表示受信单位诚信度一般，各项指标一般，履约能力一般、履约行为一般，社会信誉一般，得分在60～75（不含）分之间；</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w:t>
      </w:r>
      <w:r>
        <w:rPr>
          <w:rFonts w:hint="eastAsia" w:ascii="仿宋_GB2312" w:hAnsi="仿宋_GB2312" w:eastAsia="仿宋_GB2312" w:cs="仿宋_GB2312"/>
          <w:b w:val="0"/>
          <w:bCs w:val="0"/>
          <w:color w:val="auto"/>
          <w:sz w:val="32"/>
          <w:szCs w:val="32"/>
          <w:u w:val="none"/>
          <w:lang w:val="en-US" w:eastAsia="zh-CN"/>
        </w:rPr>
        <w:t>.D级</w:t>
      </w:r>
      <w:r>
        <w:rPr>
          <w:rFonts w:hint="eastAsia" w:ascii="仿宋_GB2312" w:hAnsi="仿宋_GB2312" w:eastAsia="仿宋_GB2312" w:cs="仿宋_GB2312"/>
          <w:b w:val="0"/>
          <w:bCs w:val="0"/>
          <w:color w:val="auto"/>
          <w:sz w:val="32"/>
          <w:szCs w:val="32"/>
          <w:u w:val="none"/>
        </w:rPr>
        <w:t>：企业信誉差，社会反响不佳，得分在60分以下。</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第十一条 信用评价程序</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（一）在邵阳市住房和城乡建设局官网发布信用评价通知；</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（二）</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提出申报，按要求提交《申请表》（申请表从相关网站下载）和相关证明附件资料，按第七条规定报送；</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（三）市评价办综合各类信息形成评审资料交市评价小组评审；</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（四）信用评价领导小组对市评价办所报评审结果进行审定；</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（五）市</w:t>
      </w:r>
      <w:r>
        <w:rPr>
          <w:rFonts w:hint="default" w:ascii="仿宋_GB2312" w:hAnsi="仿宋_GB2312" w:eastAsia="仿宋_GB2312" w:cs="仿宋_GB2312"/>
          <w:b w:val="0"/>
          <w:bCs w:val="0"/>
          <w:color w:val="auto"/>
          <w:sz w:val="32"/>
          <w:szCs w:val="32"/>
          <w:u w:val="none"/>
          <w:lang w:val="en"/>
        </w:rPr>
        <w:t>住房和城乡建设局</w:t>
      </w:r>
      <w:r>
        <w:rPr>
          <w:rFonts w:hint="eastAsia" w:ascii="仿宋_GB2312" w:hAnsi="仿宋_GB2312" w:eastAsia="仿宋_GB2312" w:cs="仿宋_GB2312"/>
          <w:b w:val="0"/>
          <w:bCs w:val="0"/>
          <w:color w:val="auto"/>
          <w:sz w:val="32"/>
          <w:szCs w:val="32"/>
          <w:u w:val="none"/>
        </w:rPr>
        <w:t>按照公示制度在邵阳市住房和城乡建设局官网上公示信用评价结果5个工作日，对公示期满且没有异议的，在邵阳市住房和城乡建设局官网等媒体上公布</w:t>
      </w:r>
      <w:r>
        <w:rPr>
          <w:rFonts w:hint="default" w:ascii="仿宋_GB2312" w:hAnsi="仿宋_GB2312" w:eastAsia="仿宋_GB2312" w:cs="仿宋_GB2312"/>
          <w:b w:val="0"/>
          <w:bCs w:val="0"/>
          <w:color w:val="auto"/>
          <w:sz w:val="32"/>
          <w:szCs w:val="32"/>
          <w:u w:val="none"/>
          <w:lang w:val="en" w:eastAsia="zh-CN"/>
        </w:rPr>
        <w:t>建筑施工企业</w:t>
      </w:r>
      <w:r>
        <w:rPr>
          <w:rFonts w:hint="eastAsia" w:ascii="仿宋_GB2312" w:hAnsi="仿宋_GB2312" w:eastAsia="仿宋_GB2312" w:cs="仿宋_GB2312"/>
          <w:b w:val="0"/>
          <w:bCs w:val="0"/>
          <w:color w:val="auto"/>
          <w:sz w:val="32"/>
          <w:szCs w:val="32"/>
          <w:u w:val="none"/>
        </w:rPr>
        <w:t>诚信等级结果</w:t>
      </w:r>
      <w:r>
        <w:rPr>
          <w:rFonts w:hint="eastAsia" w:ascii="仿宋_GB2312" w:hAnsi="仿宋_GB2312" w:eastAsia="仿宋_GB2312" w:cs="仿宋_GB2312"/>
          <w:b w:val="0"/>
          <w:bCs w:val="0"/>
          <w:color w:val="auto"/>
          <w:sz w:val="32"/>
          <w:szCs w:val="32"/>
          <w:u w:val="none"/>
          <w:lang w:eastAsia="zh-CN"/>
        </w:rPr>
        <w:t>，并按要求</w:t>
      </w:r>
      <w:r>
        <w:rPr>
          <w:rFonts w:hint="eastAsia" w:ascii="方正仿宋_GBK" w:hAnsi="方正仿宋_GBK" w:eastAsia="方正仿宋_GBK" w:cs="方正仿宋_GBK"/>
          <w:b w:val="0"/>
          <w:bCs w:val="0"/>
          <w:color w:val="auto"/>
          <w:sz w:val="32"/>
          <w:szCs w:val="32"/>
          <w:lang w:val="en-US" w:eastAsia="zh-CN"/>
        </w:rPr>
        <w:t>向省、市社会信用信息共享平台推送信用评价结果</w:t>
      </w:r>
      <w:r>
        <w:rPr>
          <w:rFonts w:hint="eastAsia" w:ascii="仿宋_GB2312" w:hAnsi="仿宋_GB2312" w:eastAsia="仿宋_GB2312" w:cs="仿宋_GB2312"/>
          <w:b w:val="0"/>
          <w:bCs w:val="0"/>
          <w:color w:val="auto"/>
          <w:sz w:val="32"/>
          <w:szCs w:val="32"/>
          <w:u w:val="none"/>
        </w:rPr>
        <w:t>。</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第十二条 在公示期内，对信用评价内容、程序或结果有异议的，可向市评价办提出陈述、申辩、举报。单位提出异议的，应经本单位法定代表人签字，并加盖单位公章；个人提出异议的，应附身份证复印件和联系方式。</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第十三条 信用评价结果运用</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依照相关法律、法规和政策规定，作为政府采购、招标投标、项目审批</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资金支持、核准登记、资质认定、年检年审、政策扶持、</w:t>
      </w:r>
      <w:r>
        <w:rPr>
          <w:rFonts w:hint="eastAsia" w:ascii="仿宋_GB2312" w:hAnsi="仿宋_GB2312" w:eastAsia="仿宋_GB2312" w:cs="仿宋_GB2312"/>
          <w:b w:val="0"/>
          <w:bCs w:val="0"/>
          <w:color w:val="auto"/>
          <w:sz w:val="32"/>
          <w:szCs w:val="32"/>
          <w:u w:val="none"/>
        </w:rPr>
        <w:t>日常监管、专项督查、</w:t>
      </w:r>
      <w:r>
        <w:rPr>
          <w:rFonts w:hint="eastAsia" w:ascii="仿宋_GB2312" w:hAnsi="仿宋_GB2312" w:eastAsia="仿宋_GB2312" w:cs="仿宋_GB2312"/>
          <w:b w:val="0"/>
          <w:bCs w:val="0"/>
          <w:color w:val="auto"/>
          <w:sz w:val="32"/>
          <w:szCs w:val="32"/>
          <w:u w:val="none"/>
          <w:lang w:eastAsia="zh-CN"/>
        </w:rPr>
        <w:t>表彰奖励</w:t>
      </w:r>
      <w:r>
        <w:rPr>
          <w:rFonts w:hint="eastAsia" w:ascii="仿宋_GB2312" w:hAnsi="仿宋_GB2312" w:eastAsia="仿宋_GB2312" w:cs="仿宋_GB2312"/>
          <w:b w:val="0"/>
          <w:bCs w:val="0"/>
          <w:color w:val="auto"/>
          <w:sz w:val="32"/>
          <w:szCs w:val="32"/>
          <w:u w:val="none"/>
        </w:rPr>
        <w:t>等环节</w:t>
      </w:r>
      <w:r>
        <w:rPr>
          <w:rFonts w:hint="eastAsia" w:ascii="方正仿宋_GBK" w:hAnsi="方正仿宋_GBK" w:eastAsia="方正仿宋_GBK" w:cs="方正仿宋_GBK"/>
          <w:b w:val="0"/>
          <w:bCs w:val="0"/>
          <w:color w:val="auto"/>
          <w:sz w:val="32"/>
          <w:szCs w:val="32"/>
          <w:lang w:val="en-US" w:eastAsia="zh-CN"/>
        </w:rPr>
        <w:t>实施信用承诺制和</w:t>
      </w:r>
      <w:r>
        <w:rPr>
          <w:rFonts w:hint="eastAsia" w:ascii="仿宋_GB2312" w:hAnsi="仿宋_GB2312" w:eastAsia="仿宋_GB2312" w:cs="仿宋_GB2312"/>
          <w:b w:val="0"/>
          <w:bCs w:val="0"/>
          <w:color w:val="auto"/>
          <w:sz w:val="32"/>
          <w:szCs w:val="32"/>
          <w:u w:val="none"/>
        </w:rPr>
        <w:t>实行差别化管理的依据。</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1.将A级信用主体列为诚信守法类信用主体，可以给予便利化服务或优先性地位，并适当减少监督检查的频次或降低监督检查比例。</w:t>
      </w:r>
      <w:r>
        <w:rPr>
          <w:rFonts w:hint="eastAsia" w:ascii="仿宋_GB2312" w:hAnsi="仿宋_GB2312" w:eastAsia="仿宋_GB2312" w:cs="仿宋_GB2312"/>
          <w:b w:val="0"/>
          <w:bCs w:val="0"/>
          <w:color w:val="auto"/>
          <w:sz w:val="32"/>
          <w:szCs w:val="32"/>
          <w:u w:val="none"/>
        </w:rPr>
        <w:t>房地产开发项目选用信用等级为</w:t>
      </w:r>
      <w:r>
        <w:rPr>
          <w:rFonts w:hint="eastAsia" w:ascii="仿宋_GB2312" w:hAnsi="仿宋_GB2312" w:eastAsia="仿宋_GB2312" w:cs="仿宋_GB2312"/>
          <w:b w:val="0"/>
          <w:bCs w:val="0"/>
          <w:color w:val="auto"/>
          <w:sz w:val="32"/>
          <w:szCs w:val="32"/>
          <w:u w:val="none"/>
          <w:lang w:val="en-US" w:eastAsia="zh-CN"/>
        </w:rPr>
        <w:t>A级</w:t>
      </w:r>
      <w:r>
        <w:rPr>
          <w:rFonts w:hint="eastAsia" w:ascii="仿宋_GB2312" w:hAnsi="仿宋_GB2312" w:eastAsia="仿宋_GB2312" w:cs="仿宋_GB2312"/>
          <w:b w:val="0"/>
          <w:bCs w:val="0"/>
          <w:color w:val="auto"/>
          <w:sz w:val="32"/>
          <w:szCs w:val="32"/>
          <w:u w:val="none"/>
        </w:rPr>
        <w:t>的建筑施工企业的，建安及配套工程阶段项目资本金</w:t>
      </w:r>
      <w:r>
        <w:rPr>
          <w:rFonts w:hint="eastAsia" w:ascii="仿宋_GB2312" w:hAnsi="仿宋_GB2312" w:eastAsia="仿宋_GB2312" w:cs="仿宋_GB2312"/>
          <w:b w:val="0"/>
          <w:bCs w:val="0"/>
          <w:color w:val="auto"/>
          <w:sz w:val="32"/>
          <w:szCs w:val="32"/>
          <w:u w:val="none"/>
          <w:lang w:eastAsia="zh-CN"/>
        </w:rPr>
        <w:t>可</w:t>
      </w:r>
      <w:r>
        <w:rPr>
          <w:rFonts w:hint="eastAsia" w:ascii="仿宋_GB2312" w:hAnsi="仿宋_GB2312" w:eastAsia="仿宋_GB2312" w:cs="仿宋_GB2312"/>
          <w:b w:val="0"/>
          <w:bCs w:val="0"/>
          <w:color w:val="auto"/>
          <w:sz w:val="32"/>
          <w:szCs w:val="32"/>
          <w:u w:val="none"/>
        </w:rPr>
        <w:t>享受相关优惠政策。</w:t>
      </w:r>
    </w:p>
    <w:p>
      <w:pPr>
        <w:spacing w:line="600" w:lineRule="exact"/>
        <w:ind w:firstLine="640" w:firstLineChars="200"/>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2.将B级信用主体纳入“双随机、一公开”监管范围，按常规比例和频次开展抽查。</w:t>
      </w:r>
    </w:p>
    <w:p>
      <w:pPr>
        <w:spacing w:line="60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3.将C级信用主体纳入各级执法检查必查范围，适当提高抽查比例和频次，不得将其纳入政策扶持、表彰奖励、媒体推介等推荐对象。</w:t>
      </w:r>
    </w:p>
    <w:p>
      <w:pPr>
        <w:spacing w:line="600" w:lineRule="exact"/>
        <w:ind w:firstLine="640" w:firstLineChars="200"/>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4.将D级信用主体纳入重点监管范围，有针对性地提高抽查比例和频次，</w:t>
      </w:r>
      <w:r>
        <w:rPr>
          <w:rFonts w:hint="eastAsia" w:ascii="仿宋_GB2312" w:hAnsi="仿宋_GB2312" w:eastAsia="仿宋_GB2312" w:cs="仿宋_GB2312"/>
          <w:b w:val="0"/>
          <w:bCs w:val="0"/>
          <w:color w:val="auto"/>
          <w:sz w:val="32"/>
          <w:szCs w:val="32"/>
          <w:u w:val="none"/>
          <w:lang w:eastAsia="zh-CN"/>
        </w:rPr>
        <w:t>对</w:t>
      </w:r>
      <w:r>
        <w:rPr>
          <w:rFonts w:hint="default" w:ascii="仿宋_GB2312" w:hAnsi="仿宋_GB2312" w:eastAsia="仿宋_GB2312" w:cs="仿宋_GB2312"/>
          <w:b w:val="0"/>
          <w:bCs w:val="0"/>
          <w:color w:val="auto"/>
          <w:sz w:val="32"/>
          <w:szCs w:val="32"/>
          <w:u w:val="none"/>
          <w:lang w:val="en" w:eastAsia="zh-CN"/>
        </w:rPr>
        <w:t>企业</w:t>
      </w:r>
      <w:r>
        <w:rPr>
          <w:rFonts w:hint="eastAsia" w:ascii="仿宋_GB2312" w:hAnsi="仿宋_GB2312" w:eastAsia="仿宋_GB2312" w:cs="仿宋_GB2312"/>
          <w:b w:val="0"/>
          <w:bCs w:val="0"/>
          <w:color w:val="auto"/>
          <w:sz w:val="32"/>
          <w:szCs w:val="32"/>
          <w:u w:val="none"/>
        </w:rPr>
        <w:t>的资质、经营状况和施工现场等实施差别化管理。</w:t>
      </w:r>
      <w:r>
        <w:rPr>
          <w:rFonts w:hint="eastAsia" w:ascii="仿宋_GB2312" w:hAnsi="仿宋_GB2312" w:eastAsia="仿宋_GB2312" w:cs="仿宋_GB2312"/>
          <w:b w:val="0"/>
          <w:bCs w:val="0"/>
          <w:color w:val="auto"/>
          <w:sz w:val="32"/>
          <w:szCs w:val="32"/>
          <w:u w:val="none"/>
          <w:lang w:eastAsia="zh-CN"/>
        </w:rPr>
        <w:t>市住房和城乡建设局负责约谈年度内拟评价为</w:t>
      </w:r>
      <w:r>
        <w:rPr>
          <w:rFonts w:hint="eastAsia" w:ascii="仿宋_GB2312" w:hAnsi="仿宋_GB2312" w:eastAsia="仿宋_GB2312" w:cs="仿宋_GB2312"/>
          <w:b w:val="0"/>
          <w:bCs w:val="0"/>
          <w:color w:val="auto"/>
          <w:sz w:val="32"/>
          <w:szCs w:val="32"/>
          <w:u w:val="none"/>
          <w:lang w:val="en-US" w:eastAsia="zh-CN"/>
        </w:rPr>
        <w:t>D级企业的主要负责人，被约谈企业或人员应作出限期整改承诺，制定整改方案，整改不合格的，作为不良信用信息公开披露。</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第十四条 市评价办的工作人员应实事求是、公平、公正地开展信用评价和实时考核的各项工作；诚信信息收集上报情况纳入各单位年终目标考核。纪检监察</w:t>
      </w:r>
      <w:r>
        <w:rPr>
          <w:rFonts w:hint="eastAsia" w:ascii="仿宋_GB2312" w:hAnsi="仿宋_GB2312" w:eastAsia="仿宋_GB2312" w:cs="仿宋_GB2312"/>
          <w:b w:val="0"/>
          <w:bCs w:val="0"/>
          <w:color w:val="auto"/>
          <w:sz w:val="32"/>
          <w:szCs w:val="32"/>
          <w:u w:val="none"/>
          <w:lang w:eastAsia="zh-CN"/>
        </w:rPr>
        <w:t>部门</w:t>
      </w:r>
      <w:r>
        <w:rPr>
          <w:rFonts w:hint="eastAsia" w:ascii="仿宋_GB2312" w:hAnsi="仿宋_GB2312" w:eastAsia="仿宋_GB2312" w:cs="仿宋_GB2312"/>
          <w:b w:val="0"/>
          <w:bCs w:val="0"/>
          <w:color w:val="auto"/>
          <w:sz w:val="32"/>
          <w:szCs w:val="32"/>
          <w:u w:val="none"/>
        </w:rPr>
        <w:t>应对信用评价的组织及信用体系运行情况进行监督检查，如有徇私舞弊、滥用职权、玩忽职守，依法给予行政处分，构成犯罪的，移交司法部门依法追究刑事责任。</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第十五条 本办法由邵阳市住房和城乡建设局负责解释，根据国家、省、市相关政策调整和市相关经济形势变化，可实时进行调整。</w:t>
      </w: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第十六条 本办法自发布之日起施行。20</w:t>
      </w:r>
      <w:r>
        <w:rPr>
          <w:rFonts w:hint="eastAsia" w:ascii="仿宋_GB2312" w:hAnsi="仿宋_GB2312" w:eastAsia="仿宋_GB2312" w:cs="仿宋_GB2312"/>
          <w:b w:val="0"/>
          <w:bCs w:val="0"/>
          <w:color w:val="auto"/>
          <w:sz w:val="32"/>
          <w:szCs w:val="32"/>
          <w:u w:val="none"/>
          <w:lang w:val="en-US" w:eastAsia="zh-CN"/>
        </w:rPr>
        <w:t>20</w:t>
      </w:r>
      <w:r>
        <w:rPr>
          <w:rFonts w:hint="eastAsia" w:ascii="仿宋_GB2312" w:hAnsi="仿宋_GB2312" w:eastAsia="仿宋_GB2312" w:cs="仿宋_GB2312"/>
          <w:b w:val="0"/>
          <w:bCs w:val="0"/>
          <w:color w:val="auto"/>
          <w:sz w:val="32"/>
          <w:szCs w:val="32"/>
          <w:u w:val="none"/>
        </w:rPr>
        <w:t>年</w:t>
      </w:r>
      <w:r>
        <w:rPr>
          <w:rFonts w:hint="default" w:ascii="仿宋_GB2312" w:hAnsi="仿宋_GB2312" w:eastAsia="仿宋_GB2312" w:cs="仿宋_GB2312"/>
          <w:b w:val="0"/>
          <w:bCs w:val="0"/>
          <w:color w:val="auto"/>
          <w:sz w:val="32"/>
          <w:szCs w:val="32"/>
          <w:u w:val="none"/>
          <w:lang w:val="en"/>
        </w:rPr>
        <w:t>5</w:t>
      </w:r>
      <w:r>
        <w:rPr>
          <w:rFonts w:hint="eastAsia" w:ascii="仿宋_GB2312" w:hAnsi="仿宋_GB2312" w:eastAsia="仿宋_GB2312" w:cs="仿宋_GB2312"/>
          <w:b w:val="0"/>
          <w:bCs w:val="0"/>
          <w:color w:val="auto"/>
          <w:sz w:val="32"/>
          <w:szCs w:val="32"/>
          <w:u w:val="none"/>
        </w:rPr>
        <w:t>月</w:t>
      </w:r>
      <w:r>
        <w:rPr>
          <w:rFonts w:hint="default" w:ascii="仿宋_GB2312" w:hAnsi="仿宋_GB2312" w:eastAsia="仿宋_GB2312" w:cs="仿宋_GB2312"/>
          <w:b w:val="0"/>
          <w:bCs w:val="0"/>
          <w:color w:val="auto"/>
          <w:sz w:val="32"/>
          <w:szCs w:val="32"/>
          <w:u w:val="none"/>
          <w:lang w:val="en"/>
        </w:rPr>
        <w:t>22</w:t>
      </w:r>
      <w:r>
        <w:rPr>
          <w:rFonts w:hint="eastAsia" w:ascii="仿宋_GB2312" w:hAnsi="仿宋_GB2312" w:eastAsia="仿宋_GB2312" w:cs="仿宋_GB2312"/>
          <w:b w:val="0"/>
          <w:bCs w:val="0"/>
          <w:color w:val="auto"/>
          <w:sz w:val="32"/>
          <w:szCs w:val="32"/>
          <w:u w:val="none"/>
        </w:rPr>
        <w:t>日发布的《邵阳市建筑市场诚信等级评定办法》（邵建发〔202</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72</w:t>
      </w:r>
      <w:r>
        <w:rPr>
          <w:rFonts w:hint="eastAsia" w:ascii="仿宋_GB2312" w:hAnsi="仿宋_GB2312" w:eastAsia="仿宋_GB2312" w:cs="仿宋_GB2312"/>
          <w:b w:val="0"/>
          <w:bCs w:val="0"/>
          <w:color w:val="auto"/>
          <w:sz w:val="32"/>
          <w:szCs w:val="32"/>
          <w:u w:val="none"/>
        </w:rPr>
        <w:t>号）同时废止。</w:t>
      </w:r>
    </w:p>
    <w:p>
      <w:pPr>
        <w:spacing w:line="600" w:lineRule="exact"/>
        <w:rPr>
          <w:rFonts w:ascii="仿宋_GB2312" w:hAnsi="仿宋_GB2312" w:eastAsia="仿宋_GB2312" w:cs="仿宋_GB2312"/>
          <w:b w:val="0"/>
          <w:bCs w:val="0"/>
          <w:color w:val="auto"/>
          <w:sz w:val="32"/>
          <w:szCs w:val="32"/>
          <w:u w:val="none"/>
        </w:rPr>
      </w:pPr>
    </w:p>
    <w:p>
      <w:pPr>
        <w:spacing w:line="600" w:lineRule="exact"/>
        <w:ind w:firstLine="640" w:firstLineChars="200"/>
        <w:rPr>
          <w:rFonts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附件：邵阳市</w:t>
      </w:r>
      <w:r>
        <w:rPr>
          <w:rFonts w:hint="default" w:ascii="仿宋_GB2312" w:hAnsi="仿宋_GB2312" w:eastAsia="仿宋_GB2312" w:cs="仿宋_GB2312"/>
          <w:b w:val="0"/>
          <w:bCs w:val="0"/>
          <w:color w:val="auto"/>
          <w:sz w:val="32"/>
          <w:szCs w:val="32"/>
          <w:u w:val="none"/>
          <w:lang w:val="en"/>
        </w:rPr>
        <w:t>建筑施工企业</w:t>
      </w:r>
      <w:r>
        <w:rPr>
          <w:rFonts w:hint="eastAsia" w:ascii="仿宋_GB2312" w:hAnsi="仿宋_GB2312" w:eastAsia="仿宋_GB2312" w:cs="仿宋_GB2312"/>
          <w:b w:val="0"/>
          <w:bCs w:val="0"/>
          <w:color w:val="auto"/>
          <w:sz w:val="32"/>
          <w:szCs w:val="32"/>
          <w:u w:val="none"/>
        </w:rPr>
        <w:t>信用等级评定申请表及评定标准</w:t>
      </w:r>
    </w:p>
    <w:p>
      <w:pPr>
        <w:spacing w:line="600" w:lineRule="exact"/>
        <w:rPr>
          <w:rFonts w:hint="eastAsia" w:ascii="黑体" w:hAnsi="黑体" w:eastAsia="黑体" w:cs="黑体"/>
          <w:b w:val="0"/>
          <w:bCs w:val="0"/>
          <w:color w:val="auto"/>
          <w:sz w:val="32"/>
          <w:szCs w:val="32"/>
          <w:u w:val="none"/>
        </w:rPr>
      </w:pPr>
    </w:p>
    <w:p>
      <w:pP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br w:type="page"/>
      </w:r>
    </w:p>
    <w:p>
      <w:pPr>
        <w:spacing w:line="600" w:lineRule="exact"/>
        <w:rPr>
          <w:rFonts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附件：</w:t>
      </w:r>
    </w:p>
    <w:p>
      <w:pPr>
        <w:widowControl/>
        <w:shd w:val="clear" w:color="auto" w:fill="FFFFFF"/>
        <w:spacing w:line="720" w:lineRule="auto"/>
        <w:jc w:val="center"/>
        <w:rPr>
          <w:rFonts w:hint="eastAsia" w:ascii="仿宋_GB2312" w:hAnsi="仿宋" w:eastAsia="仿宋_GB2312" w:cs="宋体"/>
          <w:b w:val="0"/>
          <w:bCs w:val="0"/>
          <w:color w:val="auto"/>
          <w:kern w:val="0"/>
          <w:sz w:val="52"/>
          <w:szCs w:val="52"/>
          <w:u w:val="none"/>
        </w:rPr>
      </w:pPr>
    </w:p>
    <w:p>
      <w:pPr>
        <w:widowControl/>
        <w:shd w:val="clear" w:color="auto" w:fill="FFFFFF"/>
        <w:spacing w:line="720" w:lineRule="auto"/>
        <w:jc w:val="center"/>
        <w:rPr>
          <w:rFonts w:ascii="仿宋_GB2312" w:hAnsi="仿宋" w:eastAsia="仿宋_GB2312" w:cs="宋体"/>
          <w:b w:val="0"/>
          <w:bCs w:val="0"/>
          <w:color w:val="auto"/>
          <w:kern w:val="0"/>
          <w:sz w:val="52"/>
          <w:szCs w:val="52"/>
          <w:u w:val="none"/>
        </w:rPr>
      </w:pPr>
      <w:r>
        <w:rPr>
          <w:rFonts w:hint="eastAsia" w:ascii="仿宋_GB2312" w:hAnsi="仿宋" w:eastAsia="仿宋_GB2312" w:cs="宋体"/>
          <w:b w:val="0"/>
          <w:bCs w:val="0"/>
          <w:color w:val="auto"/>
          <w:kern w:val="0"/>
          <w:sz w:val="52"/>
          <w:szCs w:val="52"/>
          <w:u w:val="none"/>
        </w:rPr>
        <w:t>邵阳市</w:t>
      </w:r>
      <w:r>
        <w:rPr>
          <w:rFonts w:hint="default" w:ascii="仿宋_GB2312" w:hAnsi="仿宋" w:eastAsia="仿宋_GB2312" w:cs="宋体"/>
          <w:b w:val="0"/>
          <w:bCs w:val="0"/>
          <w:color w:val="auto"/>
          <w:kern w:val="0"/>
          <w:sz w:val="52"/>
          <w:szCs w:val="52"/>
          <w:u w:val="none"/>
          <w:lang w:val="en"/>
        </w:rPr>
        <w:t>建筑施工企业</w:t>
      </w:r>
      <w:r>
        <w:rPr>
          <w:rFonts w:hint="eastAsia" w:ascii="仿宋_GB2312" w:hAnsi="仿宋" w:eastAsia="仿宋_GB2312" w:cs="宋体"/>
          <w:b w:val="0"/>
          <w:bCs w:val="0"/>
          <w:color w:val="auto"/>
          <w:kern w:val="0"/>
          <w:sz w:val="52"/>
          <w:szCs w:val="52"/>
          <w:u w:val="none"/>
        </w:rPr>
        <w:t>信用等级评定</w:t>
      </w:r>
    </w:p>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p>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p>
    <w:p>
      <w:pPr>
        <w:widowControl/>
        <w:shd w:val="clear" w:color="auto" w:fill="FFFFFF"/>
        <w:spacing w:line="720" w:lineRule="auto"/>
        <w:ind w:firstLine="1440" w:firstLineChars="200"/>
        <w:rPr>
          <w:rFonts w:ascii="仿宋_GB2312" w:hAnsi="仿宋" w:eastAsia="仿宋_GB2312" w:cs="宋体"/>
          <w:b w:val="0"/>
          <w:bCs w:val="0"/>
          <w:color w:val="auto"/>
          <w:kern w:val="0"/>
          <w:sz w:val="72"/>
          <w:szCs w:val="72"/>
          <w:u w:val="none"/>
        </w:rPr>
      </w:pPr>
      <w:r>
        <w:rPr>
          <w:rFonts w:hint="eastAsia" w:ascii="仿宋_GB2312" w:hAnsi="仿宋" w:eastAsia="仿宋_GB2312" w:cs="宋体"/>
          <w:b w:val="0"/>
          <w:bCs w:val="0"/>
          <w:color w:val="auto"/>
          <w:kern w:val="0"/>
          <w:sz w:val="72"/>
          <w:szCs w:val="72"/>
          <w:u w:val="none"/>
        </w:rPr>
        <w:t>申请表及评定标准</w:t>
      </w:r>
    </w:p>
    <w:p>
      <w:pPr>
        <w:spacing w:line="720" w:lineRule="auto"/>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ind w:firstLine="420" w:firstLineChars="200"/>
        <w:rPr>
          <w:rFonts w:ascii="仿宋_GB2312" w:hAnsi="仿宋" w:eastAsia="仿宋_GB2312"/>
          <w:b w:val="0"/>
          <w:bCs w:val="0"/>
          <w:color w:val="auto"/>
          <w:szCs w:val="32"/>
          <w:u w:val="none"/>
        </w:rPr>
      </w:pPr>
    </w:p>
    <w:p>
      <w:pPr>
        <w:spacing w:line="600" w:lineRule="exact"/>
        <w:rPr>
          <w:rFonts w:ascii="仿宋_GB2312" w:hAnsi="仿宋" w:eastAsia="仿宋_GB2312"/>
          <w:b w:val="0"/>
          <w:bCs w:val="0"/>
          <w:color w:val="auto"/>
          <w:szCs w:val="32"/>
          <w:u w:val="none"/>
        </w:rPr>
      </w:pPr>
    </w:p>
    <w:p>
      <w:pPr>
        <w:spacing w:line="600" w:lineRule="exact"/>
        <w:ind w:left="638" w:leftChars="304" w:firstLine="1600" w:firstLineChars="500"/>
        <w:rPr>
          <w:rFonts w:hint="eastAsia" w:ascii="宋体" w:hAnsi="宋体"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申请单位（章）：</w:t>
      </w:r>
      <w:r>
        <w:rPr>
          <w:rFonts w:hint="eastAsia" w:ascii="宋体" w:hAnsi="宋体" w:eastAsia="仿宋_GB2312" w:cs="宋体"/>
          <w:b w:val="0"/>
          <w:bCs w:val="0"/>
          <w:color w:val="auto"/>
          <w:kern w:val="0"/>
          <w:sz w:val="32"/>
          <w:szCs w:val="32"/>
          <w:u w:val="none"/>
        </w:rPr>
        <w:t>   </w:t>
      </w:r>
    </w:p>
    <w:p>
      <w:pPr>
        <w:spacing w:line="600" w:lineRule="exact"/>
        <w:ind w:left="638" w:leftChars="304" w:firstLine="1600" w:firstLineChars="500"/>
        <w:rPr>
          <w:rFonts w:hint="eastAsia" w:ascii="仿宋_GB2312" w:hAnsi="仿宋" w:eastAsia="仿宋_GB2312" w:cs="宋体"/>
          <w:b w:val="0"/>
          <w:bCs w:val="0"/>
          <w:color w:val="auto"/>
          <w:kern w:val="0"/>
          <w:sz w:val="32"/>
          <w:szCs w:val="32"/>
          <w:u w:val="none"/>
        </w:rPr>
      </w:pPr>
    </w:p>
    <w:p>
      <w:pPr>
        <w:spacing w:line="600" w:lineRule="exact"/>
        <w:ind w:left="638" w:leftChars="304" w:firstLine="1600" w:firstLineChars="500"/>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填</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表</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日</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期：</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年</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 xml:space="preserve"> </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月</w:t>
      </w:r>
      <w:r>
        <w:rPr>
          <w:rFonts w:hint="eastAsia" w:ascii="宋体" w:hAnsi="宋体" w:eastAsia="仿宋_GB2312" w:cs="宋体"/>
          <w:b w:val="0"/>
          <w:bCs w:val="0"/>
          <w:color w:val="auto"/>
          <w:kern w:val="0"/>
          <w:sz w:val="32"/>
          <w:szCs w:val="32"/>
          <w:u w:val="none"/>
        </w:rPr>
        <w:t>  </w:t>
      </w:r>
      <w:r>
        <w:rPr>
          <w:rFonts w:hint="eastAsia" w:ascii="仿宋_GB2312" w:hAnsi="仿宋" w:eastAsia="仿宋_GB2312" w:cs="宋体"/>
          <w:b w:val="0"/>
          <w:bCs w:val="0"/>
          <w:color w:val="auto"/>
          <w:kern w:val="0"/>
          <w:sz w:val="32"/>
          <w:szCs w:val="32"/>
          <w:u w:val="none"/>
        </w:rPr>
        <w:t>日</w:t>
      </w:r>
    </w:p>
    <w:p>
      <w:pPr>
        <w:widowControl/>
        <w:shd w:val="clear" w:color="auto" w:fill="FFFFFF"/>
        <w:spacing w:line="600" w:lineRule="exact"/>
        <w:ind w:firstLine="640" w:firstLineChars="200"/>
        <w:jc w:val="center"/>
        <w:rPr>
          <w:rFonts w:ascii="仿宋_GB2312" w:hAnsi="仿宋" w:eastAsia="仿宋_GB2312" w:cs="宋体"/>
          <w:b w:val="0"/>
          <w:bCs w:val="0"/>
          <w:color w:val="auto"/>
          <w:kern w:val="0"/>
          <w:sz w:val="32"/>
          <w:szCs w:val="32"/>
          <w:u w:val="none"/>
        </w:rPr>
      </w:pPr>
    </w:p>
    <w:p>
      <w:pPr>
        <w:widowControl/>
        <w:shd w:val="clear" w:color="auto" w:fill="FFFFFF"/>
        <w:spacing w:line="600" w:lineRule="exact"/>
        <w:ind w:firstLine="640" w:firstLineChars="200"/>
        <w:jc w:val="center"/>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邵阳市住房和城乡建设局制</w:t>
      </w:r>
    </w:p>
    <w:p>
      <w:pPr>
        <w:spacing w:line="600" w:lineRule="exact"/>
        <w:ind w:left="0" w:leftChars="0" w:firstLine="0" w:firstLineChars="0"/>
        <w:jc w:val="center"/>
        <w:rPr>
          <w:rFonts w:ascii="仿宋_GB2312" w:hAnsi="仿宋" w:eastAsia="仿宋_GB2312"/>
          <w:b w:val="0"/>
          <w:bCs w:val="0"/>
          <w:color w:val="auto"/>
          <w:sz w:val="44"/>
          <w:szCs w:val="44"/>
          <w:u w:val="none"/>
        </w:rPr>
      </w:pPr>
      <w:r>
        <w:rPr>
          <w:rFonts w:hint="eastAsia" w:ascii="仿宋_GB2312" w:hAnsi="仿宋" w:eastAsia="仿宋_GB2312"/>
          <w:b w:val="0"/>
          <w:bCs w:val="0"/>
          <w:color w:val="auto"/>
          <w:sz w:val="44"/>
          <w:szCs w:val="44"/>
          <w:u w:val="none"/>
        </w:rPr>
        <w:br w:type="page"/>
      </w:r>
      <w:r>
        <w:rPr>
          <w:rFonts w:hint="eastAsia" w:ascii="仿宋_GB2312" w:hAnsi="仿宋" w:eastAsia="仿宋_GB2312"/>
          <w:b w:val="0"/>
          <w:bCs w:val="0"/>
          <w:color w:val="auto"/>
          <w:sz w:val="44"/>
          <w:szCs w:val="44"/>
          <w:u w:val="none"/>
        </w:rPr>
        <w:t>填 表 说 明</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一、本表用于建筑施工企业申请信用等级评定。</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二、本表请使用计算机打印。</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三、填写本表适用的数字均用阿拉伯数字。除注明外，货币种类为人民币，单位为万元。有关数据可保留一位小数。</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四、本表中带□的位置用“√”选择填写。</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五、本表在填写时可加页，一律适用A4纸张。</w:t>
      </w:r>
    </w:p>
    <w:p>
      <w:pPr>
        <w:spacing w:line="600" w:lineRule="exact"/>
        <w:ind w:firstLine="600" w:firstLineChars="200"/>
        <w:rPr>
          <w:rFonts w:ascii="仿宋_GB2312" w:hAnsi="仿宋" w:eastAsia="仿宋_GB2312"/>
          <w:b w:val="0"/>
          <w:bCs w:val="0"/>
          <w:color w:val="auto"/>
          <w:sz w:val="30"/>
          <w:szCs w:val="30"/>
          <w:u w:val="none"/>
        </w:rPr>
      </w:pPr>
      <w:r>
        <w:rPr>
          <w:rFonts w:hint="eastAsia" w:ascii="仿宋_GB2312" w:hAnsi="仿宋" w:eastAsia="仿宋_GB2312"/>
          <w:b w:val="0"/>
          <w:bCs w:val="0"/>
          <w:color w:val="auto"/>
          <w:sz w:val="30"/>
          <w:szCs w:val="30"/>
          <w:u w:val="none"/>
        </w:rPr>
        <w:t>六、填写完成后，邵阳市区划内行政县市的建筑施工企业应将申报材料装订成册与原件一并报企业所在县市住房和城乡建设行政主管部门, 县市建设企业的申报材料由所在县市住房和城乡建设部门审核后密封送市评价办；市本级及外地入邵企业的申报材料密封后送市评价办统一受理并组织核验。</w:t>
      </w:r>
    </w:p>
    <w:p>
      <w:pPr>
        <w:spacing w:line="600" w:lineRule="exact"/>
        <w:ind w:firstLine="640" w:firstLineChars="200"/>
        <w:rPr>
          <w:rFonts w:ascii="仿宋_GB2312" w:hAnsi="仿宋" w:eastAsia="仿宋_GB2312" w:cs="宋体"/>
          <w:b w:val="0"/>
          <w:bCs w:val="0"/>
          <w:color w:val="auto"/>
          <w:kern w:val="0"/>
          <w:sz w:val="32"/>
          <w:szCs w:val="32"/>
          <w:u w:val="none"/>
        </w:rPr>
      </w:pPr>
    </w:p>
    <w:p>
      <w:pPr>
        <w:spacing w:line="600" w:lineRule="exact"/>
        <w:ind w:firstLine="640" w:firstLineChars="200"/>
        <w:rPr>
          <w:rFonts w:ascii="仿宋_GB2312" w:hAnsi="仿宋" w:eastAsia="仿宋_GB2312"/>
          <w:b w:val="0"/>
          <w:bCs w:val="0"/>
          <w:color w:val="auto"/>
          <w:sz w:val="32"/>
          <w:szCs w:val="32"/>
          <w:u w:val="none"/>
        </w:rPr>
      </w:pPr>
    </w:p>
    <w:p>
      <w:pPr>
        <w:widowControl/>
        <w:shd w:val="clear" w:color="auto" w:fill="FFFFFF"/>
        <w:spacing w:line="600" w:lineRule="exact"/>
        <w:jc w:val="center"/>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br w:type="page"/>
      </w:r>
    </w:p>
    <w:p>
      <w:pPr>
        <w:widowControl/>
        <w:shd w:val="clear" w:color="auto" w:fill="FFFFFF"/>
        <w:spacing w:line="600" w:lineRule="exact"/>
        <w:jc w:val="center"/>
        <w:rPr>
          <w:rFonts w:hint="eastAsia" w:ascii="仿宋_GB2312" w:hAnsi="仿宋" w:eastAsia="仿宋_GB2312" w:cs="宋体"/>
          <w:b w:val="0"/>
          <w:bCs w:val="0"/>
          <w:color w:val="auto"/>
          <w:kern w:val="0"/>
          <w:sz w:val="44"/>
          <w:szCs w:val="44"/>
          <w:u w:val="none"/>
          <w:lang w:eastAsia="zh-CN"/>
        </w:rPr>
      </w:pPr>
      <w:r>
        <w:rPr>
          <w:rFonts w:hint="eastAsia" w:ascii="仿宋_GB2312" w:hAnsi="仿宋" w:eastAsia="仿宋_GB2312" w:cs="宋体"/>
          <w:b w:val="0"/>
          <w:bCs w:val="0"/>
          <w:color w:val="auto"/>
          <w:kern w:val="0"/>
          <w:sz w:val="44"/>
          <w:szCs w:val="44"/>
          <w:u w:val="none"/>
        </w:rPr>
        <w:t>承</w:t>
      </w:r>
      <w:r>
        <w:rPr>
          <w:rFonts w:hint="eastAsia" w:ascii="宋体" w:hAnsi="宋体" w:eastAsia="仿宋_GB2312" w:cs="宋体"/>
          <w:b w:val="0"/>
          <w:bCs w:val="0"/>
          <w:color w:val="auto"/>
          <w:kern w:val="0"/>
          <w:sz w:val="44"/>
          <w:szCs w:val="44"/>
          <w:u w:val="none"/>
        </w:rPr>
        <w:t>  </w:t>
      </w:r>
      <w:r>
        <w:rPr>
          <w:rFonts w:hint="eastAsia" w:ascii="仿宋_GB2312" w:hAnsi="仿宋" w:eastAsia="仿宋_GB2312" w:cs="宋体"/>
          <w:b w:val="0"/>
          <w:bCs w:val="0"/>
          <w:color w:val="auto"/>
          <w:kern w:val="0"/>
          <w:sz w:val="44"/>
          <w:szCs w:val="44"/>
          <w:u w:val="none"/>
        </w:rPr>
        <w:t>诺</w:t>
      </w:r>
      <w:r>
        <w:rPr>
          <w:rFonts w:hint="eastAsia" w:ascii="宋体" w:hAnsi="宋体" w:eastAsia="仿宋_GB2312" w:cs="宋体"/>
          <w:b w:val="0"/>
          <w:bCs w:val="0"/>
          <w:color w:val="auto"/>
          <w:kern w:val="0"/>
          <w:sz w:val="44"/>
          <w:szCs w:val="44"/>
          <w:u w:val="none"/>
        </w:rPr>
        <w:t>  </w:t>
      </w:r>
      <w:r>
        <w:rPr>
          <w:rFonts w:hint="eastAsia" w:ascii="仿宋_GB2312" w:hAnsi="仿宋" w:eastAsia="仿宋_GB2312" w:cs="宋体"/>
          <w:b w:val="0"/>
          <w:bCs w:val="0"/>
          <w:color w:val="auto"/>
          <w:kern w:val="0"/>
          <w:sz w:val="44"/>
          <w:szCs w:val="44"/>
          <w:u w:val="none"/>
        </w:rPr>
        <w:t>书</w:t>
      </w:r>
    </w:p>
    <w:p>
      <w:pPr>
        <w:widowControl/>
        <w:shd w:val="clear" w:color="auto" w:fill="FFFFFF"/>
        <w:spacing w:line="600" w:lineRule="exact"/>
        <w:jc w:val="center"/>
        <w:rPr>
          <w:rFonts w:hint="eastAsia" w:ascii="仿宋_GB2312" w:hAnsi="仿宋" w:eastAsia="仿宋_GB2312" w:cs="宋体"/>
          <w:b w:val="0"/>
          <w:bCs w:val="0"/>
          <w:color w:val="auto"/>
          <w:kern w:val="0"/>
          <w:sz w:val="44"/>
          <w:szCs w:val="44"/>
          <w:u w:val="none"/>
          <w:lang w:eastAsia="zh-CN"/>
        </w:rPr>
      </w:pP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致邵阳市住房和城乡建设局：</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 xml:space="preserve">    本单位自愿申请参加邵阳市住房和城乡建设局组织的建筑施工企业信用评定。</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r>
        <w:rPr>
          <w:rFonts w:hint="eastAsia" w:ascii="仿宋_GB2312" w:hAnsi="仿宋" w:eastAsia="仿宋_GB2312" w:cs="宋体"/>
          <w:b w:val="0"/>
          <w:bCs w:val="0"/>
          <w:color w:val="auto"/>
          <w:kern w:val="0"/>
          <w:sz w:val="32"/>
          <w:szCs w:val="32"/>
          <w:u w:val="none"/>
        </w:rPr>
        <w:t xml:space="preserve">    本单位承诺：在申请本信用评定中所提交的资料和数据全部真实、合法、有效，复印件和原件内容一致，没有隐瞒不良行为记录、行政处罚、相关部门对我公司的处理情况，并对因申报材料弄虚作假所引发的一切后果负责。</w:t>
      </w:r>
    </w:p>
    <w:p>
      <w:pPr>
        <w:widowControl/>
        <w:shd w:val="clear" w:color="auto" w:fill="FFFFFF"/>
        <w:spacing w:line="600" w:lineRule="exact"/>
        <w:rPr>
          <w:rFonts w:hint="eastAsia" w:ascii="仿宋_GB2312" w:hAnsi="仿宋" w:eastAsia="仿宋_GB2312" w:cs="宋体"/>
          <w:b w:val="0"/>
          <w:bCs w:val="0"/>
          <w:color w:val="auto"/>
          <w:kern w:val="0"/>
          <w:sz w:val="32"/>
          <w:szCs w:val="32"/>
          <w:u w:val="none"/>
          <w:lang w:eastAsia="zh-CN"/>
        </w:rPr>
      </w:pPr>
    </w:p>
    <w:p>
      <w:pPr>
        <w:widowControl/>
        <w:shd w:val="clear" w:color="auto" w:fill="FFFFFF"/>
        <w:spacing w:line="600" w:lineRule="exact"/>
        <w:ind w:firstLine="640" w:firstLineChars="200"/>
        <w:rPr>
          <w:rFonts w:ascii="宋体" w:hAnsi="宋体" w:eastAsia="仿宋_GB2312" w:cs="宋体"/>
          <w:b w:val="0"/>
          <w:bCs w:val="0"/>
          <w:color w:val="auto"/>
          <w:kern w:val="0"/>
          <w:sz w:val="32"/>
          <w:szCs w:val="32"/>
          <w:u w:val="none"/>
        </w:rPr>
      </w:pPr>
    </w:p>
    <w:p>
      <w:pPr>
        <w:widowControl/>
        <w:shd w:val="clear" w:color="auto" w:fill="FFFFFF"/>
        <w:spacing w:line="600" w:lineRule="exact"/>
        <w:ind w:right="2100" w:rightChars="1000" w:firstLine="640" w:firstLineChars="200"/>
        <w:jc w:val="right"/>
        <w:rPr>
          <w:rFonts w:ascii="宋体" w:hAnsi="宋体"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法定代表人签字：</w:t>
      </w:r>
    </w:p>
    <w:p>
      <w:pPr>
        <w:widowControl/>
        <w:shd w:val="clear" w:color="auto" w:fill="FFFFFF"/>
        <w:wordWrap w:val="0"/>
        <w:spacing w:line="600" w:lineRule="exact"/>
        <w:ind w:right="2100" w:rightChars="1000"/>
        <w:jc w:val="right"/>
        <w:rPr>
          <w:rFonts w:ascii="宋体" w:hAnsi="宋体"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单  位  盖  章：</w:t>
      </w:r>
    </w:p>
    <w:p>
      <w:pPr>
        <w:widowControl/>
        <w:shd w:val="clear" w:color="auto" w:fill="FFFFFF"/>
        <w:spacing w:line="600" w:lineRule="exact"/>
        <w:rPr>
          <w:rFonts w:ascii="宋体" w:hAnsi="宋体" w:eastAsia="仿宋_GB2312" w:cs="宋体"/>
          <w:b w:val="0"/>
          <w:bCs w:val="0"/>
          <w:color w:val="auto"/>
          <w:kern w:val="0"/>
          <w:sz w:val="32"/>
          <w:szCs w:val="32"/>
          <w:u w:val="none"/>
        </w:rPr>
      </w:pPr>
    </w:p>
    <w:p>
      <w:pPr>
        <w:widowControl/>
        <w:shd w:val="clear" w:color="auto" w:fill="FFFFFF"/>
        <w:spacing w:line="600" w:lineRule="exact"/>
        <w:rPr>
          <w:rFonts w:ascii="宋体" w:hAnsi="宋体" w:eastAsia="仿宋_GB2312" w:cs="宋体"/>
          <w:b w:val="0"/>
          <w:bCs w:val="0"/>
          <w:color w:val="auto"/>
          <w:kern w:val="0"/>
          <w:sz w:val="32"/>
          <w:szCs w:val="32"/>
          <w:u w:val="none"/>
        </w:rPr>
      </w:pPr>
    </w:p>
    <w:p>
      <w:pPr>
        <w:widowControl/>
        <w:shd w:val="clear" w:color="auto" w:fill="FFFFFF"/>
        <w:spacing w:line="600" w:lineRule="exact"/>
        <w:ind w:right="1260" w:rightChars="600"/>
        <w:jc w:val="right"/>
        <w:rPr>
          <w:rFonts w:ascii="仿宋_GB2312" w:hAnsi="仿宋" w:eastAsia="仿宋_GB2312" w:cs="宋体"/>
          <w:b w:val="0"/>
          <w:bCs w:val="0"/>
          <w:color w:val="auto"/>
          <w:kern w:val="0"/>
          <w:sz w:val="32"/>
          <w:szCs w:val="32"/>
          <w:u w:val="none"/>
        </w:rPr>
      </w:pPr>
      <w:r>
        <w:rPr>
          <w:rFonts w:hint="eastAsia" w:ascii="宋体" w:hAnsi="宋体" w:eastAsia="仿宋_GB2312" w:cs="宋体"/>
          <w:b w:val="0"/>
          <w:bCs w:val="0"/>
          <w:color w:val="auto"/>
          <w:kern w:val="0"/>
          <w:sz w:val="32"/>
          <w:szCs w:val="32"/>
          <w:u w:val="none"/>
        </w:rPr>
        <w:t>年     月     日</w:t>
      </w:r>
    </w:p>
    <w:p>
      <w:pPr>
        <w:widowControl/>
        <w:shd w:val="clear" w:color="auto" w:fill="FFFFFF"/>
        <w:spacing w:line="600" w:lineRule="exact"/>
        <w:ind w:right="420" w:rightChars="200" w:firstLine="640" w:firstLineChars="200"/>
        <w:jc w:val="right"/>
        <w:rPr>
          <w:rFonts w:ascii="仿宋_GB2312" w:hAnsi="仿宋" w:eastAsia="仿宋_GB2312" w:cs="宋体"/>
          <w:b w:val="0"/>
          <w:bCs w:val="0"/>
          <w:color w:val="auto"/>
          <w:kern w:val="0"/>
          <w:sz w:val="32"/>
          <w:szCs w:val="32"/>
          <w:u w:val="none"/>
        </w:rPr>
      </w:pPr>
    </w:p>
    <w:p>
      <w:pPr>
        <w:spacing w:line="600" w:lineRule="exact"/>
        <w:rPr>
          <w:rFonts w:ascii="仿宋_GB2312" w:hAnsi="仿宋" w:eastAsia="仿宋_GB2312"/>
          <w:b w:val="0"/>
          <w:bCs w:val="0"/>
          <w:color w:val="auto"/>
          <w:sz w:val="32"/>
          <w:szCs w:val="32"/>
          <w:u w:val="none"/>
        </w:rPr>
      </w:pPr>
    </w:p>
    <w:p>
      <w:pPr>
        <w:widowControl/>
        <w:shd w:val="clear" w:color="auto" w:fill="FFFFFF"/>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b w:val="0"/>
          <w:bCs w:val="0"/>
          <w:color w:val="auto"/>
          <w:szCs w:val="32"/>
          <w:u w:val="none"/>
        </w:rPr>
        <w:br w:type="page"/>
      </w:r>
      <w:r>
        <w:rPr>
          <w:rFonts w:hint="eastAsia" w:ascii="仿宋_GB2312" w:hAnsi="仿宋" w:eastAsia="仿宋_GB2312" w:cs="宋体"/>
          <w:b w:val="0"/>
          <w:bCs w:val="0"/>
          <w:color w:val="auto"/>
          <w:kern w:val="0"/>
          <w:sz w:val="32"/>
          <w:szCs w:val="32"/>
          <w:u w:val="none"/>
        </w:rPr>
        <w:t>一、企业基本情况表</w:t>
      </w:r>
    </w:p>
    <w:tbl>
      <w:tblPr>
        <w:tblStyle w:val="7"/>
        <w:tblW w:w="95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1620"/>
        <w:gridCol w:w="441"/>
        <w:gridCol w:w="912"/>
        <w:gridCol w:w="447"/>
        <w:gridCol w:w="20"/>
        <w:gridCol w:w="1273"/>
        <w:gridCol w:w="29"/>
        <w:gridCol w:w="298"/>
        <w:gridCol w:w="380"/>
        <w:gridCol w:w="20"/>
        <w:gridCol w:w="6"/>
        <w:gridCol w:w="1196"/>
        <w:gridCol w:w="1258"/>
        <w:gridCol w:w="1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企业名称</w:t>
            </w:r>
          </w:p>
        </w:tc>
        <w:tc>
          <w:tcPr>
            <w:tcW w:w="2061"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681"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所属/主管部门</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经营地址</w:t>
            </w:r>
          </w:p>
        </w:tc>
        <w:tc>
          <w:tcPr>
            <w:tcW w:w="7933" w:type="dxa"/>
            <w:gridSpan w:val="1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邮政编码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122"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固定办公面积</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法人代表</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总经理</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技术负责人</w:t>
            </w:r>
          </w:p>
        </w:tc>
        <w:tc>
          <w:tcPr>
            <w:tcW w:w="1291"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联系人</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职务</w:t>
            </w: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联系电话</w:t>
            </w:r>
          </w:p>
        </w:tc>
        <w:tc>
          <w:tcPr>
            <w:tcW w:w="1291"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营业执照</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注册号</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成立时间</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注册资金</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69"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企业类型</w:t>
            </w:r>
          </w:p>
        </w:tc>
        <w:tc>
          <w:tcPr>
            <w:tcW w:w="3191" w:type="dxa"/>
            <w:gridSpan w:val="8"/>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注册地址</w:t>
            </w:r>
          </w:p>
        </w:tc>
        <w:tc>
          <w:tcPr>
            <w:tcW w:w="63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1620" w:type="dxa"/>
            <w:vMerge w:val="restart"/>
            <w:tcMar>
              <w:top w:w="0" w:type="dxa"/>
              <w:left w:w="108" w:type="dxa"/>
              <w:bottom w:w="0" w:type="dxa"/>
              <w:right w:w="108" w:type="dxa"/>
            </w:tcMar>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资质情况</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证书编号</w:t>
            </w:r>
          </w:p>
        </w:tc>
        <w:tc>
          <w:tcPr>
            <w:tcW w:w="63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主项资质</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74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批准时间</w:t>
            </w:r>
          </w:p>
        </w:tc>
        <w:tc>
          <w:tcPr>
            <w:tcW w:w="3220" w:type="dxa"/>
            <w:gridSpan w:val="9"/>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增项资质</w:t>
            </w:r>
          </w:p>
        </w:tc>
        <w:tc>
          <w:tcPr>
            <w:tcW w:w="6313" w:type="dxa"/>
            <w:gridSpan w:val="1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6313" w:type="dxa"/>
            <w:gridSpan w:val="1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trPr>
        <w:tc>
          <w:tcPr>
            <w:tcW w:w="162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安全生产许可证</w:t>
            </w: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证书编号</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有效日期</w:t>
            </w:r>
          </w:p>
        </w:tc>
        <w:tc>
          <w:tcPr>
            <w:tcW w:w="28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trPr>
        <w:tc>
          <w:tcPr>
            <w:tcW w:w="3240"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安全质量标准化认证</w:t>
            </w:r>
          </w:p>
        </w:tc>
        <w:tc>
          <w:tcPr>
            <w:tcW w:w="180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□是 □否</w:t>
            </w:r>
          </w:p>
        </w:tc>
        <w:tc>
          <w:tcPr>
            <w:tcW w:w="16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认证时间</w:t>
            </w:r>
          </w:p>
        </w:tc>
        <w:tc>
          <w:tcPr>
            <w:tcW w:w="2893" w:type="dxa"/>
            <w:gridSpan w:val="7"/>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财务生产</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经营状况</w:t>
            </w: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资产总额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净资产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净利润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上年度共缴纳税金   万元，其中在邵阳行政区共缴纳税金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上年度建筑业总产值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342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上年度科技研发经费        万元</w:t>
            </w:r>
          </w:p>
        </w:tc>
        <w:tc>
          <w:tcPr>
            <w:tcW w:w="4513" w:type="dxa"/>
            <w:gridSpan w:val="11"/>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上年度安全文明措施费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7933" w:type="dxa"/>
            <w:gridSpan w:val="15"/>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上年度职工教育培训费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4"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企业业绩情况（说明：市外企业仅限申报邵阳市行政区业绩）</w:t>
            </w:r>
          </w:p>
        </w:tc>
        <w:tc>
          <w:tcPr>
            <w:tcW w:w="7933" w:type="dxa"/>
            <w:gridSpan w:val="1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上年度签订的合同个数 ：      个；</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其中：邵阳市外拓      个；市内       个；</w:t>
            </w:r>
          </w:p>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cantSplit/>
          <w:trHeight w:val="1318"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在建工程数量</w:t>
            </w:r>
          </w:p>
        </w:tc>
        <w:tc>
          <w:tcPr>
            <w:tcW w:w="1353" w:type="dxa"/>
            <w:gridSpan w:val="2"/>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447" w:type="dxa"/>
            <w:gridSpan w:val="6"/>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在建工程情况总投资额</w:t>
            </w:r>
          </w:p>
        </w:tc>
        <w:tc>
          <w:tcPr>
            <w:tcW w:w="2493" w:type="dxa"/>
            <w:gridSpan w:val="5"/>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cantSplit/>
          <w:trHeight w:val="567"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7913" w:type="dxa"/>
            <w:gridSpan w:val="1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719"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5000万以上项目个数</w:t>
            </w:r>
          </w:p>
        </w:tc>
        <w:tc>
          <w:tcPr>
            <w:tcW w:w="1820" w:type="dxa"/>
            <w:gridSpan w:val="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8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2000-5000万项目个数</w:t>
            </w:r>
          </w:p>
        </w:tc>
        <w:tc>
          <w:tcPr>
            <w:tcW w:w="248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52"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500-2000万项目个数</w:t>
            </w:r>
          </w:p>
        </w:tc>
        <w:tc>
          <w:tcPr>
            <w:tcW w:w="1820" w:type="dxa"/>
            <w:gridSpan w:val="4"/>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980" w:type="dxa"/>
            <w:gridSpan w:val="4"/>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500万以下项目个数</w:t>
            </w:r>
          </w:p>
        </w:tc>
        <w:tc>
          <w:tcPr>
            <w:tcW w:w="248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企业人员情况</w:t>
            </w: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注册建造师人数</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一级</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二级</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625" w:hRule="atLeast"/>
        </w:trPr>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6" w:type="dxa"/>
            <w:gridSpan w:val="6"/>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临时</w:t>
            </w:r>
          </w:p>
        </w:tc>
        <w:tc>
          <w:tcPr>
            <w:tcW w:w="2454" w:type="dxa"/>
            <w:gridSpan w:val="2"/>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2"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restart"/>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工程师类人员</w:t>
            </w:r>
          </w:p>
        </w:tc>
        <w:tc>
          <w:tcPr>
            <w:tcW w:w="1820" w:type="dxa"/>
            <w:gridSpan w:val="4"/>
            <w:vMerge w:val="restart"/>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人</w:t>
            </w: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质量员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施工员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311"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820" w:type="dxa"/>
            <w:gridSpan w:val="4"/>
            <w:vMerge w:val="continue"/>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其他人员</w:t>
            </w:r>
          </w:p>
        </w:tc>
        <w:tc>
          <w:tcPr>
            <w:tcW w:w="2460" w:type="dxa"/>
            <w:gridSpan w:val="3"/>
            <w:shd w:val="clear" w:color="auto" w:fill="auto"/>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3" w:type="dxa"/>
          <w:cantSplit/>
          <w:trHeight w:val="434" w:hRule="atLeast"/>
        </w:trPr>
        <w:tc>
          <w:tcPr>
            <w:tcW w:w="1620" w:type="dxa"/>
            <w:vMerge w:val="continue"/>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p>
        </w:tc>
        <w:tc>
          <w:tcPr>
            <w:tcW w:w="1620"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三类人员</w:t>
            </w:r>
          </w:p>
        </w:tc>
        <w:tc>
          <w:tcPr>
            <w:tcW w:w="1820" w:type="dxa"/>
            <w:gridSpan w:val="4"/>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A类    人</w:t>
            </w:r>
          </w:p>
        </w:tc>
        <w:tc>
          <w:tcPr>
            <w:tcW w:w="2000" w:type="dxa"/>
            <w:gridSpan w:val="5"/>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B类     人</w:t>
            </w:r>
          </w:p>
        </w:tc>
        <w:tc>
          <w:tcPr>
            <w:tcW w:w="2460" w:type="dxa"/>
            <w:gridSpan w:val="3"/>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C类        人</w:t>
            </w: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注：1、市外企业除填写注册地址外，另需填写本市服务处所；2、上年度建筑业总产值以邵阳市统计局统计数为准；3、上述表格内容附相关证明材料复印件。</w:t>
      </w:r>
    </w:p>
    <w:p>
      <w:pPr>
        <w:widowControl/>
        <w:shd w:val="clear" w:color="auto" w:fill="FFFFFF"/>
        <w:spacing w:line="600" w:lineRule="exact"/>
        <w:ind w:firstLine="1280" w:firstLineChars="400"/>
        <w:rPr>
          <w:rFonts w:ascii="仿宋_GB2312" w:hAnsi="仿宋" w:eastAsia="仿宋_GB2312" w:cs="宋体"/>
          <w:b w:val="0"/>
          <w:bCs w:val="0"/>
          <w:color w:val="auto"/>
          <w:kern w:val="0"/>
          <w:sz w:val="32"/>
          <w:szCs w:val="32"/>
          <w:u w:val="none"/>
        </w:rPr>
        <w:sectPr>
          <w:headerReference r:id="rId3" w:type="default"/>
          <w:footerReference r:id="rId4" w:type="default"/>
          <w:footerReference r:id="rId5" w:type="even"/>
          <w:pgSz w:w="11906" w:h="16838"/>
          <w:pgMar w:top="1701" w:right="1474" w:bottom="1701" w:left="1474" w:header="851" w:footer="992" w:gutter="0"/>
          <w:cols w:space="0" w:num="1"/>
          <w:docGrid w:type="lines" w:linePitch="318" w:charSpace="0"/>
        </w:sectPr>
      </w:pPr>
    </w:p>
    <w:p>
      <w:pPr>
        <w:widowControl/>
        <w:shd w:val="clear" w:color="auto" w:fill="FFFFFF"/>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二、工程项目汇总表</w:t>
      </w:r>
    </w:p>
    <w:p>
      <w:pPr>
        <w:widowControl/>
        <w:shd w:val="clear" w:color="auto" w:fill="FFFFFF"/>
        <w:spacing w:line="600" w:lineRule="exact"/>
        <w:ind w:firstLine="48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 w:val="24"/>
          <w:u w:val="none"/>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02"/>
        <w:gridCol w:w="1597"/>
        <w:gridCol w:w="1597"/>
        <w:gridCol w:w="1598"/>
        <w:gridCol w:w="867"/>
        <w:gridCol w:w="1001"/>
        <w:gridCol w:w="1266"/>
        <w:gridCol w:w="1336"/>
        <w:gridCol w:w="830"/>
        <w:gridCol w:w="2126"/>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jc w:val="center"/>
        </w:trPr>
        <w:tc>
          <w:tcPr>
            <w:tcW w:w="1002"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序号</w:t>
            </w:r>
          </w:p>
        </w:tc>
        <w:tc>
          <w:tcPr>
            <w:tcW w:w="1597"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项 目 名 称</w:t>
            </w:r>
          </w:p>
        </w:tc>
        <w:tc>
          <w:tcPr>
            <w:tcW w:w="1597"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 设</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单 位</w:t>
            </w:r>
          </w:p>
        </w:tc>
        <w:tc>
          <w:tcPr>
            <w:tcW w:w="1598" w:type="dxa"/>
            <w:tcMar>
              <w:top w:w="0" w:type="dxa"/>
              <w:left w:w="108" w:type="dxa"/>
              <w:bottom w:w="0" w:type="dxa"/>
              <w:right w:w="108" w:type="dxa"/>
            </w:tcMar>
            <w:vAlign w:val="center"/>
          </w:tcPr>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 程</w:t>
            </w:r>
          </w:p>
          <w:p>
            <w:pPr>
              <w:widowControl/>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地 点</w:t>
            </w:r>
          </w:p>
        </w:tc>
        <w:tc>
          <w:tcPr>
            <w:tcW w:w="867"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 程</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规 模</w:t>
            </w:r>
          </w:p>
        </w:tc>
        <w:tc>
          <w:tcPr>
            <w:tcW w:w="1001"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合同  额</w:t>
            </w:r>
          </w:p>
        </w:tc>
        <w:tc>
          <w:tcPr>
            <w:tcW w:w="126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合同起</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止时间</w:t>
            </w:r>
          </w:p>
        </w:tc>
        <w:tc>
          <w:tcPr>
            <w:tcW w:w="133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项目经理姓名</w:t>
            </w:r>
          </w:p>
        </w:tc>
        <w:tc>
          <w:tcPr>
            <w:tcW w:w="830"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形 象</w:t>
            </w:r>
          </w:p>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进 度</w:t>
            </w:r>
          </w:p>
        </w:tc>
        <w:tc>
          <w:tcPr>
            <w:tcW w:w="2126"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建设单位联系人姓名、电话</w:t>
            </w:r>
          </w:p>
        </w:tc>
        <w:tc>
          <w:tcPr>
            <w:tcW w:w="1134" w:type="dxa"/>
            <w:tcMar>
              <w:top w:w="0" w:type="dxa"/>
              <w:left w:w="108" w:type="dxa"/>
              <w:bottom w:w="0" w:type="dxa"/>
              <w:right w:w="108" w:type="dxa"/>
            </w:tcMar>
            <w:vAlign w:val="center"/>
          </w:tcPr>
          <w:p>
            <w:pPr>
              <w:widowControl/>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jc w:val="center"/>
        </w:trPr>
        <w:tc>
          <w:tcPr>
            <w:tcW w:w="1002"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598"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67"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001"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26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33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830"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2126"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c>
          <w:tcPr>
            <w:tcW w:w="1134" w:type="dxa"/>
            <w:tcMar>
              <w:top w:w="0" w:type="dxa"/>
              <w:left w:w="108" w:type="dxa"/>
              <w:bottom w:w="0" w:type="dxa"/>
              <w:right w:w="108" w:type="dxa"/>
            </w:tcMar>
            <w:vAlign w:val="center"/>
          </w:tcPr>
          <w:p>
            <w:pPr>
              <w:widowControl/>
              <w:spacing w:line="600" w:lineRule="exact"/>
              <w:ind w:firstLine="600" w:firstLineChars="200"/>
              <w:jc w:val="center"/>
              <w:rPr>
                <w:rFonts w:ascii="仿宋_GB2312" w:hAnsi="仿宋" w:eastAsia="仿宋_GB2312" w:cs="宋体"/>
                <w:b w:val="0"/>
                <w:bCs w:val="0"/>
                <w:color w:val="auto"/>
                <w:kern w:val="0"/>
                <w:sz w:val="30"/>
                <w:szCs w:val="30"/>
                <w:u w:val="none"/>
              </w:rPr>
            </w:pP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注：1、请填写上年度工程项目情况，并提供工程施工合同、施工许可证复印件（招标项目另附中标通知书复印件）；</w:t>
      </w:r>
    </w:p>
    <w:p>
      <w:pPr>
        <w:widowControl/>
        <w:shd w:val="clear" w:color="auto" w:fill="FFFFFF"/>
        <w:spacing w:line="600" w:lineRule="exact"/>
        <w:ind w:firstLine="1120" w:firstLineChars="4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2、工程规模是填写项目的投资额或建筑面积、高度、层数、结构等；市政工程填写道路长度或面积等市政类工程指标；</w:t>
      </w:r>
    </w:p>
    <w:p>
      <w:pPr>
        <w:widowControl/>
        <w:shd w:val="clear" w:color="auto" w:fill="FFFFFF"/>
        <w:spacing w:line="600" w:lineRule="exact"/>
        <w:ind w:firstLine="1120" w:firstLineChars="400"/>
        <w:rPr>
          <w:rFonts w:ascii="仿宋_GB2312" w:hAnsi="仿宋" w:eastAsia="仿宋_GB2312" w:cs="宋体"/>
          <w:b w:val="0"/>
          <w:bCs w:val="0"/>
          <w:color w:val="auto"/>
          <w:kern w:val="0"/>
          <w:sz w:val="28"/>
          <w:szCs w:val="28"/>
          <w:u w:val="none"/>
        </w:rPr>
        <w:sectPr>
          <w:pgSz w:w="16838" w:h="11906" w:orient="landscape"/>
          <w:pgMar w:top="1287" w:right="624" w:bottom="1797" w:left="936" w:header="851" w:footer="992" w:gutter="0"/>
          <w:cols w:space="425" w:num="1"/>
          <w:docGrid w:type="linesAndChars" w:linePitch="312" w:charSpace="0"/>
        </w:sectPr>
      </w:pPr>
      <w:r>
        <w:rPr>
          <w:rFonts w:hint="eastAsia" w:ascii="仿宋_GB2312" w:hAnsi="仿宋" w:eastAsia="仿宋_GB2312" w:cs="宋体"/>
          <w:b w:val="0"/>
          <w:bCs w:val="0"/>
          <w:color w:val="auto"/>
          <w:kern w:val="0"/>
          <w:sz w:val="28"/>
          <w:szCs w:val="28"/>
          <w:u w:val="none"/>
        </w:rPr>
        <w:t>3、只要求填报邵阳市行政区划内工程及本市企业外拓工程。</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三、质量、安全施工情况</w:t>
      </w:r>
    </w:p>
    <w:p>
      <w:pPr>
        <w:widowControl/>
        <w:shd w:val="clear" w:color="auto" w:fill="FFFFFF"/>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（提供上年度邵阳市行政区划内工程以及本市企业外拓工程质量、安全施工情况）</w:t>
      </w:r>
    </w:p>
    <w:p>
      <w:pPr>
        <w:spacing w:line="600" w:lineRule="exact"/>
        <w:rPr>
          <w:rFonts w:ascii="仿宋_GB2312" w:hAnsi="仿宋" w:eastAsia="仿宋_GB2312" w:cs="宋体"/>
          <w:b w:val="0"/>
          <w:bCs w:val="0"/>
          <w:color w:val="auto"/>
          <w:kern w:val="0"/>
          <w:sz w:val="32"/>
          <w:szCs w:val="32"/>
          <w:u w:val="none"/>
        </w:rPr>
      </w:pPr>
    </w:p>
    <w:tbl>
      <w:tblPr>
        <w:tblStyle w:val="7"/>
        <w:tblW w:w="895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105"/>
        <w:gridCol w:w="1145"/>
        <w:gridCol w:w="160"/>
        <w:gridCol w:w="1559"/>
        <w:gridCol w:w="598"/>
        <w:gridCol w:w="9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竣工工程</w:t>
            </w:r>
          </w:p>
        </w:tc>
        <w:tc>
          <w:tcPr>
            <w:tcW w:w="2250" w:type="dxa"/>
            <w:gridSpan w:val="2"/>
          </w:tcPr>
          <w:p>
            <w:pPr>
              <w:spacing w:line="600" w:lineRule="exact"/>
              <w:ind w:firstLine="420" w:firstLineChars="200"/>
              <w:rPr>
                <w:rFonts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
              </w:rPr>
              <w:t>(</w:t>
            </w:r>
            <w:r>
              <w:rPr>
                <w:rFonts w:hint="eastAsia" w:ascii="仿宋_GB2312" w:hAnsi="仿宋" w:eastAsia="仿宋_GB2312" w:cs="宋体"/>
                <w:b w:val="0"/>
                <w:bCs w:val="0"/>
                <w:color w:val="auto"/>
                <w:kern w:val="0"/>
                <w:szCs w:val="21"/>
                <w:u w:val="none"/>
              </w:rPr>
              <w:t>个)</w:t>
            </w:r>
          </w:p>
        </w:tc>
        <w:tc>
          <w:tcPr>
            <w:tcW w:w="2317" w:type="dxa"/>
            <w:gridSpan w:val="3"/>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合格率</w:t>
            </w:r>
          </w:p>
        </w:tc>
        <w:tc>
          <w:tcPr>
            <w:tcW w:w="3092"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优良率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质量事故</w:t>
            </w:r>
          </w:p>
        </w:tc>
        <w:tc>
          <w:tcPr>
            <w:tcW w:w="110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（级）</w:t>
            </w:r>
          </w:p>
        </w:tc>
        <w:tc>
          <w:tcPr>
            <w:tcW w:w="1305"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（起）</w:t>
            </w:r>
          </w:p>
        </w:tc>
        <w:tc>
          <w:tcPr>
            <w:tcW w:w="1559"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死亡   （人）</w:t>
            </w:r>
          </w:p>
        </w:tc>
        <w:tc>
          <w:tcPr>
            <w:tcW w:w="1559"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重伤   （人）  </w:t>
            </w:r>
          </w:p>
        </w:tc>
        <w:tc>
          <w:tcPr>
            <w:tcW w:w="2131"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经济损失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安全事故</w:t>
            </w:r>
          </w:p>
        </w:tc>
        <w:tc>
          <w:tcPr>
            <w:tcW w:w="1105"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（级）</w:t>
            </w:r>
          </w:p>
        </w:tc>
        <w:tc>
          <w:tcPr>
            <w:tcW w:w="1305"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    （起）</w:t>
            </w:r>
          </w:p>
        </w:tc>
        <w:tc>
          <w:tcPr>
            <w:tcW w:w="1559"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死亡   （人）</w:t>
            </w:r>
          </w:p>
        </w:tc>
        <w:tc>
          <w:tcPr>
            <w:tcW w:w="1559" w:type="dxa"/>
            <w:gridSpan w:val="2"/>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 xml:space="preserve">重伤    （人）  </w:t>
            </w:r>
          </w:p>
        </w:tc>
        <w:tc>
          <w:tcPr>
            <w:tcW w:w="2131" w:type="dxa"/>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经济损失   （万元）</w:t>
            </w:r>
          </w:p>
        </w:tc>
      </w:tr>
    </w:tbl>
    <w:p>
      <w:pPr>
        <w:spacing w:line="600" w:lineRule="exact"/>
        <w:ind w:firstLine="640" w:firstLineChars="200"/>
        <w:rPr>
          <w:rFonts w:ascii="黑体" w:hAnsi="黑体" w:eastAsia="黑体"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四、违法违规查处记录 </w:t>
      </w:r>
    </w:p>
    <w:p>
      <w:pPr>
        <w:spacing w:line="600" w:lineRule="exact"/>
        <w:ind w:firstLine="600" w:firstLineChars="200"/>
        <w:rPr>
          <w:rFonts w:ascii="仿宋_GB2312" w:hAnsi="仿宋" w:eastAsia="仿宋_GB2312" w:cs="宋体"/>
          <w:b w:val="0"/>
          <w:bCs w:val="0"/>
          <w:color w:val="auto"/>
          <w:kern w:val="0"/>
          <w:sz w:val="30"/>
          <w:szCs w:val="30"/>
          <w:u w:val="none"/>
        </w:rPr>
      </w:pPr>
    </w:p>
    <w:tbl>
      <w:tblPr>
        <w:tblStyle w:val="7"/>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163"/>
        <w:gridCol w:w="2117"/>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程</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名</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称</w:t>
            </w:r>
          </w:p>
        </w:tc>
        <w:tc>
          <w:tcPr>
            <w:tcW w:w="2163"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违 规 事 项</w:t>
            </w:r>
          </w:p>
        </w:tc>
        <w:tc>
          <w:tcPr>
            <w:tcW w:w="2117"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处 理 时 间</w:t>
            </w:r>
          </w:p>
        </w:tc>
        <w:tc>
          <w:tcPr>
            <w:tcW w:w="2343"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处</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理</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结</w:t>
            </w:r>
            <w:r>
              <w:rPr>
                <w:rFonts w:hint="eastAsia" w:ascii="宋体"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63"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117"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2343"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bl>
    <w:p>
      <w:pPr>
        <w:widowControl/>
        <w:shd w:val="clear" w:color="auto" w:fill="FFFFFF"/>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注：本表填报企业申报上年度的邵阳行政区划内工程以及本市企业外拓工程的行政处罚决定书、不良行为记录、受到相关部门的处理情况等。</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五、获奖记录</w:t>
      </w:r>
    </w:p>
    <w:p>
      <w:pPr>
        <w:spacing w:line="600" w:lineRule="exact"/>
        <w:ind w:firstLine="600" w:firstLineChars="200"/>
        <w:rPr>
          <w:rFonts w:ascii="仿宋_GB2312" w:hAnsi="仿宋" w:eastAsia="仿宋_GB2312" w:cs="宋体"/>
          <w:b w:val="0"/>
          <w:bCs w:val="0"/>
          <w:color w:val="auto"/>
          <w:kern w:val="0"/>
          <w:sz w:val="30"/>
          <w:szCs w:val="30"/>
          <w:u w:val="none"/>
        </w:rPr>
      </w:pP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835"/>
        <w:gridCol w:w="1681"/>
        <w:gridCol w:w="191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92"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工程名称</w:t>
            </w:r>
          </w:p>
        </w:tc>
        <w:tc>
          <w:tcPr>
            <w:tcW w:w="1835"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获奖内容</w:t>
            </w:r>
          </w:p>
        </w:tc>
        <w:tc>
          <w:tcPr>
            <w:tcW w:w="1681" w:type="dxa"/>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获奖时间</w:t>
            </w:r>
          </w:p>
        </w:tc>
        <w:tc>
          <w:tcPr>
            <w:tcW w:w="1919" w:type="dxa"/>
          </w:tcPr>
          <w:p>
            <w:pPr>
              <w:spacing w:line="600" w:lineRule="exact"/>
              <w:jc w:val="center"/>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获奖单位</w:t>
            </w:r>
          </w:p>
        </w:tc>
        <w:tc>
          <w:tcPr>
            <w:tcW w:w="1681" w:type="dxa"/>
          </w:tcPr>
          <w:p>
            <w:pPr>
              <w:spacing w:line="600" w:lineRule="exact"/>
              <w:jc w:val="center"/>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92"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835"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919" w:type="dxa"/>
          </w:tcPr>
          <w:p>
            <w:pPr>
              <w:spacing w:line="600" w:lineRule="exact"/>
              <w:ind w:firstLine="600" w:firstLineChars="200"/>
              <w:rPr>
                <w:rFonts w:ascii="仿宋_GB2312" w:hAnsi="仿宋" w:eastAsia="仿宋_GB2312" w:cs="宋体"/>
                <w:b w:val="0"/>
                <w:bCs w:val="0"/>
                <w:color w:val="auto"/>
                <w:kern w:val="0"/>
                <w:sz w:val="30"/>
                <w:szCs w:val="30"/>
                <w:u w:val="none"/>
              </w:rPr>
            </w:pPr>
          </w:p>
        </w:tc>
        <w:tc>
          <w:tcPr>
            <w:tcW w:w="1681" w:type="dxa"/>
          </w:tcPr>
          <w:p>
            <w:pPr>
              <w:spacing w:line="600" w:lineRule="exact"/>
              <w:ind w:firstLine="600" w:firstLineChars="200"/>
              <w:rPr>
                <w:rFonts w:ascii="仿宋_GB2312" w:hAnsi="仿宋" w:eastAsia="仿宋_GB2312" w:cs="宋体"/>
                <w:b w:val="0"/>
                <w:bCs w:val="0"/>
                <w:color w:val="auto"/>
                <w:kern w:val="0"/>
                <w:sz w:val="30"/>
                <w:szCs w:val="30"/>
                <w:u w:val="none"/>
              </w:rPr>
            </w:pPr>
          </w:p>
        </w:tc>
      </w:tr>
    </w:tbl>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注：1、获奖项目是指邵阳市行政区划内项目或本市企业外拓获奖工程；2、邵阳市行政区划内项目或邵阳市属企业外拓工程项目如获得相关奖项的，请在备注栏简要注明项目获奖名称；其中获得鲁班奖、国家优质工程奖、詹天佑奖、中国建筑工程装饰奖、中国安装之星、中国钢结构金奖等国家奖项为相关表彰通知发布之日起有效期为2年；获得芙蓉奖、湖南省优质工程、全国范围组织学习交流的建设工程项目施工安全生产标准化工地等省级奖项为相关表彰通知发布之日起有效期为1年；获得湖南省建筑施工考评优良工地奖项、邵阳市优质工程等奖项为相关表彰通知发布之日起有效期为1年。</w:t>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六、申请审批表</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 xml:space="preserve">企业自评打分：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申请评定等级：</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280" w:firstLineChars="1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县市建设行政主管部门或市相关行业协会推荐意见：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经审核，该公司申报资料符合要求，同意推荐该公司信用等级评定为：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A</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napToGrid w:val="0"/>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p>
          <w:p>
            <w:pPr>
              <w:spacing w:line="600" w:lineRule="exact"/>
              <w:ind w:firstLine="4060" w:firstLineChars="145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市评价办意见：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经评定及考核委员会评审，同意该公司信用等级评定为：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r>
              <w:rPr>
                <w:rFonts w:hint="eastAsia" w:ascii="宋体" w:hAnsi="宋体" w:eastAsia="仿宋_GB2312" w:cs="宋体"/>
                <w:b w:val="0"/>
                <w:bCs w:val="0"/>
                <w:color w:val="auto"/>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73" w:type="dxa"/>
          </w:tcPr>
          <w:p>
            <w:pPr>
              <w:spacing w:line="600" w:lineRule="exact"/>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市评价办领导小组审批意见：</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经审核，同意该公司信用等级评定为：</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□A级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B</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C</w:t>
            </w:r>
            <w:r>
              <w:rPr>
                <w:rFonts w:hint="eastAsia" w:ascii="仿宋_GB2312" w:hAnsi="仿宋" w:eastAsia="仿宋_GB2312" w:cs="宋体"/>
                <w:b w:val="0"/>
                <w:bCs w:val="0"/>
                <w:color w:val="auto"/>
                <w:kern w:val="0"/>
                <w:sz w:val="28"/>
                <w:szCs w:val="28"/>
                <w:u w:val="none"/>
              </w:rPr>
              <w:t>级</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w:t>
            </w:r>
            <w:r>
              <w:rPr>
                <w:rFonts w:hint="eastAsia" w:ascii="仿宋_GB2312" w:hAnsi="仿宋" w:eastAsia="仿宋_GB2312" w:cs="宋体"/>
                <w:b w:val="0"/>
                <w:bCs w:val="0"/>
                <w:color w:val="auto"/>
                <w:kern w:val="0"/>
                <w:sz w:val="28"/>
                <w:szCs w:val="28"/>
                <w:u w:val="none"/>
                <w:lang w:val="en-US" w:eastAsia="zh-CN"/>
              </w:rPr>
              <w:t>D</w:t>
            </w:r>
            <w:r>
              <w:rPr>
                <w:rFonts w:hint="eastAsia" w:ascii="仿宋_GB2312" w:hAnsi="仿宋" w:eastAsia="仿宋_GB2312" w:cs="宋体"/>
                <w:b w:val="0"/>
                <w:bCs w:val="0"/>
                <w:color w:val="auto"/>
                <w:kern w:val="0"/>
                <w:sz w:val="28"/>
                <w:szCs w:val="28"/>
                <w:u w:val="none"/>
              </w:rPr>
              <w:t>级</w:t>
            </w:r>
          </w:p>
          <w:p>
            <w:pPr>
              <w:spacing w:line="600" w:lineRule="exact"/>
              <w:ind w:firstLine="560" w:firstLineChars="200"/>
              <w:rPr>
                <w:rFonts w:ascii="仿宋_GB2312" w:hAnsi="仿宋" w:eastAsia="仿宋_GB2312" w:cs="宋体"/>
                <w:b w:val="0"/>
                <w:bCs w:val="0"/>
                <w:color w:val="auto"/>
                <w:kern w:val="0"/>
                <w:sz w:val="28"/>
                <w:szCs w:val="28"/>
                <w:u w:val="none"/>
              </w:rPr>
            </w:pP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负责人签字：（盖章）</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 xml:space="preserve">  </w:t>
            </w:r>
          </w:p>
          <w:p>
            <w:pPr>
              <w:spacing w:line="600" w:lineRule="exact"/>
              <w:ind w:firstLine="560" w:firstLineChars="200"/>
              <w:rPr>
                <w:rFonts w:ascii="仿宋_GB2312" w:hAnsi="仿宋" w:eastAsia="仿宋_GB2312" w:cs="宋体"/>
                <w:b w:val="0"/>
                <w:bCs w:val="0"/>
                <w:color w:val="auto"/>
                <w:kern w:val="0"/>
                <w:sz w:val="28"/>
                <w:szCs w:val="28"/>
                <w:u w:val="none"/>
              </w:rPr>
            </w:pPr>
            <w:r>
              <w:rPr>
                <w:rFonts w:hint="eastAsia" w:ascii="仿宋_GB2312" w:hAnsi="仿宋" w:eastAsia="仿宋_GB2312" w:cs="宋体"/>
                <w:b w:val="0"/>
                <w:bCs w:val="0"/>
                <w:color w:val="auto"/>
                <w:kern w:val="0"/>
                <w:sz w:val="28"/>
                <w:szCs w:val="28"/>
                <w:u w:val="none"/>
              </w:rPr>
              <w:t xml:space="preserve"> 年</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月</w:t>
            </w:r>
            <w:r>
              <w:rPr>
                <w:rFonts w:hint="eastAsia" w:ascii="宋体" w:hAnsi="宋体" w:eastAsia="仿宋_GB2312" w:cs="宋体"/>
                <w:b w:val="0"/>
                <w:bCs w:val="0"/>
                <w:color w:val="auto"/>
                <w:kern w:val="0"/>
                <w:sz w:val="28"/>
                <w:szCs w:val="28"/>
                <w:u w:val="none"/>
              </w:rPr>
              <w:t>   </w:t>
            </w:r>
            <w:r>
              <w:rPr>
                <w:rFonts w:hint="eastAsia" w:ascii="仿宋_GB2312" w:hAnsi="仿宋" w:eastAsia="仿宋_GB2312" w:cs="宋体"/>
                <w:b w:val="0"/>
                <w:bCs w:val="0"/>
                <w:color w:val="auto"/>
                <w:kern w:val="0"/>
                <w:sz w:val="28"/>
                <w:szCs w:val="28"/>
                <w:u w:val="none"/>
              </w:rPr>
              <w:t>日</w:t>
            </w:r>
          </w:p>
        </w:tc>
      </w:tr>
    </w:tbl>
    <w:p>
      <w:pPr>
        <w:autoSpaceDE w:val="0"/>
        <w:autoSpaceDN w:val="0"/>
        <w:adjustRightInd w:val="0"/>
        <w:spacing w:line="600" w:lineRule="exact"/>
        <w:ind w:firstLine="600" w:firstLineChars="200"/>
        <w:rPr>
          <w:rFonts w:hint="eastAsia" w:ascii="仿宋_GB2312" w:hAnsi="仿宋" w:eastAsia="仿宋_GB2312" w:cs="宋体"/>
          <w:b/>
          <w:bCs/>
          <w:color w:val="auto"/>
          <w:kern w:val="0"/>
          <w:sz w:val="44"/>
          <w:szCs w:val="44"/>
          <w:u w:val="none"/>
        </w:rPr>
      </w:pPr>
      <w:r>
        <w:rPr>
          <w:rFonts w:hint="eastAsia" w:ascii="仿宋_GB2312" w:hAnsi="仿宋" w:eastAsia="仿宋_GB2312" w:cs="宋体"/>
          <w:b w:val="0"/>
          <w:bCs w:val="0"/>
          <w:color w:val="auto"/>
          <w:kern w:val="0"/>
          <w:sz w:val="30"/>
          <w:szCs w:val="30"/>
          <w:u w:val="none"/>
        </w:rPr>
        <w:br w:type="page"/>
      </w:r>
      <w:r>
        <w:rPr>
          <w:rFonts w:hint="eastAsia" w:ascii="仿宋_GB2312" w:hAnsi="仿宋" w:eastAsia="仿宋_GB2312" w:cs="宋体"/>
          <w:b/>
          <w:bCs/>
          <w:color w:val="auto"/>
          <w:kern w:val="0"/>
          <w:sz w:val="44"/>
          <w:szCs w:val="44"/>
          <w:u w:val="none"/>
        </w:rPr>
        <w:t>邵阳市建筑施工企业信用等级评定标准</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仿宋_GB2312" w:hAnsi="仿宋" w:eastAsia="仿宋_GB2312" w:cs="宋体"/>
          <w:b w:val="0"/>
          <w:bCs w:val="0"/>
          <w:color w:val="auto"/>
          <w:kern w:val="0"/>
          <w:sz w:val="32"/>
          <w:szCs w:val="32"/>
          <w:u w:val="none"/>
          <w:lang w:val="en-US" w:eastAsia="zh-CN"/>
        </w:rPr>
      </w:pPr>
      <w:r>
        <w:rPr>
          <w:rFonts w:hint="eastAsia" w:ascii="仿宋_GB2312" w:hAnsi="仿宋" w:eastAsia="仿宋_GB2312" w:cs="宋体"/>
          <w:b w:val="0"/>
          <w:bCs w:val="0"/>
          <w:color w:val="auto"/>
          <w:kern w:val="0"/>
          <w:sz w:val="32"/>
          <w:szCs w:val="32"/>
          <w:u w:val="none"/>
        </w:rPr>
        <w:t>申报企业</w:t>
      </w:r>
      <w:r>
        <w:rPr>
          <w:rFonts w:hint="eastAsia" w:ascii="仿宋_GB2312" w:hAnsi="仿宋" w:eastAsia="仿宋_GB2312" w:cs="宋体"/>
          <w:b w:val="0"/>
          <w:bCs w:val="0"/>
          <w:color w:val="auto"/>
          <w:kern w:val="0"/>
          <w:sz w:val="32"/>
          <w:szCs w:val="32"/>
          <w:u w:val="none"/>
          <w:lang w:eastAsia="zh-CN"/>
        </w:rPr>
        <w:t>：</w:t>
      </w:r>
      <w:r>
        <w:rPr>
          <w:rFonts w:hint="eastAsia" w:ascii="仿宋_GB2312" w:hAnsi="仿宋" w:eastAsia="仿宋_GB2312" w:cs="宋体"/>
          <w:b w:val="0"/>
          <w:bCs w:val="0"/>
          <w:color w:val="auto"/>
          <w:kern w:val="0"/>
          <w:sz w:val="32"/>
          <w:szCs w:val="32"/>
          <w:u w:val="none"/>
          <w:lang w:val="en-US" w:eastAsia="zh-CN"/>
        </w:rPr>
        <w:t>______________</w:t>
      </w: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 xml:space="preserve">一、企业内部各项管理保障体系 </w:t>
      </w:r>
      <w:r>
        <w:rPr>
          <w:rFonts w:hint="eastAsia" w:ascii="仿宋_GB2312" w:hAnsi="仿宋" w:eastAsia="仿宋_GB2312" w:cs="宋体"/>
          <w:b w:val="0"/>
          <w:bCs w:val="0"/>
          <w:color w:val="auto"/>
          <w:kern w:val="0"/>
          <w:sz w:val="32"/>
          <w:szCs w:val="32"/>
          <w:u w:val="none"/>
          <w:lang w:val="en-US" w:eastAsia="zh-CN"/>
        </w:rPr>
        <w:t>20</w:t>
      </w:r>
      <w:r>
        <w:rPr>
          <w:rFonts w:hint="eastAsia" w:ascii="仿宋_GB2312" w:hAnsi="仿宋" w:eastAsia="仿宋_GB2312" w:cs="宋体"/>
          <w:b w:val="0"/>
          <w:bCs w:val="0"/>
          <w:color w:val="auto"/>
          <w:kern w:val="0"/>
          <w:sz w:val="32"/>
          <w:szCs w:val="32"/>
          <w:u w:val="none"/>
        </w:rPr>
        <w:t>分</w:t>
      </w:r>
    </w:p>
    <w:tbl>
      <w:tblPr>
        <w:tblStyle w:val="7"/>
        <w:tblW w:w="98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6"/>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1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评定内容及标准</w:t>
            </w:r>
          </w:p>
        </w:tc>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自</w:t>
            </w:r>
          </w:p>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初评</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13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企业在邵</w:t>
            </w:r>
            <w:r>
              <w:rPr>
                <w:rFonts w:hint="eastAsia" w:ascii="仿宋_GB2312" w:hAnsi="仿宋" w:eastAsia="仿宋_GB2312" w:cs="宋体"/>
                <w:b w:val="0"/>
                <w:bCs w:val="0"/>
                <w:color w:val="auto"/>
                <w:kern w:val="0"/>
                <w:szCs w:val="21"/>
                <w:u w:val="none"/>
                <w:lang w:val="en-US" w:eastAsia="zh-CN"/>
              </w:rPr>
              <w:t>工商</w:t>
            </w:r>
            <w:r>
              <w:rPr>
                <w:rFonts w:hint="eastAsia" w:ascii="仿宋_GB2312" w:hAnsi="仿宋" w:eastAsia="仿宋_GB2312" w:cs="宋体"/>
                <w:b w:val="0"/>
                <w:bCs w:val="0"/>
                <w:color w:val="auto"/>
                <w:kern w:val="0"/>
                <w:szCs w:val="21"/>
                <w:u w:val="none"/>
              </w:rPr>
              <w:t>注册时间</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每满</w:t>
            </w:r>
            <w:r>
              <w:rPr>
                <w:rFonts w:hint="eastAsia" w:ascii="仿宋_GB2312" w:hAnsi="仿宋" w:eastAsia="仿宋_GB2312" w:cs="宋体"/>
                <w:b w:val="0"/>
                <w:bCs w:val="0"/>
                <w:color w:val="auto"/>
                <w:kern w:val="0"/>
                <w:szCs w:val="21"/>
                <w:u w:val="none"/>
              </w:rPr>
              <w:t>1年</w:t>
            </w:r>
            <w:r>
              <w:rPr>
                <w:rFonts w:hint="default" w:ascii="仿宋_GB2312" w:hAnsi="仿宋" w:eastAsia="仿宋_GB2312" w:cs="宋体"/>
                <w:b w:val="0"/>
                <w:bCs w:val="0"/>
                <w:color w:val="auto"/>
                <w:kern w:val="0"/>
                <w:szCs w:val="21"/>
                <w:u w:val="none"/>
                <w:lang w:val="en"/>
              </w:rPr>
              <w:t>(</w:t>
            </w:r>
            <w:r>
              <w:rPr>
                <w:rFonts w:hint="eastAsia" w:ascii="仿宋_GB2312" w:hAnsi="仿宋" w:eastAsia="仿宋_GB2312" w:cs="宋体"/>
                <w:b w:val="0"/>
                <w:bCs w:val="0"/>
                <w:color w:val="auto"/>
                <w:kern w:val="0"/>
                <w:szCs w:val="21"/>
                <w:u w:val="none"/>
              </w:rPr>
              <w:t>含本数)的记1分</w:t>
            </w:r>
            <w:r>
              <w:rPr>
                <w:rFonts w:hint="eastAsia" w:ascii="仿宋_GB2312" w:hAnsi="仿宋" w:eastAsia="仿宋_GB2312" w:cs="宋体"/>
                <w:b w:val="0"/>
                <w:bCs w:val="0"/>
                <w:color w:val="auto"/>
                <w:kern w:val="0"/>
                <w:szCs w:val="21"/>
                <w:u w:val="none"/>
                <w:lang w:val="en-US" w:eastAsia="zh-CN"/>
              </w:rPr>
              <w:t>；5</w:t>
            </w:r>
            <w:r>
              <w:rPr>
                <w:rFonts w:hint="eastAsia" w:ascii="仿宋_GB2312" w:hAnsi="仿宋" w:eastAsia="仿宋_GB2312" w:cs="宋体"/>
                <w:b w:val="0"/>
                <w:bCs w:val="0"/>
                <w:color w:val="auto"/>
                <w:kern w:val="0"/>
                <w:szCs w:val="21"/>
                <w:u w:val="none"/>
              </w:rPr>
              <w:t>年</w:t>
            </w:r>
            <w:r>
              <w:rPr>
                <w:rFonts w:hint="eastAsia" w:ascii="仿宋_GB2312" w:hAnsi="仿宋" w:eastAsia="仿宋_GB2312" w:cs="宋体"/>
                <w:b w:val="0"/>
                <w:bCs w:val="0"/>
                <w:color w:val="auto"/>
                <w:kern w:val="0"/>
                <w:szCs w:val="21"/>
                <w:u w:val="none"/>
                <w:lang w:val="en-US" w:eastAsia="zh-CN"/>
              </w:rPr>
              <w:t>及</w:t>
            </w:r>
            <w:r>
              <w:rPr>
                <w:rFonts w:hint="eastAsia" w:ascii="仿宋_GB2312" w:hAnsi="仿宋" w:eastAsia="仿宋_GB2312" w:cs="宋体"/>
                <w:b w:val="0"/>
                <w:bCs w:val="0"/>
                <w:color w:val="auto"/>
                <w:kern w:val="0"/>
                <w:szCs w:val="21"/>
                <w:u w:val="none"/>
              </w:rPr>
              <w:t>以上的记5分。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Cs w:val="21"/>
                <w:u w:val="none"/>
              </w:rPr>
              <w:t>企业提供</w:t>
            </w:r>
            <w:r>
              <w:rPr>
                <w:rFonts w:hint="eastAsia" w:ascii="仿宋_GB2312" w:hAnsi="仿宋" w:eastAsia="仿宋_GB2312" w:cs="宋体"/>
                <w:b w:val="0"/>
                <w:bCs w:val="0"/>
                <w:color w:val="auto"/>
                <w:kern w:val="0"/>
                <w:szCs w:val="21"/>
                <w:u w:val="none"/>
                <w:lang w:val="en-US" w:eastAsia="zh-CN"/>
              </w:rPr>
              <w:t>10名</w:t>
            </w:r>
            <w:r>
              <w:rPr>
                <w:rFonts w:hint="eastAsia" w:ascii="仿宋_GB2312" w:hAnsi="仿宋" w:eastAsia="仿宋_GB2312" w:cs="宋体"/>
                <w:b w:val="0"/>
                <w:bCs w:val="0"/>
                <w:color w:val="auto"/>
                <w:kern w:val="0"/>
                <w:szCs w:val="21"/>
                <w:u w:val="none"/>
              </w:rPr>
              <w:t>人员在邵阳购买</w:t>
            </w:r>
            <w:r>
              <w:rPr>
                <w:rFonts w:hint="eastAsia" w:ascii="仿宋_GB2312" w:hAnsi="仿宋" w:eastAsia="仿宋_GB2312" w:cs="宋体"/>
                <w:b w:val="0"/>
                <w:bCs w:val="0"/>
                <w:color w:val="auto"/>
                <w:kern w:val="0"/>
                <w:szCs w:val="21"/>
                <w:u w:val="none"/>
                <w:lang w:val="en-US" w:eastAsia="zh-CN"/>
              </w:rPr>
              <w:t>申报资料前三个月的</w:t>
            </w:r>
            <w:r>
              <w:rPr>
                <w:rFonts w:hint="eastAsia" w:ascii="仿宋_GB2312" w:hAnsi="仿宋" w:eastAsia="仿宋_GB2312" w:cs="宋体"/>
                <w:b w:val="0"/>
                <w:bCs w:val="0"/>
                <w:color w:val="auto"/>
                <w:kern w:val="0"/>
                <w:szCs w:val="21"/>
                <w:u w:val="none"/>
              </w:rPr>
              <w:t>社保证明的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val="en-US" w:eastAsia="zh-CN"/>
              </w:rPr>
              <w:t>；</w:t>
            </w:r>
            <w:r>
              <w:rPr>
                <w:rFonts w:hint="eastAsia" w:ascii="仿宋_GB2312" w:hAnsi="仿宋" w:eastAsia="仿宋_GB2312" w:cs="宋体"/>
                <w:b w:val="0"/>
                <w:bCs w:val="0"/>
                <w:color w:val="auto"/>
                <w:kern w:val="0"/>
                <w:szCs w:val="21"/>
                <w:u w:val="none"/>
              </w:rPr>
              <w:t>企业提供人员</w:t>
            </w:r>
            <w:r>
              <w:rPr>
                <w:rFonts w:hint="eastAsia" w:ascii="仿宋_GB2312" w:hAnsi="仿宋" w:eastAsia="仿宋_GB2312" w:cs="宋体"/>
                <w:b w:val="0"/>
                <w:bCs w:val="0"/>
                <w:color w:val="auto"/>
                <w:kern w:val="0"/>
                <w:szCs w:val="21"/>
                <w:u w:val="none"/>
                <w:lang w:val="en-US" w:eastAsia="zh-CN"/>
              </w:rPr>
              <w:t>超过10名以上的，每增加1人增加0.1分，最多计2</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未提供或提供不符合要求的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记0分。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kern w:val="2"/>
                <w:sz w:val="21"/>
                <w:szCs w:val="21"/>
                <w:u w:val="none"/>
                <w:lang w:val="en-US" w:eastAsia="zh-CN" w:bidi="ar-SA"/>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hint="eastAsia"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hint="eastAsia"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企业未按规定设立组织机构的，扣</w:t>
            </w:r>
            <w:r>
              <w:rPr>
                <w:rFonts w:hint="eastAsia" w:ascii="仿宋_GB2312" w:hAnsi="仿宋" w:eastAsia="仿宋_GB2312" w:cs="宋体"/>
                <w:b w:val="0"/>
                <w:bCs w:val="0"/>
                <w:color w:val="auto"/>
                <w:kern w:val="0"/>
                <w:szCs w:val="21"/>
                <w:u w:val="none"/>
                <w:lang w:val="en-US" w:eastAsia="zh-CN"/>
              </w:rPr>
              <w:t>0.5</w:t>
            </w:r>
            <w:r>
              <w:rPr>
                <w:rFonts w:hint="eastAsia" w:ascii="仿宋_GB2312" w:hAnsi="仿宋" w:eastAsia="仿宋_GB2312" w:cs="宋体"/>
                <w:b w:val="0"/>
                <w:bCs w:val="0"/>
                <w:color w:val="auto"/>
                <w:kern w:val="0"/>
                <w:szCs w:val="21"/>
                <w:u w:val="none"/>
              </w:rPr>
              <w:t>分；设立的组织机构不明确、部门职责不健全、主要人员配置不齐全、相关人员不到位的，扣</w:t>
            </w:r>
            <w:r>
              <w:rPr>
                <w:rFonts w:hint="eastAsia" w:ascii="仿宋_GB2312" w:hAnsi="仿宋" w:eastAsia="仿宋_GB2312" w:cs="宋体"/>
                <w:b w:val="0"/>
                <w:bCs w:val="0"/>
                <w:color w:val="auto"/>
                <w:kern w:val="0"/>
                <w:szCs w:val="21"/>
                <w:u w:val="none"/>
                <w:lang w:val="en-US" w:eastAsia="zh-CN"/>
              </w:rPr>
              <w:t>0.5</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编制完善的质量、安全、经营、技术、人力资源、财务、合同（商务经营）、材料、设备、档案以及风险管理等规章制度管理。符合要求的</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记</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每缺一项</w:t>
            </w:r>
            <w:r>
              <w:rPr>
                <w:rFonts w:hint="eastAsia" w:ascii="仿宋_GB2312" w:hAnsi="仿宋" w:eastAsia="仿宋_GB2312" w:cs="宋体"/>
                <w:b w:val="0"/>
                <w:bCs w:val="0"/>
                <w:color w:val="auto"/>
                <w:kern w:val="0"/>
                <w:szCs w:val="21"/>
                <w:u w:val="none"/>
                <w:lang w:val="en-US" w:eastAsia="zh-CN"/>
              </w:rPr>
              <w:t>的，</w:t>
            </w:r>
            <w:r>
              <w:rPr>
                <w:rFonts w:hint="eastAsia" w:ascii="仿宋_GB2312" w:hAnsi="仿宋" w:eastAsia="仿宋_GB2312" w:cs="宋体"/>
                <w:b w:val="0"/>
                <w:bCs w:val="0"/>
                <w:color w:val="auto"/>
                <w:kern w:val="0"/>
                <w:szCs w:val="21"/>
                <w:u w:val="none"/>
              </w:rPr>
              <w:t>扣0.2分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rPr>
              <w:t>实施不到位</w:t>
            </w:r>
            <w:r>
              <w:rPr>
                <w:rFonts w:hint="eastAsia" w:ascii="仿宋_GB2312" w:hAnsi="仿宋" w:eastAsia="仿宋_GB2312" w:cs="宋体"/>
                <w:b w:val="0"/>
                <w:bCs w:val="0"/>
                <w:color w:val="auto"/>
                <w:kern w:val="0"/>
                <w:szCs w:val="21"/>
                <w:u w:val="none"/>
                <w:lang w:val="en-US" w:eastAsia="zh-CN"/>
              </w:rPr>
              <w:t>的，</w:t>
            </w:r>
            <w:r>
              <w:rPr>
                <w:rFonts w:hint="eastAsia" w:ascii="仿宋_GB2312" w:hAnsi="仿宋" w:eastAsia="仿宋_GB2312" w:cs="宋体"/>
                <w:b w:val="0"/>
                <w:bCs w:val="0"/>
                <w:color w:val="auto"/>
                <w:kern w:val="0"/>
                <w:szCs w:val="21"/>
                <w:u w:val="none"/>
              </w:rPr>
              <w:t>扣</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特级施工资质企业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15</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1亿</w:t>
            </w:r>
            <w:r>
              <w:rPr>
                <w:rFonts w:hint="eastAsia" w:ascii="仿宋_GB2312" w:hAnsi="仿宋" w:eastAsia="仿宋_GB2312" w:cs="宋体"/>
                <w:b w:val="0"/>
                <w:bCs w:val="0"/>
                <w:color w:val="auto"/>
                <w:kern w:val="0"/>
                <w:szCs w:val="21"/>
                <w:u w:val="none"/>
              </w:rPr>
              <w:t>元的减1分；一级施工资质企业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8</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5000</w:t>
            </w:r>
            <w:r>
              <w:rPr>
                <w:rFonts w:hint="eastAsia" w:ascii="仿宋_GB2312" w:hAnsi="仿宋" w:eastAsia="仿宋_GB2312" w:cs="宋体"/>
                <w:b w:val="0"/>
                <w:bCs w:val="0"/>
                <w:color w:val="auto"/>
                <w:kern w:val="0"/>
                <w:szCs w:val="21"/>
                <w:u w:val="none"/>
              </w:rPr>
              <w:t>万元的减1分；二级施工资质企业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w:t>
            </w:r>
            <w:r>
              <w:rPr>
                <w:rFonts w:hint="eastAsia" w:ascii="仿宋_GB2312" w:hAnsi="仿宋" w:eastAsia="仿宋_GB2312" w:cs="宋体"/>
                <w:b w:val="0"/>
                <w:bCs w:val="0"/>
                <w:color w:val="auto"/>
                <w:kern w:val="0"/>
                <w:szCs w:val="21"/>
                <w:u w:val="none"/>
                <w:lang w:val="en-US" w:eastAsia="zh-CN"/>
              </w:rPr>
              <w:t>2</w:t>
            </w:r>
            <w:r>
              <w:rPr>
                <w:rFonts w:hint="eastAsia" w:ascii="仿宋_GB2312" w:hAnsi="仿宋" w:eastAsia="仿宋_GB2312" w:cs="宋体"/>
                <w:b w:val="0"/>
                <w:bCs w:val="0"/>
                <w:color w:val="auto"/>
                <w:kern w:val="0"/>
                <w:szCs w:val="21"/>
                <w:u w:val="none"/>
              </w:rPr>
              <w:t>亿元以上的计5分，每少</w:t>
            </w:r>
            <w:r>
              <w:rPr>
                <w:rFonts w:hint="eastAsia" w:ascii="仿宋_GB2312" w:hAnsi="仿宋" w:eastAsia="仿宋_GB2312" w:cs="宋体"/>
                <w:b w:val="0"/>
                <w:bCs w:val="0"/>
                <w:color w:val="auto"/>
                <w:kern w:val="0"/>
                <w:szCs w:val="21"/>
                <w:u w:val="none"/>
                <w:lang w:val="en-US" w:eastAsia="zh-CN"/>
              </w:rPr>
              <w:t>1000</w:t>
            </w:r>
            <w:r>
              <w:rPr>
                <w:rFonts w:hint="eastAsia" w:ascii="仿宋_GB2312" w:hAnsi="仿宋" w:eastAsia="仿宋_GB2312" w:cs="宋体"/>
                <w:b w:val="0"/>
                <w:bCs w:val="0"/>
                <w:color w:val="auto"/>
                <w:kern w:val="0"/>
                <w:szCs w:val="21"/>
                <w:u w:val="none"/>
              </w:rPr>
              <w:t>万元的减1分；三级施工资质企业</w:t>
            </w:r>
            <w:r>
              <w:rPr>
                <w:rFonts w:hint="eastAsia" w:ascii="仿宋_GB2312" w:hAnsi="仿宋" w:eastAsia="仿宋_GB2312" w:cs="宋体"/>
                <w:b w:val="0"/>
                <w:bCs w:val="0"/>
                <w:color w:val="auto"/>
                <w:kern w:val="0"/>
                <w:szCs w:val="21"/>
                <w:u w:val="none"/>
                <w:lang w:val="en-US" w:eastAsia="zh-CN"/>
              </w:rPr>
              <w:t>上年度</w:t>
            </w:r>
            <w:r>
              <w:rPr>
                <w:rFonts w:hint="eastAsia" w:ascii="仿宋_GB2312" w:hAnsi="仿宋" w:eastAsia="仿宋_GB2312" w:cs="宋体"/>
                <w:b w:val="0"/>
                <w:bCs w:val="0"/>
                <w:color w:val="auto"/>
                <w:kern w:val="0"/>
                <w:szCs w:val="21"/>
                <w:u w:val="none"/>
              </w:rPr>
              <w:t>年产值0.6亿元以上的计5分，每少500万元的减1分。</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hint="eastAsia" w:ascii="仿宋_GB2312" w:hAnsi="仿宋" w:eastAsia="仿宋_GB2312" w:cs="宋体"/>
                <w:b w:val="0"/>
                <w:bCs w:val="0"/>
                <w:color w:val="auto"/>
                <w:kern w:val="0"/>
                <w:szCs w:val="21"/>
                <w:u w:val="none"/>
                <w:lang w:val="en-US" w:eastAsia="zh-CN"/>
              </w:rPr>
            </w:pPr>
            <w:r>
              <w:rPr>
                <w:rFonts w:hint="eastAsia" w:ascii="仿宋_GB2312" w:hAnsi="仿宋" w:eastAsia="仿宋_GB2312" w:cs="宋体"/>
                <w:b w:val="0"/>
                <w:bCs w:val="0"/>
                <w:color w:val="auto"/>
                <w:kern w:val="0"/>
                <w:szCs w:val="21"/>
                <w:highlight w:val="none"/>
                <w:u w:val="none"/>
                <w:lang w:val="en-US" w:eastAsia="zh-CN"/>
              </w:rPr>
              <w:t>企业拥有多项资质，其注册建造师按各项总承包资质最低等级标准考核，总承包资质未达到最低等级标准的要求</w:t>
            </w:r>
            <w:r>
              <w:rPr>
                <w:rFonts w:hint="eastAsia" w:ascii="仿宋_GB2312" w:hAnsi="仿宋" w:eastAsia="仿宋_GB2312" w:cs="宋体"/>
                <w:b w:val="0"/>
                <w:bCs w:val="0"/>
                <w:color w:val="auto"/>
                <w:kern w:val="0"/>
                <w:szCs w:val="21"/>
                <w:u w:val="none"/>
                <w:lang w:val="en-US" w:eastAsia="zh-CN"/>
              </w:rPr>
              <w:t>，每缺1人，扣0.2</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textAlignment w:val="auto"/>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按规定上报统计报表</w:t>
            </w:r>
            <w:r>
              <w:rPr>
                <w:rFonts w:hint="eastAsia" w:ascii="仿宋_GB2312" w:hAnsi="仿宋" w:eastAsia="仿宋_GB2312" w:cs="宋体"/>
                <w:b w:val="0"/>
                <w:bCs w:val="0"/>
                <w:color w:val="auto"/>
                <w:kern w:val="0"/>
                <w:szCs w:val="21"/>
                <w:u w:val="none"/>
                <w:lang w:val="en-US" w:eastAsia="zh-CN"/>
              </w:rPr>
              <w:t>且总产值达到全市平均增速的，</w:t>
            </w:r>
            <w:r>
              <w:rPr>
                <w:rFonts w:hint="eastAsia" w:ascii="仿宋_GB2312" w:hAnsi="仿宋" w:eastAsia="仿宋_GB2312" w:cs="宋体"/>
                <w:b w:val="0"/>
                <w:bCs w:val="0"/>
                <w:color w:val="auto"/>
                <w:kern w:val="0"/>
                <w:szCs w:val="21"/>
                <w:u w:val="none"/>
              </w:rPr>
              <w:t>计</w:t>
            </w:r>
            <w:r>
              <w:rPr>
                <w:rFonts w:hint="eastAsia" w:ascii="仿宋_GB2312" w:hAnsi="仿宋" w:eastAsia="仿宋_GB2312" w:cs="宋体"/>
                <w:b w:val="0"/>
                <w:bCs w:val="0"/>
                <w:color w:val="auto"/>
                <w:kern w:val="0"/>
                <w:szCs w:val="21"/>
                <w:u w:val="none"/>
                <w:lang w:val="en-US" w:eastAsia="zh-CN"/>
              </w:rPr>
              <w:t>5</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总产值未达到全市平均增速的，每下降一个百分点，扣0.5分；申报前一年内每</w:t>
            </w:r>
            <w:r>
              <w:rPr>
                <w:rFonts w:hint="eastAsia" w:ascii="仿宋_GB2312" w:hAnsi="仿宋" w:eastAsia="仿宋_GB2312" w:cs="宋体"/>
                <w:b w:val="0"/>
                <w:bCs w:val="0"/>
                <w:color w:val="auto"/>
                <w:kern w:val="0"/>
                <w:szCs w:val="21"/>
                <w:u w:val="none"/>
              </w:rPr>
              <w:t>缺报1次报表扣</w:t>
            </w:r>
            <w:r>
              <w:rPr>
                <w:rFonts w:hint="eastAsia" w:ascii="仿宋_GB2312" w:hAnsi="仿宋" w:eastAsia="仿宋_GB2312" w:cs="宋体"/>
                <w:b w:val="0"/>
                <w:bCs w:val="0"/>
                <w:color w:val="auto"/>
                <w:kern w:val="0"/>
                <w:szCs w:val="21"/>
                <w:u w:val="none"/>
                <w:lang w:val="en-US" w:eastAsia="zh-CN"/>
              </w:rPr>
              <w:t>1</w:t>
            </w:r>
            <w:r>
              <w:rPr>
                <w:rFonts w:hint="eastAsia" w:ascii="仿宋_GB2312" w:hAnsi="仿宋" w:eastAsia="仿宋_GB2312" w:cs="宋体"/>
                <w:b w:val="0"/>
                <w:bCs w:val="0"/>
                <w:color w:val="auto"/>
                <w:kern w:val="0"/>
                <w:szCs w:val="21"/>
                <w:u w:val="none"/>
              </w:rPr>
              <w:t>分</w:t>
            </w:r>
            <w:r>
              <w:rPr>
                <w:rFonts w:hint="eastAsia" w:ascii="仿宋_GB2312" w:hAnsi="仿宋" w:eastAsia="仿宋_GB2312" w:cs="宋体"/>
                <w:b w:val="0"/>
                <w:bCs w:val="0"/>
                <w:color w:val="auto"/>
                <w:kern w:val="0"/>
                <w:szCs w:val="21"/>
                <w:u w:val="none"/>
                <w:lang w:eastAsia="zh-CN"/>
              </w:rPr>
              <w:t>，</w:t>
            </w:r>
            <w:r>
              <w:rPr>
                <w:rFonts w:hint="eastAsia" w:ascii="仿宋_GB2312" w:hAnsi="仿宋" w:eastAsia="仿宋_GB2312" w:cs="宋体"/>
                <w:b w:val="0"/>
                <w:bCs w:val="0"/>
                <w:color w:val="auto"/>
                <w:kern w:val="0"/>
                <w:szCs w:val="21"/>
                <w:u w:val="none"/>
                <w:lang w:val="en-US" w:eastAsia="zh-CN"/>
              </w:rPr>
              <w:t>最多扣5分</w:t>
            </w:r>
            <w:r>
              <w:rPr>
                <w:rFonts w:hint="eastAsia" w:ascii="仿宋_GB2312" w:hAnsi="仿宋" w:eastAsia="仿宋_GB2312" w:cs="宋体"/>
                <w:b w:val="0"/>
                <w:bCs w:val="0"/>
                <w:color w:val="auto"/>
                <w:kern w:val="0"/>
                <w:szCs w:val="21"/>
                <w:u w:val="none"/>
              </w:rPr>
              <w:t>。</w:t>
            </w:r>
          </w:p>
        </w:tc>
        <w:tc>
          <w:tcPr>
            <w:tcW w:w="667" w:type="dxa"/>
            <w:tcBorders>
              <w:top w:val="single" w:color="auto" w:sz="4" w:space="0"/>
              <w:left w:val="single" w:color="auto" w:sz="4" w:space="0"/>
              <w:bottom w:val="single" w:color="auto" w:sz="4" w:space="0"/>
              <w:right w:val="single" w:color="auto" w:sz="4" w:space="0"/>
            </w:tcBorders>
            <w:vAlign w:val="center"/>
          </w:tcPr>
          <w:p>
            <w:pPr>
              <w:spacing w:line="600" w:lineRule="exact"/>
              <w:ind w:firstLine="210" w:firstLineChars="100"/>
              <w:jc w:val="both"/>
              <w:rPr>
                <w:rFonts w:hint="default" w:ascii="仿宋_GB2312" w:hAnsi="仿宋" w:eastAsia="仿宋_GB2312"/>
                <w:b w:val="0"/>
                <w:bCs w:val="0"/>
                <w:color w:val="auto"/>
                <w:szCs w:val="21"/>
                <w:u w:val="none"/>
                <w:lang w:val="en-US" w:eastAsia="zh-CN"/>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3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w:t>
            </w:r>
            <w:r>
              <w:rPr>
                <w:rFonts w:hint="eastAsia" w:ascii="仿宋_GB2312" w:hAnsi="仿宋" w:eastAsia="仿宋_GB2312" w:cs="宋体"/>
                <w:b w:val="0"/>
                <w:bCs w:val="0"/>
                <w:color w:val="auto"/>
                <w:kern w:val="0"/>
                <w:szCs w:val="21"/>
                <w:u w:val="none"/>
                <w:lang w:val="en-US" w:eastAsia="zh-CN"/>
              </w:rPr>
              <w:t xml:space="preserve"> </w:t>
            </w:r>
            <w:r>
              <w:rPr>
                <w:rFonts w:hint="eastAsia" w:ascii="仿宋_GB2312" w:hAnsi="仿宋" w:eastAsia="仿宋_GB2312" w:cs="宋体"/>
                <w:b w:val="0"/>
                <w:bCs w:val="0"/>
                <w:color w:val="auto"/>
                <w:kern w:val="0"/>
                <w:szCs w:val="21"/>
                <w:u w:val="none"/>
              </w:rPr>
              <w:t>计</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说明：1、企业产值以邵阳市统计部门采集数据为准；</w:t>
      </w:r>
    </w:p>
    <w:p>
      <w:pPr>
        <w:spacing w:line="600" w:lineRule="exact"/>
        <w:ind w:firstLine="1050" w:firstLineChars="5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2、</w:t>
      </w:r>
      <w:r>
        <w:rPr>
          <w:rFonts w:hint="eastAsia" w:ascii="仿宋_GB2312" w:hAnsi="仿宋" w:eastAsia="仿宋_GB2312" w:cs="宋体"/>
          <w:b w:val="0"/>
          <w:bCs w:val="0"/>
          <w:color w:val="auto"/>
          <w:kern w:val="0"/>
          <w:szCs w:val="21"/>
          <w:u w:val="none"/>
          <w:lang w:val="en-US" w:eastAsia="zh-CN"/>
        </w:rPr>
        <w:t>企业需</w:t>
      </w:r>
      <w:r>
        <w:rPr>
          <w:rFonts w:hint="eastAsia" w:ascii="仿宋_GB2312" w:hAnsi="仿宋" w:eastAsia="仿宋_GB2312" w:cs="宋体"/>
          <w:b w:val="0"/>
          <w:bCs w:val="0"/>
          <w:color w:val="auto"/>
          <w:kern w:val="0"/>
          <w:szCs w:val="21"/>
          <w:u w:val="none"/>
        </w:rPr>
        <w:t>附相关证明材料复印件；</w:t>
      </w:r>
    </w:p>
    <w:p>
      <w:pPr>
        <w:spacing w:line="600" w:lineRule="exact"/>
        <w:ind w:firstLine="1050" w:firstLineChars="500"/>
        <w:rPr>
          <w:rFonts w:hint="eastAsia"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3、市</w:t>
      </w:r>
      <w:r>
        <w:rPr>
          <w:rFonts w:hint="default" w:ascii="仿宋_GB2312" w:hAnsi="仿宋" w:eastAsia="仿宋_GB2312" w:cs="宋体"/>
          <w:b w:val="0"/>
          <w:bCs w:val="0"/>
          <w:color w:val="auto"/>
          <w:kern w:val="0"/>
          <w:szCs w:val="21"/>
          <w:u w:val="none"/>
          <w:lang w:val="en"/>
        </w:rPr>
        <w:t>住房和城乡建设局</w:t>
      </w:r>
      <w:r>
        <w:rPr>
          <w:rFonts w:hint="eastAsia" w:ascii="仿宋_GB2312" w:hAnsi="仿宋" w:eastAsia="仿宋_GB2312" w:cs="宋体"/>
          <w:b w:val="0"/>
          <w:bCs w:val="0"/>
          <w:color w:val="auto"/>
          <w:kern w:val="0"/>
          <w:szCs w:val="21"/>
          <w:u w:val="none"/>
        </w:rPr>
        <w:t>相关科室和二级机构负责采集相关评价数据；</w:t>
      </w:r>
    </w:p>
    <w:p>
      <w:pPr>
        <w:spacing w:line="600" w:lineRule="exact"/>
        <w:rPr>
          <w:rFonts w:ascii="仿宋_GB2312" w:hAnsi="仿宋" w:eastAsia="仿宋_GB2312"/>
          <w:b w:val="0"/>
          <w:bCs w:val="0"/>
          <w:color w:val="auto"/>
          <w:sz w:val="32"/>
          <w:szCs w:val="32"/>
          <w:u w:val="none"/>
        </w:rPr>
      </w:pPr>
      <w:r>
        <w:rPr>
          <w:rFonts w:hint="eastAsia" w:ascii="仿宋_GB2312" w:hAnsi="仿宋" w:eastAsia="仿宋_GB2312" w:cs="宋体"/>
          <w:b w:val="0"/>
          <w:bCs w:val="0"/>
          <w:color w:val="auto"/>
          <w:kern w:val="0"/>
          <w:sz w:val="32"/>
          <w:szCs w:val="32"/>
          <w:u w:val="none"/>
        </w:rPr>
        <w:t>二、社会责任</w:t>
      </w:r>
      <w:r>
        <w:rPr>
          <w:rFonts w:hint="eastAsia" w:ascii="仿宋_GB2312" w:hAnsi="仿宋" w:eastAsia="仿宋_GB2312" w:cs="宋体"/>
          <w:b w:val="0"/>
          <w:bCs w:val="0"/>
          <w:color w:val="auto"/>
          <w:kern w:val="0"/>
          <w:sz w:val="32"/>
          <w:szCs w:val="32"/>
          <w:u w:val="none"/>
          <w:lang w:val="en-US" w:eastAsia="zh-CN"/>
        </w:rPr>
        <w:t>15</w:t>
      </w:r>
      <w:r>
        <w:rPr>
          <w:rFonts w:hint="eastAsia" w:ascii="仿宋_GB2312" w:hAnsi="仿宋" w:eastAsia="仿宋_GB2312" w:cs="宋体"/>
          <w:b w:val="0"/>
          <w:bCs w:val="0"/>
          <w:color w:val="auto"/>
          <w:kern w:val="0"/>
          <w:sz w:val="32"/>
          <w:szCs w:val="32"/>
          <w:u w:val="none"/>
        </w:rPr>
        <w:t>分</w:t>
      </w:r>
    </w:p>
    <w:tbl>
      <w:tblPr>
        <w:tblStyle w:val="7"/>
        <w:tblW w:w="95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2"/>
        <w:gridCol w:w="679"/>
        <w:gridCol w:w="679"/>
        <w:gridCol w:w="67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68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rPr>
            </w:pPr>
            <w:r>
              <w:rPr>
                <w:rFonts w:hint="eastAsia" w:ascii="仿宋_GB2312" w:hAnsi="仿宋" w:eastAsia="仿宋_GB2312" w:cs="仿宋_GB2312"/>
                <w:b w:val="0"/>
                <w:bCs w:val="0"/>
                <w:color w:val="auto"/>
                <w:szCs w:val="21"/>
                <w:lang w:val="zh-CN"/>
              </w:rPr>
              <w:t>评定内容及标准</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自</w:t>
            </w:r>
          </w:p>
          <w:p>
            <w:pPr>
              <w:autoSpaceDE w:val="0"/>
              <w:autoSpaceDN w:val="0"/>
              <w:adjustRightInd w:val="0"/>
              <w:spacing w:line="600" w:lineRule="exact"/>
              <w:rPr>
                <w:rFonts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lang w:val="zh-CN"/>
              </w:rPr>
            </w:pPr>
            <w:r>
              <w:rPr>
                <w:rFonts w:hint="eastAsia" w:ascii="仿宋_GB2312" w:hAnsi="仿宋" w:eastAsia="仿宋_GB2312" w:cs="仿宋_GB2312"/>
                <w:b w:val="0"/>
                <w:bCs w:val="0"/>
                <w:color w:val="auto"/>
                <w:szCs w:val="21"/>
                <w:lang w:val="zh-CN"/>
              </w:rPr>
              <w:t>初</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cs="仿宋_GB2312"/>
                <w:b w:val="0"/>
                <w:bCs w:val="0"/>
                <w:color w:val="auto"/>
                <w:szCs w:val="21"/>
                <w:lang w:val="zh-CN"/>
              </w:rPr>
              <w:t>评</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评</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审</w:t>
            </w:r>
          </w:p>
        </w:tc>
        <w:tc>
          <w:tcPr>
            <w:tcW w:w="6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eastAsia" w:ascii="仿宋_GB2312" w:hAnsi="仿宋" w:eastAsia="仿宋_GB2312"/>
                <w:b w:val="0"/>
                <w:bCs w:val="0"/>
                <w:color w:val="auto"/>
                <w:szCs w:val="21"/>
              </w:rPr>
            </w:pPr>
            <w:r>
              <w:rPr>
                <w:rFonts w:hint="eastAsia" w:ascii="仿宋_GB2312" w:hAnsi="仿宋" w:eastAsia="仿宋_GB2312"/>
                <w:b w:val="0"/>
                <w:bCs w:val="0"/>
                <w:color w:val="auto"/>
                <w:szCs w:val="21"/>
              </w:rPr>
              <w:t>审</w:t>
            </w:r>
          </w:p>
          <w:p>
            <w:pPr>
              <w:autoSpaceDE w:val="0"/>
              <w:autoSpaceDN w:val="0"/>
              <w:adjustRightInd w:val="0"/>
              <w:spacing w:line="600" w:lineRule="exact"/>
              <w:rPr>
                <w:rFonts w:ascii="仿宋_GB2312" w:hAnsi="仿宋" w:eastAsia="仿宋_GB2312"/>
                <w:b w:val="0"/>
                <w:bCs w:val="0"/>
                <w:color w:val="auto"/>
                <w:szCs w:val="21"/>
              </w:rPr>
            </w:pPr>
            <w:r>
              <w:rPr>
                <w:rFonts w:hint="eastAsia" w:ascii="仿宋_GB2312" w:hAnsi="仿宋" w:eastAsia="仿宋_GB2312"/>
                <w:b w:val="0"/>
                <w:bCs w:val="0"/>
                <w:color w:val="auto"/>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仿宋_GB2312" w:hAnsi="仿宋" w:eastAsia="仿宋_GB2312" w:cs="宋体"/>
                <w:b w:val="0"/>
                <w:bCs w:val="0"/>
                <w:color w:val="auto"/>
                <w:kern w:val="0"/>
                <w:szCs w:val="21"/>
                <w:lang w:val="en-US" w:eastAsia="zh-CN"/>
              </w:rPr>
            </w:pPr>
            <w:r>
              <w:rPr>
                <w:rFonts w:hint="eastAsia" w:ascii="仿宋_GB2312" w:hAnsi="仿宋" w:eastAsia="仿宋_GB2312" w:cs="宋体"/>
                <w:b w:val="0"/>
                <w:bCs w:val="0"/>
                <w:color w:val="auto"/>
                <w:kern w:val="0"/>
                <w:szCs w:val="21"/>
              </w:rPr>
              <w:t>在邵阳市行政区捐资助学、扶贫捐助、捐（赞）助社会公益活动的，</w:t>
            </w:r>
            <w:r>
              <w:rPr>
                <w:rFonts w:hint="eastAsia" w:ascii="仿宋_GB2312" w:hAnsi="仿宋" w:eastAsia="仿宋_GB2312" w:cs="宋体"/>
                <w:b w:val="0"/>
                <w:bCs w:val="0"/>
                <w:color w:val="auto"/>
                <w:kern w:val="0"/>
                <w:szCs w:val="21"/>
                <w:u w:val="none"/>
              </w:rPr>
              <w:t>每捐（赞）款（或物资款）2万元计0.</w:t>
            </w:r>
            <w:r>
              <w:rPr>
                <w:rFonts w:hint="eastAsia" w:ascii="仿宋_GB2312" w:hAnsi="仿宋" w:eastAsia="仿宋_GB2312" w:cs="宋体"/>
                <w:b w:val="0"/>
                <w:bCs w:val="0"/>
                <w:color w:val="auto"/>
                <w:kern w:val="0"/>
                <w:szCs w:val="21"/>
                <w:u w:val="none"/>
                <w:lang w:val="en-US" w:eastAsia="zh-CN"/>
              </w:rPr>
              <w:t>2</w:t>
            </w:r>
            <w:r>
              <w:rPr>
                <w:rFonts w:hint="eastAsia" w:ascii="仿宋_GB2312" w:hAnsi="仿宋" w:eastAsia="仿宋_GB2312" w:cs="宋体"/>
                <w:b w:val="0"/>
                <w:bCs w:val="0"/>
                <w:color w:val="auto"/>
                <w:kern w:val="0"/>
                <w:szCs w:val="21"/>
                <w:u w:val="none"/>
              </w:rPr>
              <w:t>分，最多计1分；</w:t>
            </w:r>
            <w:r>
              <w:rPr>
                <w:rFonts w:hint="eastAsia" w:ascii="仿宋_GB2312" w:hAnsi="仿宋" w:eastAsia="仿宋_GB2312" w:cs="宋体"/>
                <w:b w:val="0"/>
                <w:bCs w:val="0"/>
                <w:color w:val="auto"/>
                <w:kern w:val="0"/>
                <w:szCs w:val="21"/>
              </w:rPr>
              <w:t>在邵阳市行政区履行当地政府或其部门组织的应急救援、抢险救灾和其他履行社会责任的，按贡献大小和次数多少分别计</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rPr>
              <w:t>分／次、</w:t>
            </w:r>
            <w:r>
              <w:rPr>
                <w:rFonts w:hint="eastAsia" w:ascii="仿宋_GB2312" w:hAnsi="仿宋" w:eastAsia="仿宋_GB2312" w:cs="宋体"/>
                <w:b w:val="0"/>
                <w:bCs w:val="0"/>
                <w:color w:val="auto"/>
                <w:kern w:val="0"/>
                <w:szCs w:val="21"/>
                <w:lang w:val="en-US" w:eastAsia="zh-CN"/>
              </w:rPr>
              <w:t>1</w:t>
            </w:r>
            <w:r>
              <w:rPr>
                <w:rFonts w:hint="eastAsia" w:ascii="仿宋_GB2312" w:hAnsi="仿宋" w:eastAsia="仿宋_GB2312" w:cs="宋体"/>
                <w:b w:val="0"/>
                <w:bCs w:val="0"/>
                <w:color w:val="auto"/>
                <w:kern w:val="0"/>
                <w:szCs w:val="21"/>
              </w:rPr>
              <w:t>分／次，最多计</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rPr>
              <w:t>分；积极参加主管部门、行业协会组织的各项活动、竞赛等，每次计0.5分，最多计1分。本项最多记</w:t>
            </w:r>
            <w:r>
              <w:rPr>
                <w:rFonts w:hint="eastAsia" w:ascii="仿宋_GB2312" w:hAnsi="仿宋" w:eastAsia="仿宋_GB2312" w:cs="宋体"/>
                <w:b w:val="0"/>
                <w:bCs w:val="0"/>
                <w:color w:val="auto"/>
                <w:kern w:val="0"/>
                <w:szCs w:val="21"/>
                <w:lang w:val="en-US" w:eastAsia="zh-CN"/>
              </w:rPr>
              <w:t>4</w:t>
            </w:r>
            <w:r>
              <w:rPr>
                <w:rFonts w:hint="eastAsia" w:ascii="仿宋_GB2312" w:hAnsi="仿宋" w:eastAsia="仿宋_GB2312" w:cs="宋体"/>
                <w:b w:val="0"/>
                <w:bCs w:val="0"/>
                <w:color w:val="auto"/>
                <w:kern w:val="0"/>
                <w:szCs w:val="21"/>
              </w:rPr>
              <w:t>分</w:t>
            </w:r>
            <w:r>
              <w:rPr>
                <w:rFonts w:hint="eastAsia" w:ascii="仿宋_GB2312" w:hAnsi="仿宋" w:eastAsia="仿宋_GB2312" w:cs="宋体"/>
                <w:b w:val="0"/>
                <w:bCs w:val="0"/>
                <w:color w:val="auto"/>
                <w:kern w:val="0"/>
                <w:szCs w:val="21"/>
                <w:lang w:eastAsia="zh-CN"/>
              </w:rPr>
              <w:t>。</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cs="宋体"/>
                <w:b w:val="0"/>
                <w:bCs w:val="0"/>
                <w:color w:val="auto"/>
                <w:kern w:val="0"/>
                <w:szCs w:val="21"/>
                <w:lang w:val="en-US" w:eastAsia="zh-CN"/>
              </w:rPr>
            </w:pPr>
            <w:r>
              <w:rPr>
                <w:rFonts w:hint="eastAsia" w:ascii="仿宋_GB2312" w:hAnsi="仿宋" w:eastAsia="仿宋_GB2312" w:cs="宋体"/>
                <w:b w:val="0"/>
                <w:bCs w:val="0"/>
                <w:color w:val="auto"/>
                <w:kern w:val="0"/>
                <w:szCs w:val="21"/>
              </w:rPr>
              <w:t>获得</w:t>
            </w:r>
            <w:r>
              <w:rPr>
                <w:rFonts w:hint="eastAsia" w:ascii="仿宋_GB2312" w:hAnsi="仿宋" w:eastAsia="仿宋_GB2312" w:cs="宋体"/>
                <w:b w:val="0"/>
                <w:bCs w:val="0"/>
                <w:color w:val="auto"/>
                <w:kern w:val="0"/>
                <w:szCs w:val="21"/>
                <w:lang w:eastAsia="zh-CN"/>
              </w:rPr>
              <w:t>国家、</w:t>
            </w:r>
            <w:r>
              <w:rPr>
                <w:rFonts w:hint="eastAsia" w:ascii="仿宋_GB2312" w:hAnsi="仿宋" w:eastAsia="仿宋_GB2312" w:cs="宋体"/>
                <w:b w:val="0"/>
                <w:bCs w:val="0"/>
                <w:color w:val="auto"/>
                <w:kern w:val="0"/>
                <w:szCs w:val="21"/>
              </w:rPr>
              <w:t>省、市及所辖县市建设行政主管部门或行业协会通报表彰或评定先进单位的分别记3、2</w:t>
            </w:r>
            <w:r>
              <w:rPr>
                <w:rFonts w:hint="eastAsia" w:ascii="仿宋_GB2312" w:hAnsi="仿宋" w:eastAsia="仿宋_GB2312" w:cs="宋体"/>
                <w:b w:val="0"/>
                <w:bCs w:val="0"/>
                <w:color w:val="auto"/>
                <w:kern w:val="0"/>
                <w:szCs w:val="21"/>
                <w:lang w:val="en-US" w:eastAsia="zh-CN"/>
              </w:rPr>
              <w:t>.5</w:t>
            </w:r>
            <w:r>
              <w:rPr>
                <w:rFonts w:hint="eastAsia" w:ascii="仿宋_GB2312" w:hAnsi="仿宋" w:eastAsia="仿宋_GB2312" w:cs="宋体"/>
                <w:b w:val="0"/>
                <w:bCs w:val="0"/>
                <w:color w:val="auto"/>
                <w:kern w:val="0"/>
                <w:szCs w:val="21"/>
              </w:rPr>
              <w:t>、</w:t>
            </w:r>
            <w:r>
              <w:rPr>
                <w:rFonts w:hint="eastAsia" w:ascii="仿宋_GB2312" w:hAnsi="仿宋" w:eastAsia="仿宋_GB2312" w:cs="宋体"/>
                <w:b w:val="0"/>
                <w:bCs w:val="0"/>
                <w:color w:val="auto"/>
                <w:kern w:val="0"/>
                <w:szCs w:val="21"/>
                <w:lang w:val="en-US" w:eastAsia="zh-CN"/>
              </w:rPr>
              <w:t>2</w:t>
            </w:r>
            <w:r>
              <w:rPr>
                <w:rFonts w:hint="eastAsia" w:ascii="仿宋_GB2312" w:hAnsi="仿宋" w:eastAsia="仿宋_GB2312" w:cs="宋体"/>
                <w:b w:val="0"/>
                <w:bCs w:val="0"/>
                <w:color w:val="auto"/>
                <w:kern w:val="0"/>
                <w:szCs w:val="21"/>
                <w:lang w:eastAsia="zh-CN"/>
              </w:rPr>
              <w:t>、</w:t>
            </w:r>
            <w:r>
              <w:rPr>
                <w:rFonts w:hint="eastAsia" w:ascii="仿宋_GB2312" w:hAnsi="仿宋" w:eastAsia="仿宋_GB2312" w:cs="宋体"/>
                <w:b w:val="0"/>
                <w:bCs w:val="0"/>
                <w:color w:val="auto"/>
                <w:kern w:val="0"/>
                <w:szCs w:val="21"/>
                <w:lang w:val="en-US" w:eastAsia="zh-CN"/>
              </w:rPr>
              <w:t>1.5</w:t>
            </w:r>
            <w:r>
              <w:rPr>
                <w:rFonts w:hint="eastAsia" w:ascii="仿宋_GB2312" w:hAnsi="仿宋" w:eastAsia="仿宋_GB2312" w:cs="宋体"/>
                <w:b w:val="0"/>
                <w:bCs w:val="0"/>
                <w:color w:val="auto"/>
                <w:kern w:val="0"/>
                <w:szCs w:val="21"/>
              </w:rPr>
              <w:t>分，该项不重复计分。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3分。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r>
              <w:rPr>
                <w:rFonts w:hint="eastAsia" w:ascii="仿宋_GB2312" w:hAnsi="仿宋" w:eastAsia="仿宋_GB2312" w:cs="宋体"/>
                <w:b w:val="0"/>
                <w:bCs w:val="0"/>
                <w:color w:val="auto"/>
                <w:kern w:val="0"/>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r>
              <w:rPr>
                <w:rFonts w:hint="eastAsia" w:ascii="仿宋_GB2312" w:hAnsi="仿宋" w:eastAsia="仿宋_GB2312" w:cs="宋体"/>
                <w:b w:val="0"/>
                <w:bCs w:val="0"/>
                <w:color w:val="auto"/>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仿宋_GB2312" w:hAnsi="仿宋" w:eastAsia="仿宋_GB2312" w:cs="宋体"/>
                <w:b w:val="0"/>
                <w:bCs w:val="0"/>
                <w:color w:val="auto"/>
                <w:kern w:val="0"/>
                <w:szCs w:val="21"/>
              </w:rPr>
            </w:pPr>
            <w:r>
              <w:rPr>
                <w:rFonts w:hint="eastAsia" w:ascii="仿宋_GB2312" w:hAnsi="仿宋" w:eastAsia="仿宋_GB2312" w:cs="宋体"/>
                <w:b w:val="0"/>
                <w:bCs w:val="0"/>
                <w:color w:val="auto"/>
                <w:kern w:val="0"/>
                <w:szCs w:val="21"/>
              </w:rPr>
              <w:t>社会治安综合治理情况良好</w:t>
            </w:r>
            <w:r>
              <w:rPr>
                <w:rFonts w:hint="eastAsia" w:ascii="仿宋_GB2312" w:hAnsi="仿宋" w:eastAsia="仿宋_GB2312" w:cs="宋体"/>
                <w:b w:val="0"/>
                <w:bCs w:val="0"/>
                <w:color w:val="auto"/>
                <w:kern w:val="0"/>
                <w:szCs w:val="21"/>
                <w:lang w:eastAsia="zh-CN"/>
              </w:rPr>
              <w:t>、</w:t>
            </w:r>
            <w:r>
              <w:rPr>
                <w:rFonts w:hint="eastAsia" w:ascii="仿宋_GB2312" w:hAnsi="仿宋" w:eastAsia="仿宋_GB2312" w:cs="宋体"/>
                <w:b w:val="0"/>
                <w:bCs w:val="0"/>
                <w:color w:val="auto"/>
                <w:kern w:val="0"/>
                <w:szCs w:val="21"/>
              </w:rPr>
              <w:t>符合要求的记</w:t>
            </w:r>
            <w:r>
              <w:rPr>
                <w:rFonts w:hint="eastAsia" w:ascii="仿宋_GB2312" w:hAnsi="仿宋" w:eastAsia="仿宋_GB2312" w:cs="宋体"/>
                <w:b w:val="0"/>
                <w:bCs w:val="0"/>
                <w:color w:val="auto"/>
                <w:kern w:val="0"/>
                <w:szCs w:val="21"/>
                <w:lang w:val="en-US" w:eastAsia="zh-CN"/>
              </w:rPr>
              <w:t>1</w:t>
            </w:r>
            <w:r>
              <w:rPr>
                <w:rFonts w:hint="eastAsia" w:ascii="仿宋_GB2312" w:hAnsi="仿宋" w:eastAsia="仿宋_GB2312" w:cs="宋体"/>
                <w:b w:val="0"/>
                <w:bCs w:val="0"/>
                <w:color w:val="auto"/>
                <w:kern w:val="0"/>
                <w:szCs w:val="21"/>
              </w:rPr>
              <w:t>分，出现一起用工人员违法行为扣</w:t>
            </w:r>
            <w:r>
              <w:rPr>
                <w:rFonts w:hint="eastAsia" w:ascii="仿宋_GB2312" w:hAnsi="仿宋" w:eastAsia="仿宋_GB2312" w:cs="宋体"/>
                <w:b w:val="0"/>
                <w:bCs w:val="0"/>
                <w:color w:val="auto"/>
                <w:kern w:val="0"/>
                <w:szCs w:val="21"/>
                <w:lang w:val="en-US" w:eastAsia="zh-CN"/>
              </w:rPr>
              <w:t>0.5</w:t>
            </w:r>
            <w:r>
              <w:rPr>
                <w:rFonts w:hint="eastAsia" w:ascii="仿宋_GB2312" w:hAnsi="仿宋" w:eastAsia="仿宋_GB2312" w:cs="宋体"/>
                <w:b w:val="0"/>
                <w:bCs w:val="0"/>
                <w:color w:val="auto"/>
                <w:kern w:val="0"/>
                <w:szCs w:val="21"/>
              </w:rPr>
              <w:t>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cs="宋体"/>
                <w:b w:val="0"/>
                <w:bCs w:val="0"/>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val="en-US" w:eastAsia="zh-CN"/>
              </w:rPr>
              <w:t>党建进工地：在建工地按要求开展了“党建工地、支部建在项目上”活动的记1分，被评为先进项目部的记2分。</w:t>
            </w:r>
            <w:r>
              <w:rPr>
                <w:rFonts w:hint="eastAsia" w:ascii="仿宋_GB2312" w:hAnsi="仿宋" w:eastAsia="仿宋_GB2312" w:cs="宋体"/>
                <w:b w:val="0"/>
                <w:bCs w:val="0"/>
                <w:color w:val="auto"/>
                <w:kern w:val="0"/>
                <w:szCs w:val="21"/>
                <w:lang w:eastAsia="zh-CN"/>
              </w:rPr>
              <w:t>本项最多记</w:t>
            </w:r>
            <w:r>
              <w:rPr>
                <w:rFonts w:hint="eastAsia" w:ascii="仿宋_GB2312" w:hAnsi="仿宋" w:eastAsia="仿宋_GB2312" w:cs="宋体"/>
                <w:b w:val="0"/>
                <w:bCs w:val="0"/>
                <w:color w:val="auto"/>
                <w:kern w:val="0"/>
                <w:szCs w:val="21"/>
                <w:lang w:val="en-US" w:eastAsia="zh-CN"/>
              </w:rPr>
              <w:t>2分。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r>
              <w:rPr>
                <w:rFonts w:hint="eastAsia" w:ascii="仿宋_GB2312" w:hAnsi="仿宋" w:eastAsia="仿宋_GB2312" w:cs="仿宋_GB2312"/>
                <w:b w:val="0"/>
                <w:bCs w:val="0"/>
                <w:color w:val="auto"/>
                <w:szCs w:val="21"/>
                <w:u w:val="none"/>
                <w:lang w:val="en-US" w:eastAsia="zh-CN"/>
              </w:rPr>
              <w:t xml:space="preserve">  </w:t>
            </w: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 xml:space="preserve">  </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u w:val="none"/>
                <w:lang w:eastAsia="zh-CN"/>
              </w:rPr>
              <w:t>乡镇振兴：参加了乡镇振兴活动的记</w:t>
            </w:r>
            <w:r>
              <w:rPr>
                <w:rFonts w:hint="eastAsia" w:ascii="仿宋_GB2312" w:hAnsi="仿宋" w:eastAsia="仿宋_GB2312"/>
                <w:b w:val="0"/>
                <w:bCs w:val="0"/>
                <w:color w:val="auto"/>
                <w:szCs w:val="21"/>
                <w:u w:val="none"/>
                <w:lang w:val="en-US" w:eastAsia="zh-CN"/>
              </w:rPr>
              <w:t>1分，为乡</w:t>
            </w:r>
            <w:r>
              <w:rPr>
                <w:rFonts w:hint="eastAsia" w:ascii="仿宋_GB2312" w:hAnsi="仿宋" w:eastAsia="仿宋_GB2312"/>
                <w:b w:val="0"/>
                <w:bCs w:val="0"/>
                <w:color w:val="auto"/>
                <w:szCs w:val="21"/>
                <w:u w:val="none"/>
                <w:lang w:eastAsia="zh-CN"/>
              </w:rPr>
              <w:t>镇振兴每捐款捐物或参加以购代销活动</w:t>
            </w:r>
            <w:r>
              <w:rPr>
                <w:rFonts w:hint="eastAsia" w:ascii="仿宋_GB2312" w:hAnsi="仿宋" w:eastAsia="仿宋_GB2312"/>
                <w:b w:val="0"/>
                <w:bCs w:val="0"/>
                <w:color w:val="auto"/>
                <w:szCs w:val="21"/>
                <w:u w:val="none"/>
                <w:lang w:val="en-US" w:eastAsia="zh-CN"/>
              </w:rPr>
              <w:t>2万元</w:t>
            </w:r>
            <w:r>
              <w:rPr>
                <w:rFonts w:hint="eastAsia" w:ascii="仿宋_GB2312" w:hAnsi="仿宋" w:eastAsia="仿宋_GB2312"/>
                <w:b w:val="0"/>
                <w:bCs w:val="0"/>
                <w:color w:val="auto"/>
                <w:szCs w:val="21"/>
                <w:u w:val="none"/>
                <w:lang w:eastAsia="zh-CN"/>
              </w:rPr>
              <w:t>的以上的记</w:t>
            </w:r>
            <w:r>
              <w:rPr>
                <w:rFonts w:hint="eastAsia" w:ascii="仿宋_GB2312" w:hAnsi="仿宋" w:eastAsia="仿宋_GB2312"/>
                <w:b w:val="0"/>
                <w:bCs w:val="0"/>
                <w:color w:val="auto"/>
                <w:szCs w:val="21"/>
                <w:u w:val="none"/>
                <w:lang w:val="en-US" w:eastAsia="zh-CN"/>
              </w:rPr>
              <w:t>0.2分，</w:t>
            </w:r>
            <w:r>
              <w:rPr>
                <w:rFonts w:hint="eastAsia" w:ascii="仿宋_GB2312" w:hAnsi="仿宋" w:eastAsia="仿宋_GB2312" w:cs="宋体"/>
                <w:b w:val="0"/>
                <w:bCs w:val="0"/>
                <w:color w:val="auto"/>
                <w:kern w:val="0"/>
                <w:szCs w:val="21"/>
                <w:u w:val="none"/>
              </w:rPr>
              <w:t>最多计1分</w:t>
            </w:r>
            <w:r>
              <w:rPr>
                <w:rFonts w:hint="eastAsia" w:ascii="仿宋_GB2312" w:hAnsi="仿宋" w:eastAsia="仿宋_GB2312"/>
                <w:b w:val="0"/>
                <w:bCs w:val="0"/>
                <w:color w:val="auto"/>
                <w:szCs w:val="21"/>
                <w:u w:val="none"/>
                <w:lang w:val="en-US" w:eastAsia="zh-CN"/>
              </w:rPr>
              <w:t>。</w:t>
            </w:r>
            <w:r>
              <w:rPr>
                <w:rFonts w:hint="eastAsia" w:ascii="仿宋_GB2312" w:hAnsi="仿宋" w:eastAsia="仿宋_GB2312" w:cs="宋体"/>
                <w:b w:val="0"/>
                <w:bCs w:val="0"/>
                <w:color w:val="auto"/>
                <w:kern w:val="0"/>
                <w:szCs w:val="21"/>
                <w:u w:val="none"/>
                <w:lang w:eastAsia="zh-CN"/>
              </w:rPr>
              <w:t>本项最多记</w:t>
            </w:r>
            <w:r>
              <w:rPr>
                <w:rFonts w:hint="eastAsia" w:ascii="仿宋_GB2312" w:hAnsi="仿宋" w:eastAsia="仿宋_GB2312" w:cs="宋体"/>
                <w:b w:val="0"/>
                <w:bCs w:val="0"/>
                <w:color w:val="auto"/>
                <w:kern w:val="0"/>
                <w:szCs w:val="21"/>
                <w:u w:val="none"/>
                <w:lang w:val="en-US" w:eastAsia="zh-CN"/>
              </w:rPr>
              <w:t>2分。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竞赛项目：积极参加国家、省、市职业技能竞赛活动的单位记</w:t>
            </w:r>
            <w:r>
              <w:rPr>
                <w:rFonts w:hint="eastAsia" w:ascii="仿宋_GB2312" w:hAnsi="仿宋" w:eastAsia="仿宋_GB2312"/>
                <w:b w:val="0"/>
                <w:bCs w:val="0"/>
                <w:color w:val="auto"/>
                <w:szCs w:val="21"/>
                <w:lang w:val="en-US" w:eastAsia="zh-CN"/>
              </w:rPr>
              <w:t>0.5分/次，取得国家、省、市三等奖以上奖励的单位，分别加2、1.5、1分。</w:t>
            </w:r>
            <w:r>
              <w:rPr>
                <w:rFonts w:hint="eastAsia" w:ascii="仿宋_GB2312" w:hAnsi="仿宋" w:eastAsia="仿宋_GB2312" w:cs="宋体"/>
                <w:b w:val="0"/>
                <w:bCs w:val="0"/>
                <w:color w:val="auto"/>
                <w:kern w:val="0"/>
                <w:szCs w:val="21"/>
                <w:u w:val="none"/>
                <w:lang w:eastAsia="zh-CN"/>
              </w:rPr>
              <w:t>本项最多记</w:t>
            </w:r>
            <w:r>
              <w:rPr>
                <w:rFonts w:hint="eastAsia" w:ascii="仿宋_GB2312" w:hAnsi="仿宋" w:eastAsia="仿宋_GB2312" w:cs="宋体"/>
                <w:b w:val="0"/>
                <w:bCs w:val="0"/>
                <w:color w:val="auto"/>
                <w:kern w:val="0"/>
                <w:szCs w:val="21"/>
                <w:u w:val="none"/>
                <w:lang w:val="en-US" w:eastAsia="zh-CN"/>
              </w:rPr>
              <w:t>3分。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p>
            <w:pPr>
              <w:spacing w:line="600" w:lineRule="exact"/>
              <w:jc w:val="center"/>
              <w:rPr>
                <w:rFonts w:hint="default"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行业整治：</w:t>
            </w:r>
            <w:r>
              <w:rPr>
                <w:rFonts w:hint="eastAsia" w:ascii="仿宋_GB2312" w:hAnsi="仿宋" w:eastAsia="仿宋_GB2312"/>
                <w:b w:val="0"/>
                <w:bCs w:val="0"/>
                <w:color w:val="auto"/>
                <w:szCs w:val="21"/>
                <w:lang w:val="en-US" w:eastAsia="zh-CN"/>
              </w:rPr>
              <w:t>监察、司法、公安机关处罚，每项各扣1分。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 w:eastAsia="仿宋_GB2312" w:cs="仿宋_GB2312"/>
                <w:b w:val="0"/>
                <w:bCs w:val="0"/>
                <w:color w:val="auto"/>
                <w:szCs w:val="21"/>
                <w:u w:val="none"/>
                <w:lang w:val="en-US" w:eastAsia="zh-CN"/>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仿宋_GB2312" w:hAnsi="仿宋" w:eastAsia="仿宋_GB2312"/>
                <w:b w:val="0"/>
                <w:bCs w:val="0"/>
                <w:color w:val="auto"/>
                <w:szCs w:val="21"/>
                <w:lang w:val="en-US" w:eastAsia="zh-CN"/>
              </w:rPr>
            </w:pPr>
            <w:r>
              <w:rPr>
                <w:rFonts w:hint="eastAsia" w:ascii="仿宋_GB2312" w:hAnsi="仿宋" w:eastAsia="仿宋_GB2312"/>
                <w:b w:val="0"/>
                <w:bCs w:val="0"/>
                <w:color w:val="auto"/>
                <w:szCs w:val="21"/>
                <w:lang w:eastAsia="zh-CN"/>
              </w:rPr>
              <w:t>扫黑除恶：存在</w:t>
            </w:r>
            <w:r>
              <w:rPr>
                <w:rFonts w:hint="eastAsia" w:ascii="仿宋_GB2312" w:hAnsi="仿宋" w:eastAsia="仿宋_GB2312"/>
                <w:b w:val="0"/>
                <w:bCs w:val="0"/>
                <w:color w:val="auto"/>
                <w:szCs w:val="21"/>
                <w:lang w:val="en" w:eastAsia="zh-CN"/>
              </w:rPr>
              <w:t>强揽工程、强装强卸、强行阻工此类问题，受到司法机关处罚，</w:t>
            </w:r>
            <w:r>
              <w:rPr>
                <w:rFonts w:hint="eastAsia" w:ascii="仿宋_GB2312" w:hAnsi="仿宋" w:eastAsia="仿宋_GB2312"/>
                <w:b w:val="0"/>
                <w:bCs w:val="0"/>
                <w:color w:val="auto"/>
                <w:szCs w:val="21"/>
                <w:lang w:val="en-US" w:eastAsia="zh-CN"/>
              </w:rPr>
              <w:t>每项各扣1分。</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0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hint="eastAsia" w:ascii="仿宋_GB2312" w:hAnsi="仿宋" w:eastAsia="仿宋_GB2312"/>
                <w:b w:val="0"/>
                <w:bCs w:val="0"/>
                <w:color w:val="auto"/>
                <w:szCs w:val="21"/>
                <w:lang w:eastAsia="zh-CN"/>
              </w:rPr>
            </w:pPr>
            <w:r>
              <w:rPr>
                <w:rFonts w:hint="eastAsia" w:ascii="仿宋_GB2312" w:hAnsi="仿宋" w:eastAsia="仿宋_GB2312"/>
                <w:b w:val="0"/>
                <w:bCs w:val="0"/>
                <w:color w:val="auto"/>
                <w:szCs w:val="21"/>
                <w:lang w:eastAsia="zh-CN"/>
              </w:rPr>
              <w:t>小计</w:t>
            </w: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hint="eastAsia"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c>
          <w:tcPr>
            <w:tcW w:w="679" w:type="dxa"/>
            <w:tcBorders>
              <w:top w:val="single" w:color="auto" w:sz="4" w:space="0"/>
              <w:left w:val="single" w:color="auto" w:sz="4" w:space="0"/>
              <w:bottom w:val="single" w:color="auto" w:sz="4" w:space="0"/>
              <w:right w:val="single" w:color="auto" w:sz="4" w:space="0"/>
            </w:tcBorders>
          </w:tcPr>
          <w:p>
            <w:pPr>
              <w:spacing w:line="600" w:lineRule="exact"/>
              <w:ind w:firstLine="600" w:firstLineChars="200"/>
              <w:rPr>
                <w:rFonts w:ascii="仿宋_GB2312" w:hAnsi="仿宋" w:eastAsia="仿宋_GB2312"/>
                <w:b w:val="0"/>
                <w:bCs w:val="0"/>
                <w:color w:val="auto"/>
                <w:sz w:val="30"/>
                <w:szCs w:val="30"/>
              </w:rPr>
            </w:pP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注：附相关证明材料复印件</w:t>
      </w: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r>
        <w:rPr>
          <w:rFonts w:hint="eastAsia" w:ascii="仿宋_GB2312" w:hAnsi="仿宋" w:eastAsia="仿宋_GB2312" w:cs="宋体"/>
          <w:b w:val="0"/>
          <w:bCs w:val="0"/>
          <w:color w:val="auto"/>
          <w:kern w:val="0"/>
          <w:sz w:val="32"/>
          <w:szCs w:val="32"/>
          <w:u w:val="none"/>
        </w:rPr>
        <w:t xml:space="preserve">三、建筑工程质量、安全生产管理 </w:t>
      </w:r>
      <w:r>
        <w:rPr>
          <w:rFonts w:hint="eastAsia" w:ascii="仿宋_GB2312" w:hAnsi="仿宋" w:eastAsia="仿宋_GB2312" w:cs="宋体"/>
          <w:b w:val="0"/>
          <w:bCs w:val="0"/>
          <w:color w:val="auto"/>
          <w:kern w:val="0"/>
          <w:sz w:val="32"/>
          <w:szCs w:val="32"/>
          <w:u w:val="none"/>
          <w:lang w:val="en-US" w:eastAsia="zh-CN"/>
        </w:rPr>
        <w:t>30</w:t>
      </w:r>
      <w:r>
        <w:rPr>
          <w:rFonts w:hint="eastAsia" w:ascii="仿宋_GB2312" w:hAnsi="仿宋" w:eastAsia="仿宋_GB2312" w:cs="宋体"/>
          <w:b w:val="0"/>
          <w:bCs w:val="0"/>
          <w:color w:val="auto"/>
          <w:kern w:val="0"/>
          <w:sz w:val="32"/>
          <w:szCs w:val="32"/>
          <w:u w:val="none"/>
        </w:rPr>
        <w:t>分</w:t>
      </w:r>
    </w:p>
    <w:tbl>
      <w:tblPr>
        <w:tblStyle w:val="7"/>
        <w:tblW w:w="102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1"/>
        <w:gridCol w:w="678"/>
        <w:gridCol w:w="678"/>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评定内容及标准</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自</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初</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评</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评</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审</w:t>
            </w:r>
          </w:p>
        </w:tc>
        <w:tc>
          <w:tcPr>
            <w:tcW w:w="6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default" w:ascii="仿宋_GB2312" w:hAnsi="仿宋" w:eastAsia="仿宋_GB2312" w:cs="仿宋_GB2312"/>
                <w:b w:val="0"/>
                <w:bCs w:val="0"/>
                <w:color w:val="auto"/>
                <w:szCs w:val="21"/>
                <w:lang w:val="en-US" w:eastAsia="zh-CN"/>
              </w:rPr>
              <w:t>审</w:t>
            </w:r>
          </w:p>
          <w:p>
            <w:pPr>
              <w:autoSpaceDE w:val="0"/>
              <w:autoSpaceDN w:val="0"/>
              <w:adjustRightInd w:val="0"/>
              <w:spacing w:line="600" w:lineRule="exact"/>
              <w:rPr>
                <w:rFonts w:hint="eastAsia" w:ascii="仿宋_GB2312" w:hAnsi="仿宋" w:eastAsia="仿宋_GB2312" w:cs="仿宋_GB2312"/>
                <w:b w:val="0"/>
                <w:bCs w:val="0"/>
                <w:color w:val="auto"/>
                <w:szCs w:val="21"/>
                <w:lang w:val="zh-CN"/>
              </w:rPr>
            </w:pPr>
            <w:r>
              <w:rPr>
                <w:rFonts w:hint="default" w:ascii="仿宋_GB2312" w:hAnsi="仿宋" w:eastAsia="仿宋_GB2312" w:cs="仿宋_GB2312"/>
                <w:b w:val="0"/>
                <w:bCs w:val="0"/>
                <w:color w:val="auto"/>
                <w:szCs w:val="21"/>
                <w:lang w:val="en-US"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扣分项（</w:t>
            </w:r>
            <w:r>
              <w:rPr>
                <w:rFonts w:hint="eastAsia" w:ascii="仿宋_GB2312" w:hAnsi="仿宋" w:eastAsia="仿宋_GB2312" w:cs="宋体"/>
                <w:b w:val="0"/>
                <w:bCs w:val="0"/>
                <w:color w:val="auto"/>
                <w:kern w:val="0"/>
                <w:szCs w:val="21"/>
                <w:u w:val="none"/>
                <w:lang w:val="en-US" w:eastAsia="zh-CN"/>
              </w:rPr>
              <w:t>总计</w:t>
            </w:r>
            <w:r>
              <w:rPr>
                <w:rFonts w:hint="default" w:ascii="仿宋_GB2312" w:hAnsi="仿宋" w:eastAsia="仿宋_GB2312" w:cs="宋体"/>
                <w:b w:val="0"/>
                <w:bCs w:val="0"/>
                <w:color w:val="auto"/>
                <w:kern w:val="0"/>
                <w:szCs w:val="21"/>
                <w:u w:val="none"/>
                <w:lang w:val="en-US" w:eastAsia="zh-CN"/>
              </w:rPr>
              <w:t>20分</w:t>
            </w:r>
            <w:r>
              <w:rPr>
                <w:rFonts w:hint="eastAsia" w:ascii="仿宋_GB2312" w:hAnsi="仿宋" w:eastAsia="仿宋_GB2312" w:cs="宋体"/>
                <w:b w:val="0"/>
                <w:bCs w:val="0"/>
                <w:color w:val="auto"/>
                <w:kern w:val="0"/>
                <w:szCs w:val="21"/>
                <w:u w:val="none"/>
                <w:lang w:val="en-US" w:eastAsia="zh-CN"/>
              </w:rPr>
              <w:t>，逐项扣减，最低计0分</w:t>
            </w:r>
            <w:r>
              <w:rPr>
                <w:rFonts w:hint="default" w:ascii="仿宋_GB2312" w:hAnsi="仿宋" w:eastAsia="仿宋_GB2312" w:cs="宋体"/>
                <w:b w:val="0"/>
                <w:bCs w:val="0"/>
                <w:color w:val="auto"/>
                <w:kern w:val="0"/>
                <w:szCs w:val="21"/>
                <w:u w:val="none"/>
                <w:lang w:val="en-US" w:eastAsia="zh-CN"/>
              </w:rPr>
              <w:t>）</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企业质量、安全生产责任制未以红头文件发布，每次扣1分。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企业安全生产规章制度、操作规程未以红头文件发布，每次扣1分；未落实《湖南省房屋建筑和市政基础设施工程质量手册（试行）》相关要求，每次扣1分。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企业安全生产投入不符合要求，无年度投入计划表、实施表无法人签字、实际投入表与投入证明材料不符，每次扣1分。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企业未设置设置质量、安全生产管理机构和配置专职质量、安全管理人员、安全机构职责不清（机构负责人无C证）、安全管理机构人员配备不足，每次扣1分。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特种作业人员证件未复审、证件已过有效期，每次扣1分。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管理、作业人员年度安全培训教育不符合要求，未以红头文件发布企业安全教育管理办法或规章制度，每次扣1分；无年度培训教育计划、无特种作业人员培训考核记录、无人员考核合格情况记录，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企业安管人员配备数量不满足安全生产许可证的条件，每次扣2分；相关人员未依法购买工伤保险、养老保险，每次扣1分。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企业未建立职业危害防治、劳保用品各项制度，每次扣1分。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企业未制定危大工程及施工现场易发生重大事故的部位、环节的预防、监控措施和应急预案，每次扣2分。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企业未制定生产安全事故应急救援预案，以及无救援组织、器材、设备配置情况说明和救援组织人员名单，每次扣1分。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承建在邵阳行政区的项目或市属企业外拓项目建筑施工安全生产标准化季度考评不合格，每起分别扣2、1分。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承建在邵阳行政区的项目或市属企业外拓项目建筑施工质量标准化季度考评不合格，每起分别扣2、1分。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承建在邵阳行政区的项目，存在质量、安全投诉，且经核实造成一定影响的，每次扣1分。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企业未落实实名制管理，项目未设置实名制通道，每发现一次扣0.5分；无农民工工资发放专户的，每次扣1分。</w:t>
            </w: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企业未落实主管部门提出的质量、安全隐患，</w:t>
            </w:r>
            <w:r>
              <w:rPr>
                <w:rFonts w:hint="eastAsia" w:ascii="仿宋_GB2312" w:hAnsi="仿宋" w:eastAsia="仿宋_GB2312" w:cs="宋体"/>
                <w:b w:val="0"/>
                <w:bCs w:val="0"/>
                <w:color w:val="auto"/>
                <w:kern w:val="0"/>
                <w:szCs w:val="21"/>
                <w:u w:val="none"/>
                <w:lang w:val="en-US" w:eastAsia="zh-CN"/>
              </w:rPr>
              <w:t>建议</w:t>
            </w:r>
            <w:r>
              <w:rPr>
                <w:rFonts w:hint="default" w:ascii="仿宋_GB2312" w:hAnsi="仿宋" w:eastAsia="仿宋_GB2312" w:cs="宋体"/>
                <w:b w:val="0"/>
                <w:bCs w:val="0"/>
                <w:color w:val="auto"/>
                <w:kern w:val="0"/>
                <w:szCs w:val="21"/>
                <w:u w:val="none"/>
                <w:lang w:val="en-US" w:eastAsia="zh-CN"/>
              </w:rPr>
              <w:t>认定上报一般不良行为记录的，个人每次扣1分，单位每次扣2分；认定上报严重不良行为记录的，个人每次扣2分，单位每次扣4分。</w:t>
            </w: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Cs w:val="21"/>
                <w:u w:val="none"/>
              </w:rPr>
            </w:pPr>
            <w:r>
              <w:rPr>
                <w:rFonts w:hint="default" w:ascii="仿宋_GB2312" w:hAnsi="仿宋" w:eastAsia="仿宋_GB2312" w:cs="宋体"/>
                <w:b w:val="0"/>
                <w:bCs w:val="0"/>
                <w:color w:val="auto"/>
                <w:kern w:val="0"/>
                <w:szCs w:val="21"/>
                <w:u w:val="none"/>
                <w:lang w:val="en-US" w:eastAsia="zh-CN"/>
              </w:rPr>
              <w:t>企业承建的项目受到省、市、县级主管部门工程质量、安全监督检查通报批评的分别扣3、2、1分。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得分项（10分）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承建在邵阳行政区的项目或市属企业外拓项目获得建筑施工安全生产标准化季度考评优良，每项分别加2、1分；承建在邵阳行政区的项目或市属企业外拓项目获得省级、市级建筑施工安全生产标准化年度考评优良，每项分别加3、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承建在邵阳行政区的项目或市属企业外拓项目获得建筑施工质量管理标准化季度考评优良，每项分别加2、1分；承建在邵阳行政区的项目或市属企业外拓项目获得省级、市级建筑施工质量标准化年度考评优良，每项分别加3、2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获得省级、市级建筑市场先进单位的企业，每项分别加2、1分。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5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r>
              <w:rPr>
                <w:rFonts w:hint="default" w:ascii="仿宋_GB2312" w:hAnsi="仿宋" w:eastAsia="仿宋_GB2312" w:cs="宋体"/>
                <w:b w:val="0"/>
                <w:bCs w:val="0"/>
                <w:color w:val="auto"/>
                <w:kern w:val="0"/>
                <w:sz w:val="21"/>
                <w:szCs w:val="21"/>
                <w:u w:val="none"/>
                <w:lang w:val="en-US" w:eastAsia="zh-CN" w:bidi="ar-SA"/>
              </w:rPr>
              <w:t>获得省级、市级质量管理和安全生产标准化年度优良企业，每项分别加2、1分。</w:t>
            </w: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c>
          <w:tcPr>
            <w:tcW w:w="6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hint="eastAsia" w:ascii="仿宋_GB2312" w:hAnsi="仿宋" w:eastAsia="仿宋_GB2312" w:cs="宋体"/>
                <w:b w:val="0"/>
                <w:bCs w:val="0"/>
                <w:color w:val="auto"/>
                <w:kern w:val="0"/>
                <w:sz w:val="21"/>
                <w:szCs w:val="21"/>
                <w:u w:val="none"/>
                <w:lang w:val="en-US" w:eastAsia="zh-CN" w:bidi="ar-SA"/>
              </w:rPr>
            </w:pPr>
          </w:p>
        </w:tc>
      </w:tr>
    </w:tbl>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rPr>
          <w:rFonts w:ascii="仿宋_GB2312" w:hAnsi="仿宋" w:eastAsia="仿宋_GB2312" w:cs="宋体"/>
          <w:b w:val="0"/>
          <w:bCs w:val="0"/>
          <w:color w:val="auto"/>
          <w:kern w:val="0"/>
          <w:sz w:val="32"/>
          <w:szCs w:val="32"/>
        </w:rPr>
      </w:pPr>
      <w:r>
        <w:rPr>
          <w:rFonts w:hint="eastAsia" w:ascii="仿宋_GB2312" w:hAnsi="仿宋" w:eastAsia="仿宋_GB2312" w:cs="宋体"/>
          <w:b w:val="0"/>
          <w:bCs w:val="0"/>
          <w:color w:val="auto"/>
          <w:kern w:val="0"/>
          <w:sz w:val="32"/>
          <w:szCs w:val="32"/>
        </w:rPr>
        <w:t>四、投标履约 20分</w:t>
      </w:r>
    </w:p>
    <w:tbl>
      <w:tblPr>
        <w:tblStyle w:val="8"/>
        <w:tblW w:w="102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6"/>
        <w:gridCol w:w="708"/>
        <w:gridCol w:w="708"/>
        <w:gridCol w:w="771"/>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vAlign w:val="center"/>
          </w:tcPr>
          <w:p>
            <w:pPr>
              <w:autoSpaceDE w:val="0"/>
              <w:autoSpaceDN w:val="0"/>
              <w:adjustRightInd w:val="0"/>
              <w:spacing w:line="600" w:lineRule="exact"/>
              <w:ind w:firstLine="420" w:firstLineChars="200"/>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评定内容及标准</w:t>
            </w:r>
          </w:p>
        </w:tc>
        <w:tc>
          <w:tcPr>
            <w:tcW w:w="708"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自</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708"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初</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tc>
        <w:tc>
          <w:tcPr>
            <w:tcW w:w="771"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评</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审</w:t>
            </w:r>
          </w:p>
        </w:tc>
        <w:tc>
          <w:tcPr>
            <w:tcW w:w="687" w:type="dxa"/>
          </w:tcPr>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审</w:t>
            </w:r>
          </w:p>
          <w:p>
            <w:pPr>
              <w:autoSpaceDE w:val="0"/>
              <w:autoSpaceDN w:val="0"/>
              <w:adjustRightInd w:val="0"/>
              <w:spacing w:line="600" w:lineRule="exact"/>
              <w:rPr>
                <w:rFonts w:hint="default" w:ascii="仿宋_GB2312" w:hAnsi="仿宋" w:eastAsia="仿宋_GB2312" w:cs="仿宋_GB2312"/>
                <w:b w:val="0"/>
                <w:bCs w:val="0"/>
                <w:color w:val="auto"/>
                <w:szCs w:val="21"/>
                <w:lang w:val="en-US" w:eastAsia="zh-CN"/>
              </w:rPr>
            </w:pPr>
            <w:r>
              <w:rPr>
                <w:rFonts w:hint="eastAsia" w:ascii="仿宋_GB2312" w:hAnsi="仿宋" w:eastAsia="仿宋_GB2312" w:cs="仿宋_GB2312"/>
                <w:b w:val="0"/>
                <w:bCs w:val="0"/>
                <w:color w:val="auto"/>
                <w:szCs w:val="21"/>
                <w:lang w:val="en-US"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 xml:space="preserve">   标后稽查8分（扣分项）。一、存在以下“一票否决”情形的，一次性扣8分。1、签订与招标文件、投标文件实质内容不一致合同的；2、未在施工现场设立项目部的；3、承包单位将其承包的全部工程转给其他单位或个人施工的；4、承包单位将其承包的全部工程以分包的名义分别转给其他单位或个人施工的；5、存在依据法律法规认定的围标串标、违法分包、转包等其他违法违规行为的情形。二、存在以下情形的，每次扣1分，扣完8分为止。1、未按施工合同开展施工活动的；2、不落实人员考勤管理制度的；3、未按规定配备关键岗位人员，或未按规定变更岗位人员或变更手续不完善的；4、项目部人员组成不合理、数量不符合有关规定，或无任命文件的；5、无施工日志、安全日志，或不完整、弄虚作假的；6、检查时超过50%以上人员未在现场的；7、其他违反法律法规规定的情形。</w:t>
            </w:r>
          </w:p>
        </w:tc>
        <w:tc>
          <w:tcPr>
            <w:tcW w:w="708" w:type="dxa"/>
          </w:tcPr>
          <w:p>
            <w:pPr>
              <w:spacing w:line="600" w:lineRule="exact"/>
              <w:rPr>
                <w:rFonts w:ascii="仿宋" w:hAnsi="仿宋" w:eastAsia="仿宋" w:cs="仿宋"/>
                <w:b w:val="0"/>
                <w:bCs w:val="0"/>
                <w:color w:val="auto"/>
                <w:kern w:val="0"/>
                <w:sz w:val="28"/>
                <w:szCs w:val="28"/>
                <w:u w:val="double"/>
              </w:rPr>
            </w:pPr>
          </w:p>
        </w:tc>
        <w:tc>
          <w:tcPr>
            <w:tcW w:w="708" w:type="dxa"/>
          </w:tcPr>
          <w:p>
            <w:pPr>
              <w:spacing w:line="600" w:lineRule="exact"/>
              <w:rPr>
                <w:rFonts w:ascii="仿宋" w:hAnsi="仿宋" w:eastAsia="仿宋" w:cs="仿宋"/>
                <w:b w:val="0"/>
                <w:bCs w:val="0"/>
                <w:color w:val="auto"/>
                <w:kern w:val="0"/>
                <w:sz w:val="28"/>
                <w:szCs w:val="28"/>
                <w:u w:val="double"/>
              </w:rPr>
            </w:pPr>
          </w:p>
        </w:tc>
        <w:tc>
          <w:tcPr>
            <w:tcW w:w="771" w:type="dxa"/>
          </w:tcPr>
          <w:p>
            <w:pPr>
              <w:spacing w:line="600" w:lineRule="exact"/>
              <w:rPr>
                <w:rFonts w:ascii="仿宋" w:hAnsi="仿宋" w:eastAsia="仿宋" w:cs="仿宋"/>
                <w:b w:val="0"/>
                <w:bCs w:val="0"/>
                <w:color w:val="auto"/>
                <w:kern w:val="0"/>
                <w:sz w:val="28"/>
                <w:szCs w:val="28"/>
                <w:u w:val="double"/>
              </w:rPr>
            </w:pPr>
          </w:p>
        </w:tc>
        <w:tc>
          <w:tcPr>
            <w:tcW w:w="687" w:type="dxa"/>
          </w:tcPr>
          <w:p>
            <w:pPr>
              <w:spacing w:line="600" w:lineRule="exact"/>
              <w:rPr>
                <w:rFonts w:ascii="仿宋" w:hAnsi="仿宋" w:eastAsia="仿宋" w:cs="仿宋"/>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 xml:space="preserve">  企业投标日常行为4分（扣分项）。存在以下情形的，每次扣1分，扣完4分为止。1、递交了投标文件但无故不解密文件的；2、故意递交过期奖项，骗取奖项加分的；3、拟任项目经理无故不参加现场评委答辩的；4、恶意质疑或投诉影响招投标活动正常开展的；5、其他违反法律法规规定的情形。 投标</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6" w:type="dxa"/>
          </w:tcPr>
          <w:p>
            <w:pPr>
              <w:adjustRightInd w:val="0"/>
              <w:snapToGrid w:val="0"/>
              <w:spacing w:line="600" w:lineRule="exact"/>
              <w:ind w:firstLine="210" w:firstLineChars="100"/>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履约优良企业评选8分（加分项）。获得投标履约优良企业的记8分，合格的记5分。未获评审等级，但参加了投标履约优良企业评选的记3分。</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406" w:type="dxa"/>
          </w:tcPr>
          <w:p>
            <w:pPr>
              <w:adjustRightInd w:val="0"/>
              <w:snapToGrid w:val="0"/>
              <w:spacing w:line="600" w:lineRule="exact"/>
              <w:rPr>
                <w:rFonts w:hint="default"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cs="宋体"/>
                <w:b w:val="0"/>
                <w:bCs w:val="0"/>
                <w:color w:val="auto"/>
                <w:kern w:val="0"/>
                <w:sz w:val="21"/>
                <w:szCs w:val="21"/>
                <w:u w:val="none"/>
                <w:lang w:val="en-US" w:eastAsia="zh-CN" w:bidi="ar-SA"/>
              </w:rPr>
              <w:t>小计：</w:t>
            </w:r>
          </w:p>
        </w:tc>
        <w:tc>
          <w:tcPr>
            <w:tcW w:w="708" w:type="dxa"/>
          </w:tcPr>
          <w:p>
            <w:pPr>
              <w:spacing w:line="600" w:lineRule="exact"/>
              <w:rPr>
                <w:b w:val="0"/>
                <w:bCs w:val="0"/>
                <w:color w:val="auto"/>
                <w:kern w:val="0"/>
                <w:sz w:val="28"/>
                <w:szCs w:val="28"/>
                <w:u w:val="double"/>
              </w:rPr>
            </w:pPr>
          </w:p>
        </w:tc>
        <w:tc>
          <w:tcPr>
            <w:tcW w:w="708" w:type="dxa"/>
          </w:tcPr>
          <w:p>
            <w:pPr>
              <w:spacing w:line="600" w:lineRule="exact"/>
              <w:rPr>
                <w:b w:val="0"/>
                <w:bCs w:val="0"/>
                <w:color w:val="auto"/>
                <w:kern w:val="0"/>
                <w:sz w:val="28"/>
                <w:szCs w:val="28"/>
                <w:u w:val="double"/>
              </w:rPr>
            </w:pPr>
          </w:p>
        </w:tc>
        <w:tc>
          <w:tcPr>
            <w:tcW w:w="771" w:type="dxa"/>
          </w:tcPr>
          <w:p>
            <w:pPr>
              <w:spacing w:line="600" w:lineRule="exact"/>
              <w:rPr>
                <w:b w:val="0"/>
                <w:bCs w:val="0"/>
                <w:color w:val="auto"/>
                <w:kern w:val="0"/>
                <w:sz w:val="28"/>
                <w:szCs w:val="28"/>
                <w:u w:val="double"/>
              </w:rPr>
            </w:pPr>
          </w:p>
        </w:tc>
        <w:tc>
          <w:tcPr>
            <w:tcW w:w="687" w:type="dxa"/>
          </w:tcPr>
          <w:p>
            <w:pPr>
              <w:spacing w:line="600" w:lineRule="exact"/>
              <w:rPr>
                <w:b w:val="0"/>
                <w:bCs w:val="0"/>
                <w:color w:val="auto"/>
                <w:kern w:val="0"/>
                <w:sz w:val="28"/>
                <w:szCs w:val="28"/>
                <w:u w:val="double"/>
              </w:rPr>
            </w:pPr>
          </w:p>
        </w:tc>
      </w:tr>
    </w:tbl>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五、执行法律法规情况 10分</w:t>
      </w:r>
    </w:p>
    <w:tbl>
      <w:tblPr>
        <w:tblStyle w:val="7"/>
        <w:tblW w:w="96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6"/>
        <w:gridCol w:w="588"/>
        <w:gridCol w:w="589"/>
        <w:gridCol w:w="58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评定内容及标准</w:t>
            </w:r>
          </w:p>
        </w:tc>
        <w:tc>
          <w:tcPr>
            <w:tcW w:w="5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自</w:t>
            </w:r>
          </w:p>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初</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kern w:val="0"/>
                <w:szCs w:val="21"/>
                <w:u w:val="none"/>
              </w:rPr>
            </w:pPr>
            <w:r>
              <w:rPr>
                <w:rFonts w:hint="eastAsia" w:ascii="仿宋_GB2312" w:hAnsi="仿宋" w:eastAsia="仿宋_GB2312" w:cs="宋体"/>
                <w:b w:val="0"/>
                <w:bCs w:val="0"/>
                <w:color w:val="auto"/>
                <w:kern w:val="0"/>
                <w:szCs w:val="21"/>
                <w:u w:val="none"/>
              </w:rPr>
              <w:t>年度内受到建设行业主管部门行政处理的，每次扣3分。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spacing w:val="-20"/>
                <w:kern w:val="0"/>
                <w:szCs w:val="21"/>
                <w:u w:val="none"/>
              </w:rPr>
            </w:pPr>
            <w:r>
              <w:rPr>
                <w:rFonts w:hint="eastAsia" w:ascii="仿宋_GB2312" w:hAnsi="仿宋" w:eastAsia="仿宋_GB2312" w:cs="宋体"/>
                <w:b w:val="0"/>
                <w:bCs w:val="0"/>
                <w:color w:val="auto"/>
                <w:kern w:val="0"/>
                <w:szCs w:val="21"/>
                <w:u w:val="none"/>
              </w:rPr>
              <w:t>不配合主管部门的执法检查或不服从主管部门管理以及拒不整改的，每次扣2分。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未取得项目施工许可擅自施工的，每个项目扣1分。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工程项目部管理人员、建造师、“三类人员”与招投标备案人员不一致的，每人每次扣1分；其它“关键岗位人员”</w:t>
            </w:r>
            <w:r>
              <w:rPr>
                <w:rFonts w:hint="eastAsia" w:ascii="仿宋_GB2312"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与招投标备案人员不一致的，每人每次扣0.5分；建造师、“三类人员”脱岗或不履职的，每人每次扣0.5分；“关键岗位人员”</w:t>
            </w:r>
            <w:r>
              <w:rPr>
                <w:rFonts w:hint="eastAsia" w:ascii="仿宋_GB2312" w:hAnsi="宋体" w:eastAsia="仿宋_GB2312" w:cs="宋体"/>
                <w:b w:val="0"/>
                <w:bCs w:val="0"/>
                <w:color w:val="auto"/>
                <w:kern w:val="0"/>
                <w:szCs w:val="21"/>
                <w:u w:val="none"/>
              </w:rPr>
              <w:t> </w:t>
            </w:r>
            <w:r>
              <w:rPr>
                <w:rFonts w:hint="eastAsia" w:ascii="仿宋_GB2312" w:hAnsi="仿宋" w:eastAsia="仿宋_GB2312" w:cs="宋体"/>
                <w:b w:val="0"/>
                <w:bCs w:val="0"/>
                <w:color w:val="auto"/>
                <w:kern w:val="0"/>
                <w:szCs w:val="21"/>
                <w:u w:val="none"/>
              </w:rPr>
              <w:t>脱岗或不履职的，每人每次扣0.2分；建造师、“三类人员”同时承接两个及以上大中型在建项目的，每人每次扣1分；项目经理部人员未履行合同实施有效管理的，每次扣1分；变更建造师不及时办理变更手续的，每次扣0.5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现场特种作业人员持证上岗率不足100%的，每次扣0.5分；现场作业人员持证上岗率不足90%的，每次扣1分。</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66"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小计</w:t>
            </w:r>
          </w:p>
        </w:tc>
        <w:tc>
          <w:tcPr>
            <w:tcW w:w="588"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589"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bl>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注：无上述行为的计满分；有上述行为的，按标准扣分，最多扣10分。</w:t>
      </w:r>
    </w:p>
    <w:p>
      <w:pPr>
        <w:spacing w:line="600" w:lineRule="exact"/>
        <w:ind w:firstLine="640" w:firstLineChars="200"/>
        <w:rPr>
          <w:rFonts w:ascii="仿宋_GB2312" w:hAnsi="仿宋" w:eastAsia="仿宋_GB2312" w:cs="宋体"/>
          <w:b w:val="0"/>
          <w:bCs w:val="0"/>
          <w:color w:val="auto"/>
          <w:kern w:val="0"/>
          <w:sz w:val="32"/>
          <w:szCs w:val="32"/>
          <w:u w:val="none"/>
        </w:rPr>
      </w:pPr>
    </w:p>
    <w:p>
      <w:pPr>
        <w:spacing w:line="600" w:lineRule="exact"/>
        <w:rPr>
          <w:rFonts w:ascii="仿宋_GB2312" w:hAnsi="仿宋" w:eastAsia="仿宋_GB2312" w:cs="宋体"/>
          <w:b w:val="0"/>
          <w:bCs w:val="0"/>
          <w:color w:val="auto"/>
          <w:kern w:val="0"/>
          <w:sz w:val="32"/>
          <w:szCs w:val="32"/>
          <w:u w:val="none"/>
        </w:rPr>
      </w:pPr>
    </w:p>
    <w:p>
      <w:pPr>
        <w:rPr>
          <w:rFonts w:hint="eastAsia"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br w:type="page"/>
      </w:r>
    </w:p>
    <w:p>
      <w:pPr>
        <w:spacing w:line="600" w:lineRule="exact"/>
        <w:ind w:firstLine="640" w:firstLineChars="200"/>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六、教育培训5分</w:t>
      </w:r>
    </w:p>
    <w:tbl>
      <w:tblPr>
        <w:tblStyle w:val="7"/>
        <w:tblW w:w="95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gridCol w:w="666"/>
        <w:gridCol w:w="666"/>
        <w:gridCol w:w="66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8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评定内容及标准</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自</w:t>
            </w:r>
          </w:p>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初</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评</w:t>
            </w:r>
          </w:p>
        </w:tc>
        <w:tc>
          <w:tcPr>
            <w:tcW w:w="6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w:t>
            </w:r>
          </w:p>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w:t>
            </w:r>
          </w:p>
        </w:tc>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企业主要负责人、项目负责人、专职安全生产管理人员、“关键岗位人员”、作业人员或者特种作业人员，未经安全教育培训或者未经考核合格即从事相关工作，每人每次扣0.2分。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企业未建立安全生产“三级教育”制度或教育落实不到位的，扣2分；无年度培训计划的，扣1分；无培训记录的，扣1分。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不积极组织参加各级行政主管部门或行业协会组织的各类培训活动的，每次扣0.5分。</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5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小计</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c>
          <w:tcPr>
            <w:tcW w:w="666"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667" w:type="dxa"/>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bl>
    <w:p>
      <w:pPr>
        <w:pStyle w:val="6"/>
        <w:spacing w:before="0" w:beforeAutospacing="0" w:after="0" w:afterAutospacing="0" w:line="600" w:lineRule="exact"/>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jc w:val="both"/>
        <w:rPr>
          <w:rFonts w:ascii="仿宋_GB2312" w:hAnsi="仿宋" w:eastAsia="仿宋_GB2312"/>
          <w:b w:val="0"/>
          <w:bCs w:val="0"/>
          <w:color w:val="auto"/>
          <w:sz w:val="32"/>
          <w:szCs w:val="32"/>
          <w:u w:val="none"/>
        </w:rPr>
      </w:pPr>
    </w:p>
    <w:p>
      <w:pPr>
        <w:pStyle w:val="6"/>
        <w:spacing w:before="0" w:beforeAutospacing="0" w:after="0" w:afterAutospacing="0" w:line="600" w:lineRule="exact"/>
        <w:ind w:firstLine="640" w:firstLineChars="200"/>
        <w:jc w:val="both"/>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七、其他应予直接认定情形</w:t>
      </w:r>
    </w:p>
    <w:tbl>
      <w:tblPr>
        <w:tblStyle w:val="7"/>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72" w:type="dxa"/>
            <w:gridSpan w:val="3"/>
          </w:tcPr>
          <w:p>
            <w:pPr>
              <w:pStyle w:val="6"/>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1、企业有如下获奖情形的，诚信评价等级直接实时认定为A级：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eastAsia="仿宋_GB2312"/>
                <w:b w:val="0"/>
                <w:bCs w:val="0"/>
                <w:color w:val="auto"/>
                <w:sz w:val="21"/>
                <w:szCs w:val="21"/>
                <w:u w:val="none"/>
              </w:rPr>
              <w:t>考核期内企业无违法违规行为、未受到邵阳市行政主管部门严重不良行为处罚的并近两年在邵阳市行政区内项目或本市企业外拓工程获一个及以上鲁班奖或芙蓉奖的。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810" w:type="dxa"/>
          </w:tcPr>
          <w:p>
            <w:pPr>
              <w:pStyle w:val="6"/>
              <w:spacing w:before="0" w:beforeAutospacing="0" w:after="0" w:afterAutospacing="0" w:line="600" w:lineRule="exact"/>
              <w:ind w:firstLine="420" w:firstLineChars="200"/>
              <w:jc w:val="both"/>
              <w:rPr>
                <w:rFonts w:hint="eastAsia" w:ascii="仿宋_GB2312" w:eastAsia="仿宋_GB2312"/>
                <w:b w:val="0"/>
                <w:bCs w:val="0"/>
                <w:color w:val="auto"/>
                <w:sz w:val="21"/>
                <w:szCs w:val="21"/>
                <w:u w:val="none"/>
                <w:lang w:eastAsia="zh-CN"/>
              </w:rPr>
            </w:pPr>
            <w:r>
              <w:rPr>
                <w:rFonts w:hint="eastAsia" w:ascii="仿宋_GB2312" w:eastAsia="仿宋_GB2312"/>
                <w:b w:val="0"/>
                <w:bCs w:val="0"/>
                <w:color w:val="auto"/>
                <w:sz w:val="21"/>
                <w:szCs w:val="21"/>
                <w:u w:val="none"/>
              </w:rPr>
              <w:t>考核期内企业无违法违规行为、未受到邵阳市行政主管部门严重不良行为处罚并</w:t>
            </w:r>
            <w:r>
              <w:rPr>
                <w:rFonts w:hint="eastAsia" w:ascii="仿宋_GB2312" w:eastAsia="仿宋_GB2312"/>
                <w:b w:val="0"/>
                <w:bCs w:val="0"/>
                <w:color w:val="auto"/>
                <w:sz w:val="21"/>
                <w:szCs w:val="21"/>
                <w:u w:val="none"/>
                <w:lang w:eastAsia="zh-CN"/>
              </w:rPr>
              <w:t>成功在国内外资本市场挂牌上市的。</w:t>
            </w:r>
          </w:p>
        </w:tc>
        <w:tc>
          <w:tcPr>
            <w:tcW w:w="1681" w:type="dxa"/>
            <w:vAlign w:val="top"/>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b w:val="0"/>
                <w:bCs w:val="0"/>
                <w:color w:val="auto"/>
                <w:sz w:val="21"/>
                <w:szCs w:val="21"/>
                <w:u w:val="none"/>
              </w:rPr>
              <w:t>□无</w:t>
            </w:r>
          </w:p>
        </w:tc>
        <w:tc>
          <w:tcPr>
            <w:tcW w:w="1681" w:type="dxa"/>
            <w:vAlign w:val="top"/>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cs="宋体"/>
                <w:b w:val="0"/>
                <w:bCs w:val="0"/>
                <w:color w:val="auto"/>
                <w:kern w:val="0"/>
                <w:sz w:val="21"/>
                <w:szCs w:val="21"/>
                <w:u w:val="none"/>
                <w:lang w:val="en-US" w:eastAsia="zh-CN" w:bidi="ar-SA"/>
              </w:rPr>
            </w:pPr>
            <w:r>
              <w:rPr>
                <w:rFonts w:hint="eastAsia" w:ascii="仿宋_GB2312" w:hAnsi="仿宋" w:eastAsia="仿宋_GB2312"/>
                <w:b w:val="0"/>
                <w:bCs w:val="0"/>
                <w:color w:val="auto"/>
                <w:sz w:val="21"/>
                <w:szCs w:val="21"/>
                <w:u w:val="none"/>
              </w:rPr>
              <w:t>□无</w:t>
            </w:r>
          </w:p>
        </w:tc>
      </w:tr>
    </w:tbl>
    <w:p>
      <w:pPr>
        <w:spacing w:line="600" w:lineRule="exact"/>
        <w:ind w:firstLine="420" w:firstLineChars="200"/>
        <w:rPr>
          <w:rFonts w:hint="eastAsia"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说明：</w:t>
      </w:r>
    </w:p>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1.</w:t>
      </w:r>
      <w:r>
        <w:rPr>
          <w:rFonts w:hint="eastAsia" w:ascii="仿宋_GB2312" w:eastAsia="仿宋_GB2312"/>
          <w:b w:val="0"/>
          <w:bCs w:val="0"/>
          <w:color w:val="auto"/>
          <w:szCs w:val="21"/>
          <w:u w:val="none"/>
        </w:rPr>
        <w:t xml:space="preserve"> 邵阳市行政区内项目</w:t>
      </w:r>
      <w:r>
        <w:rPr>
          <w:rFonts w:hint="eastAsia" w:ascii="仿宋_GB2312" w:hAnsi="仿宋" w:eastAsia="仿宋_GB2312" w:cs="宋体"/>
          <w:b w:val="0"/>
          <w:bCs w:val="0"/>
          <w:color w:val="auto"/>
          <w:kern w:val="0"/>
          <w:szCs w:val="21"/>
          <w:u w:val="none"/>
        </w:rPr>
        <w:t>及本市企业外拓工程获省外类似湖南省优质工程奖、芙蓉奖的，提供相关证明材料；</w:t>
      </w:r>
    </w:p>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2.外市企业所创的市、省、国家级优质工程都必须在我市行政规划区内。</w:t>
      </w:r>
    </w:p>
    <w:tbl>
      <w:tblPr>
        <w:tblStyle w:val="7"/>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6"/>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2、企业有下列情形之一的，信用评价等级直接认定为</w:t>
            </w:r>
            <w:r>
              <w:rPr>
                <w:rFonts w:hint="eastAsia" w:ascii="仿宋_GB2312" w:hAnsi="仿宋" w:eastAsia="仿宋_GB2312"/>
                <w:b/>
                <w:bCs/>
                <w:color w:val="auto"/>
                <w:sz w:val="21"/>
                <w:szCs w:val="21"/>
                <w:u w:val="none"/>
                <w:lang w:val="en-US" w:eastAsia="zh-CN"/>
              </w:rPr>
              <w:t>D</w:t>
            </w:r>
            <w:r>
              <w:rPr>
                <w:rFonts w:hint="eastAsia" w:ascii="仿宋_GB2312" w:hAnsi="仿宋" w:eastAsia="仿宋_GB2312"/>
                <w:b/>
                <w:bCs/>
                <w:color w:val="auto"/>
                <w:sz w:val="21"/>
                <w:szCs w:val="21"/>
                <w:u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在招投标活动中认定一次及以上有围标串标、买标卖标行为，骗领投标保证金行为，以他人名义投标、挂靠企业资质或以其他方式弄虚作假骗取中标等行为的。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企业安全生产许可证过期或企业资质动态考核不合格或企业安全认证考核不合格的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申报资料或证明材料弄虚作假被查实的。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lang w:eastAsia="zh-CN"/>
              </w:rPr>
            </w:pPr>
            <w:r>
              <w:rPr>
                <w:rFonts w:ascii="仿宋_GB2312" w:hAnsi="仿宋" w:eastAsia="仿宋_GB2312"/>
                <w:b w:val="0"/>
                <w:bCs w:val="0"/>
                <w:color w:val="auto"/>
                <w:sz w:val="21"/>
                <w:szCs w:val="21"/>
                <w:u w:val="none"/>
              </w:rPr>
              <w:t>年度内发生</w:t>
            </w:r>
            <w:r>
              <w:rPr>
                <w:rFonts w:hint="eastAsia" w:ascii="仿宋_GB2312" w:hAnsi="仿宋" w:eastAsia="仿宋_GB2312"/>
                <w:b w:val="0"/>
                <w:bCs w:val="0"/>
                <w:color w:val="auto"/>
                <w:sz w:val="21"/>
                <w:szCs w:val="21"/>
                <w:u w:val="none"/>
                <w:lang w:eastAsia="zh-CN"/>
              </w:rPr>
              <w:t>一般</w:t>
            </w:r>
            <w:r>
              <w:rPr>
                <w:rFonts w:ascii="仿宋_GB2312" w:hAnsi="仿宋" w:eastAsia="仿宋_GB2312"/>
                <w:b w:val="0"/>
                <w:bCs w:val="0"/>
                <w:color w:val="auto"/>
                <w:sz w:val="21"/>
                <w:szCs w:val="21"/>
                <w:u w:val="none"/>
              </w:rPr>
              <w:t>及以上或经济损失</w:t>
            </w:r>
            <w:r>
              <w:rPr>
                <w:rFonts w:hint="eastAsia" w:ascii="仿宋_GB2312" w:hAnsi="仿宋" w:eastAsia="仿宋_GB2312"/>
                <w:b w:val="0"/>
                <w:bCs w:val="0"/>
                <w:color w:val="auto"/>
                <w:sz w:val="21"/>
                <w:szCs w:val="21"/>
                <w:u w:val="none"/>
              </w:rPr>
              <w:t>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万元以上安全事故</w:t>
            </w:r>
            <w:r>
              <w:rPr>
                <w:rFonts w:hint="eastAsia" w:ascii="仿宋_GB2312" w:hAnsi="仿宋" w:eastAsia="仿宋_GB2312" w:cs="Times New Roman"/>
                <w:b w:val="0"/>
                <w:bCs w:val="0"/>
                <w:color w:val="auto"/>
                <w:sz w:val="21"/>
                <w:szCs w:val="21"/>
                <w:u w:val="none"/>
                <w:lang w:eastAsia="zh-CN"/>
              </w:rPr>
              <w:t>并</w:t>
            </w:r>
            <w:r>
              <w:rPr>
                <w:rFonts w:hint="eastAsia" w:ascii="仿宋_GB2312" w:hAnsi="仿宋" w:eastAsia="仿宋_GB2312" w:cs="Times New Roman"/>
                <w:b w:val="0"/>
                <w:bCs w:val="0"/>
                <w:color w:val="auto"/>
                <w:sz w:val="21"/>
                <w:szCs w:val="21"/>
                <w:u w:val="none"/>
              </w:rPr>
              <w:t>造成人员受伤、财产损失等恶劣社会影响</w:t>
            </w:r>
            <w:r>
              <w:rPr>
                <w:rFonts w:hint="eastAsia" w:ascii="仿宋_GB2312" w:hAnsi="仿宋" w:eastAsia="仿宋_GB2312" w:cs="Times New Roman"/>
                <w:b w:val="0"/>
                <w:bCs w:val="0"/>
                <w:color w:val="auto"/>
                <w:sz w:val="21"/>
                <w:szCs w:val="21"/>
                <w:u w:val="none"/>
                <w:lang w:eastAsia="zh-CN"/>
              </w:rPr>
              <w:t>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发生直接经济损失100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万元以上质量事故或因施工质量问题引起群众集体投诉上访，</w:t>
            </w:r>
            <w:r>
              <w:rPr>
                <w:rFonts w:hint="eastAsia" w:ascii="仿宋_GB2312" w:hAnsi="仿宋" w:eastAsia="仿宋_GB2312"/>
                <w:b w:val="0"/>
                <w:bCs w:val="0"/>
                <w:color w:val="auto"/>
                <w:sz w:val="21"/>
                <w:szCs w:val="21"/>
                <w:u w:val="none"/>
                <w:lang w:eastAsia="zh-CN"/>
              </w:rPr>
              <w:t>经查实并</w:t>
            </w:r>
            <w:r>
              <w:rPr>
                <w:rFonts w:hint="eastAsia" w:ascii="仿宋_GB2312" w:hAnsi="仿宋" w:eastAsia="仿宋_GB2312"/>
                <w:b w:val="0"/>
                <w:bCs w:val="0"/>
                <w:color w:val="auto"/>
                <w:sz w:val="21"/>
                <w:szCs w:val="21"/>
                <w:u w:val="none"/>
              </w:rPr>
              <w:t>造成恶劣社会影响的。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b w:val="0"/>
                <w:bCs w:val="0"/>
                <w:color w:val="auto"/>
                <w:sz w:val="21"/>
                <w:szCs w:val="21"/>
                <w:u w:val="none"/>
              </w:rPr>
              <w:t>拒不履行或拖延履行工程质量保修义务的。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企业年内被记两次严重不良行为记录的。</w:t>
            </w:r>
            <w:r>
              <w:rPr>
                <w:rFonts w:hint="eastAsia" w:ascii="仿宋_GB2312" w:hAnsi="仿宋" w:eastAsia="仿宋_GB2312"/>
                <w:b w:val="0"/>
                <w:bCs w:val="0"/>
                <w:color w:val="auto"/>
                <w:sz w:val="21"/>
                <w:szCs w:val="21"/>
                <w:u w:val="none"/>
              </w:rPr>
              <w:tab/>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认定一次及以上出让资质、转包、挂靠行为的。</w:t>
            </w:r>
            <w:r>
              <w:rPr>
                <w:rFonts w:hint="eastAsia" w:ascii="仿宋_GB2312" w:hAnsi="仿宋" w:eastAsia="仿宋_GB2312"/>
                <w:b w:val="0"/>
                <w:bCs w:val="0"/>
                <w:color w:val="auto"/>
                <w:sz w:val="21"/>
                <w:szCs w:val="21"/>
                <w:u w:val="none"/>
              </w:rPr>
              <w:tab/>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hint="eastAsia"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bl>
    <w:p>
      <w:pPr>
        <w:spacing w:line="600" w:lineRule="exact"/>
        <w:rPr>
          <w:rFonts w:ascii="仿宋_GB2312" w:hAnsi="仿宋" w:eastAsia="仿宋_GB2312" w:cs="宋体"/>
          <w:b w:val="0"/>
          <w:bCs w:val="0"/>
          <w:color w:val="auto"/>
          <w:kern w:val="0"/>
          <w:szCs w:val="21"/>
          <w:u w:val="none"/>
        </w:rPr>
      </w:pPr>
    </w:p>
    <w:tbl>
      <w:tblPr>
        <w:tblStyle w:val="7"/>
        <w:tblW w:w="91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0"/>
        <w:gridCol w:w="168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72" w:type="dxa"/>
            <w:gridSpan w:val="3"/>
          </w:tcPr>
          <w:p>
            <w:pPr>
              <w:pStyle w:val="6"/>
              <w:spacing w:before="0" w:beforeAutospacing="0" w:after="0" w:afterAutospacing="0" w:line="600" w:lineRule="exact"/>
              <w:ind w:firstLine="422" w:firstLineChars="200"/>
              <w:jc w:val="both"/>
              <w:rPr>
                <w:rFonts w:ascii="仿宋_GB2312" w:hAnsi="仿宋" w:eastAsia="仿宋_GB2312"/>
                <w:b w:val="0"/>
                <w:bCs w:val="0"/>
                <w:color w:val="auto"/>
                <w:sz w:val="21"/>
                <w:szCs w:val="21"/>
                <w:u w:val="none"/>
              </w:rPr>
            </w:pPr>
            <w:r>
              <w:rPr>
                <w:rFonts w:hint="eastAsia" w:ascii="仿宋_GB2312" w:hAnsi="仿宋" w:eastAsia="仿宋_GB2312"/>
                <w:b/>
                <w:bCs/>
                <w:color w:val="auto"/>
                <w:sz w:val="21"/>
                <w:szCs w:val="21"/>
                <w:u w:val="none"/>
              </w:rPr>
              <w:t>3、企业有下列情形之一的，信用评价等级实时降一级：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cs="Times New Roman"/>
                <w:b w:val="0"/>
                <w:bCs w:val="0"/>
                <w:color w:val="auto"/>
                <w:sz w:val="21"/>
                <w:szCs w:val="21"/>
                <w:u w:val="none"/>
              </w:rPr>
            </w:pPr>
            <w:r>
              <w:rPr>
                <w:rFonts w:hint="eastAsia" w:ascii="仿宋_GB2312" w:hAnsi="仿宋" w:eastAsia="仿宋_GB2312" w:cs="仿宋_GB2312"/>
                <w:b w:val="0"/>
                <w:bCs w:val="0"/>
                <w:color w:val="auto"/>
                <w:sz w:val="21"/>
                <w:szCs w:val="21"/>
                <w:u w:val="none"/>
                <w:lang w:val="zh-CN"/>
              </w:rPr>
              <w:t>评定内容</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自评情况</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cs="Times New Roman"/>
                <w:b w:val="0"/>
                <w:bCs w:val="0"/>
                <w:color w:val="auto"/>
                <w:sz w:val="21"/>
                <w:szCs w:val="21"/>
                <w:u w:val="none"/>
              </w:rPr>
              <w:t>因企业自身原因发生拖欠农民工工资等严重影响社会稳定的恶性群体性事件，</w:t>
            </w:r>
            <w:r>
              <w:rPr>
                <w:rFonts w:hint="eastAsia" w:ascii="仿宋_GB2312" w:hAnsi="仿宋" w:eastAsia="仿宋_GB2312"/>
                <w:b w:val="0"/>
                <w:bCs w:val="0"/>
                <w:color w:val="auto"/>
                <w:sz w:val="21"/>
                <w:szCs w:val="21"/>
                <w:u w:val="none"/>
              </w:rPr>
              <w:t>被县级及以上人民政府或建设行政主管部门通报</w:t>
            </w:r>
            <w:r>
              <w:rPr>
                <w:rFonts w:hint="eastAsia" w:ascii="仿宋_GB2312" w:hAnsi="仿宋" w:eastAsia="仿宋_GB2312" w:cs="Times New Roman"/>
                <w:b w:val="0"/>
                <w:bCs w:val="0"/>
                <w:color w:val="auto"/>
                <w:sz w:val="21"/>
                <w:szCs w:val="21"/>
                <w:u w:val="none"/>
              </w:rPr>
              <w:t>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ascii="仿宋_GB2312" w:hAnsi="仿宋" w:eastAsia="仿宋_GB2312"/>
                <w:b w:val="0"/>
                <w:bCs w:val="0"/>
                <w:color w:val="auto"/>
                <w:sz w:val="21"/>
                <w:szCs w:val="21"/>
                <w:u w:val="none"/>
              </w:rPr>
              <w:t>年度内</w:t>
            </w:r>
            <w:r>
              <w:rPr>
                <w:rFonts w:hint="eastAsia" w:ascii="仿宋_GB2312" w:hAnsi="仿宋" w:eastAsia="仿宋_GB2312" w:cs="Times New Roman"/>
                <w:b w:val="0"/>
                <w:bCs w:val="0"/>
                <w:color w:val="auto"/>
                <w:sz w:val="21"/>
                <w:szCs w:val="21"/>
                <w:u w:val="none"/>
              </w:rPr>
              <w:t>发生</w:t>
            </w:r>
            <w:r>
              <w:rPr>
                <w:rFonts w:hint="eastAsia" w:ascii="仿宋_GB2312" w:hAnsi="仿宋" w:eastAsia="仿宋_GB2312" w:cs="Times New Roman"/>
                <w:b w:val="0"/>
                <w:bCs w:val="0"/>
                <w:color w:val="auto"/>
                <w:sz w:val="21"/>
                <w:szCs w:val="21"/>
                <w:u w:val="none"/>
                <w:lang w:eastAsia="zh-CN"/>
              </w:rPr>
              <w:t>一般以下</w:t>
            </w:r>
            <w:r>
              <w:rPr>
                <w:rFonts w:hint="eastAsia" w:ascii="仿宋_GB2312" w:hAnsi="仿宋" w:eastAsia="仿宋_GB2312" w:cs="Times New Roman"/>
                <w:b w:val="0"/>
                <w:bCs w:val="0"/>
                <w:color w:val="auto"/>
                <w:sz w:val="21"/>
                <w:szCs w:val="21"/>
                <w:u w:val="none"/>
              </w:rPr>
              <w:t>安全生产事故的。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ascii="仿宋_GB2312" w:hAnsi="仿宋" w:eastAsia="仿宋_GB2312"/>
                <w:b w:val="0"/>
                <w:bCs w:val="0"/>
                <w:color w:val="auto"/>
                <w:sz w:val="21"/>
                <w:szCs w:val="21"/>
                <w:u w:val="none"/>
              </w:rPr>
              <w:t>年度内</w:t>
            </w:r>
            <w:r>
              <w:rPr>
                <w:rFonts w:hint="eastAsia" w:ascii="仿宋_GB2312" w:hAnsi="仿宋" w:eastAsia="仿宋_GB2312"/>
                <w:b w:val="0"/>
                <w:bCs w:val="0"/>
                <w:color w:val="auto"/>
                <w:sz w:val="21"/>
                <w:szCs w:val="21"/>
                <w:u w:val="none"/>
              </w:rPr>
              <w:t>发生直接经济损失</w:t>
            </w:r>
            <w:r>
              <w:rPr>
                <w:rFonts w:hint="eastAsia" w:ascii="仿宋_GB2312" w:hAnsi="仿宋" w:eastAsia="仿宋_GB2312"/>
                <w:b w:val="0"/>
                <w:bCs w:val="0"/>
                <w:color w:val="auto"/>
                <w:sz w:val="21"/>
                <w:szCs w:val="21"/>
                <w:u w:val="none"/>
                <w:lang w:val="en-US" w:eastAsia="zh-CN"/>
              </w:rPr>
              <w:t>100万元以上</w:t>
            </w:r>
            <w:r>
              <w:rPr>
                <w:rFonts w:hint="eastAsia" w:ascii="仿宋_GB2312" w:hAnsi="仿宋" w:eastAsia="仿宋_GB2312"/>
                <w:b w:val="0"/>
                <w:bCs w:val="0"/>
                <w:color w:val="auto"/>
                <w:sz w:val="21"/>
                <w:szCs w:val="21"/>
                <w:u w:val="none"/>
              </w:rPr>
              <w:t>100</w:t>
            </w:r>
            <w:r>
              <w:rPr>
                <w:rFonts w:hint="eastAsia" w:ascii="仿宋_GB2312" w:hAnsi="仿宋" w:eastAsia="仿宋_GB2312"/>
                <w:b w:val="0"/>
                <w:bCs w:val="0"/>
                <w:color w:val="auto"/>
                <w:sz w:val="21"/>
                <w:szCs w:val="21"/>
                <w:u w:val="none"/>
                <w:lang w:val="en-US" w:eastAsia="zh-CN"/>
              </w:rPr>
              <w:t>0</w:t>
            </w:r>
            <w:r>
              <w:rPr>
                <w:rFonts w:hint="eastAsia" w:ascii="仿宋_GB2312" w:hAnsi="仿宋" w:eastAsia="仿宋_GB2312"/>
                <w:b w:val="0"/>
                <w:bCs w:val="0"/>
                <w:color w:val="auto"/>
                <w:sz w:val="21"/>
                <w:szCs w:val="21"/>
                <w:u w:val="none"/>
              </w:rPr>
              <w:t>万元以</w:t>
            </w:r>
            <w:r>
              <w:rPr>
                <w:rFonts w:hint="eastAsia" w:ascii="仿宋_GB2312" w:hAnsi="仿宋" w:eastAsia="仿宋_GB2312"/>
                <w:b w:val="0"/>
                <w:bCs w:val="0"/>
                <w:color w:val="auto"/>
                <w:sz w:val="21"/>
                <w:szCs w:val="21"/>
                <w:u w:val="none"/>
                <w:lang w:eastAsia="zh-CN"/>
              </w:rPr>
              <w:t>下</w:t>
            </w:r>
            <w:r>
              <w:rPr>
                <w:rFonts w:hint="eastAsia" w:ascii="仿宋_GB2312" w:hAnsi="仿宋" w:eastAsia="仿宋_GB2312"/>
                <w:b w:val="0"/>
                <w:bCs w:val="0"/>
                <w:color w:val="auto"/>
                <w:sz w:val="21"/>
                <w:szCs w:val="21"/>
                <w:u w:val="none"/>
              </w:rPr>
              <w:t>质量事故的。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810"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拒不配合行业主管部门的监督检查或主管部门下发的停工整改通知书、行政处罚决定书的，情节严重被主管部门通报的。</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c>
          <w:tcPr>
            <w:tcW w:w="1681" w:type="dxa"/>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□有</w:t>
            </w:r>
          </w:p>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□无</w:t>
            </w:r>
          </w:p>
        </w:tc>
      </w:tr>
    </w:tbl>
    <w:p>
      <w:pPr>
        <w:spacing w:line="600" w:lineRule="exact"/>
        <w:rPr>
          <w:rFonts w:ascii="仿宋_GB2312" w:hAnsi="仿宋" w:eastAsia="仿宋_GB2312" w:cs="宋体"/>
          <w:b w:val="0"/>
          <w:bCs w:val="0"/>
          <w:color w:val="auto"/>
          <w:kern w:val="0"/>
          <w:szCs w:val="21"/>
          <w:u w:val="none"/>
        </w:rPr>
      </w:pPr>
    </w:p>
    <w:p>
      <w:pPr>
        <w:spacing w:line="600" w:lineRule="exact"/>
        <w:rPr>
          <w:rFonts w:ascii="仿宋_GB2312" w:hAnsi="仿宋" w:eastAsia="仿宋_GB2312" w:cs="宋体"/>
          <w:b w:val="0"/>
          <w:bCs w:val="0"/>
          <w:color w:val="auto"/>
          <w:kern w:val="0"/>
          <w:szCs w:val="21"/>
          <w:u w:val="none"/>
        </w:rPr>
      </w:pPr>
    </w:p>
    <w:p>
      <w:pPr>
        <w:spacing w:line="600" w:lineRule="exact"/>
        <w:rPr>
          <w:rFonts w:ascii="仿宋_GB2312" w:hAnsi="仿宋" w:eastAsia="仿宋_GB2312" w:cs="宋体"/>
          <w:b w:val="0"/>
          <w:bCs w:val="0"/>
          <w:color w:val="auto"/>
          <w:kern w:val="0"/>
          <w:sz w:val="32"/>
          <w:szCs w:val="32"/>
          <w:u w:val="none"/>
        </w:rPr>
      </w:pPr>
      <w:r>
        <w:rPr>
          <w:rFonts w:hint="eastAsia" w:ascii="仿宋_GB2312" w:hAnsi="仿宋" w:eastAsia="仿宋_GB2312" w:cs="宋体"/>
          <w:b w:val="0"/>
          <w:bCs w:val="0"/>
          <w:color w:val="auto"/>
          <w:kern w:val="0"/>
          <w:sz w:val="32"/>
          <w:szCs w:val="32"/>
          <w:u w:val="none"/>
        </w:rPr>
        <w:t>八、邵阳市建筑施工企业信用等级评定评分汇总表</w:t>
      </w:r>
    </w:p>
    <w:p>
      <w:pPr>
        <w:spacing w:line="600" w:lineRule="exact"/>
        <w:rPr>
          <w:rFonts w:hint="default" w:ascii="仿宋_GB2312" w:hAnsi="仿宋" w:eastAsia="仿宋_GB2312" w:cs="宋体"/>
          <w:b w:val="0"/>
          <w:bCs w:val="0"/>
          <w:color w:val="auto"/>
          <w:kern w:val="0"/>
          <w:sz w:val="32"/>
          <w:szCs w:val="32"/>
          <w:u w:val="none"/>
          <w:lang w:val="en-US" w:eastAsia="zh-CN"/>
        </w:rPr>
      </w:pPr>
      <w:r>
        <w:rPr>
          <w:rFonts w:hint="eastAsia" w:ascii="仿宋_GB2312" w:hAnsi="仿宋" w:eastAsia="仿宋_GB2312" w:cs="宋体"/>
          <w:b w:val="0"/>
          <w:bCs w:val="0"/>
          <w:color w:val="auto"/>
          <w:kern w:val="0"/>
          <w:sz w:val="32"/>
          <w:szCs w:val="32"/>
          <w:u w:val="none"/>
        </w:rPr>
        <w:t>申报企业：</w:t>
      </w:r>
      <w:r>
        <w:rPr>
          <w:rFonts w:hint="eastAsia" w:ascii="仿宋_GB2312" w:hAnsi="仿宋" w:eastAsia="仿宋_GB2312" w:cs="宋体"/>
          <w:b w:val="0"/>
          <w:bCs w:val="0"/>
          <w:color w:val="auto"/>
          <w:kern w:val="0"/>
          <w:sz w:val="32"/>
          <w:szCs w:val="32"/>
          <w:u w:val="none"/>
          <w:lang w:val="en-US" w:eastAsia="zh-CN"/>
        </w:rPr>
        <w:t>______________</w:t>
      </w:r>
    </w:p>
    <w:tbl>
      <w:tblPr>
        <w:tblStyle w:val="7"/>
        <w:tblW w:w="5131"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1"/>
        <w:gridCol w:w="1416"/>
        <w:gridCol w:w="1539"/>
        <w:gridCol w:w="79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名 称</w:t>
            </w:r>
          </w:p>
        </w:tc>
        <w:tc>
          <w:tcPr>
            <w:tcW w:w="77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cs="仿宋_GB2312"/>
                <w:b w:val="0"/>
                <w:bCs w:val="0"/>
                <w:color w:val="auto"/>
                <w:szCs w:val="21"/>
                <w:u w:val="none"/>
                <w:lang w:val="zh-CN"/>
              </w:rPr>
              <w:t>分 值</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 定 得 分</w:t>
            </w:r>
          </w:p>
        </w:tc>
        <w:tc>
          <w:tcPr>
            <w:tcW w:w="117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600" w:lineRule="exact"/>
              <w:ind w:firstLine="420" w:firstLineChars="200"/>
              <w:rPr>
                <w:rFonts w:ascii="仿宋_GB2312" w:hAnsi="仿宋" w:eastAsia="仿宋_GB2312" w:cs="仿宋_GB2312"/>
                <w:b w:val="0"/>
                <w:bCs w:val="0"/>
                <w:color w:val="auto"/>
                <w:szCs w:val="21"/>
                <w:u w:val="none"/>
                <w:lang w:val="zh-CN"/>
              </w:rPr>
            </w:pPr>
            <w:r>
              <w:rPr>
                <w:rFonts w:hint="eastAsia" w:ascii="仿宋_GB2312" w:hAnsi="仿宋" w:eastAsia="仿宋_GB2312" w:cs="仿宋_GB2312"/>
                <w:b w:val="0"/>
                <w:bCs w:val="0"/>
                <w:color w:val="auto"/>
                <w:szCs w:val="21"/>
                <w:u w:val="none"/>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企业内部各项管理保障体系</w:t>
            </w:r>
          </w:p>
        </w:tc>
        <w:tc>
          <w:tcPr>
            <w:tcW w:w="771" w:type="pct"/>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20</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782" w:type="pct"/>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600" w:lineRule="exact"/>
              <w:ind w:firstLine="420" w:firstLineChars="200"/>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社会职责</w:t>
            </w:r>
          </w:p>
        </w:tc>
        <w:tc>
          <w:tcPr>
            <w:tcW w:w="771" w:type="pct"/>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15</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建筑工程质量、安全生产管理</w:t>
            </w:r>
          </w:p>
        </w:tc>
        <w:tc>
          <w:tcPr>
            <w:tcW w:w="771" w:type="pct"/>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lang w:val="en-US" w:eastAsia="zh-CN"/>
              </w:rPr>
              <w:t>30</w:t>
            </w:r>
            <w:r>
              <w:rPr>
                <w:rFonts w:hint="eastAsia" w:ascii="仿宋_GB2312" w:hAnsi="仿宋" w:eastAsia="仿宋_GB2312"/>
                <w:b w:val="0"/>
                <w:bCs w:val="0"/>
                <w:color w:val="auto"/>
                <w:sz w:val="21"/>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ascii="仿宋_GB2312" w:hAnsi="仿宋" w:eastAsia="仿宋_GB2312" w:cs="宋体"/>
                <w:b w:val="0"/>
                <w:bCs w:val="0"/>
                <w:color w:val="auto"/>
                <w:kern w:val="0"/>
                <w:szCs w:val="21"/>
                <w:u w:val="none"/>
              </w:rPr>
              <w:t>投标履约情况</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lang w:val="en-US" w:eastAsia="zh-CN"/>
              </w:rPr>
              <w:t>20</w:t>
            </w:r>
            <w:r>
              <w:rPr>
                <w:rFonts w:hint="eastAsia" w:ascii="仿宋_GB2312" w:hAnsi="仿宋" w:eastAsia="仿宋_GB2312" w:cs="宋体"/>
                <w:b w:val="0"/>
                <w:bCs w:val="0"/>
                <w:color w:val="auto"/>
                <w:kern w:val="0"/>
                <w:szCs w:val="21"/>
                <w:u w:val="none"/>
              </w:rPr>
              <w:t>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cs="宋体"/>
                <w:b w:val="0"/>
                <w:bCs w:val="0"/>
                <w:color w:val="auto"/>
                <w:kern w:val="0"/>
                <w:szCs w:val="21"/>
                <w:u w:val="none"/>
              </w:rPr>
            </w:pPr>
            <w:r>
              <w:rPr>
                <w:rFonts w:hint="eastAsia" w:ascii="仿宋_GB2312" w:hAnsi="仿宋" w:eastAsia="仿宋_GB2312" w:cs="宋体"/>
                <w:b w:val="0"/>
                <w:bCs w:val="0"/>
                <w:color w:val="auto"/>
                <w:kern w:val="0"/>
                <w:szCs w:val="21"/>
                <w:u w:val="none"/>
              </w:rPr>
              <w:t>执行法律法规</w:t>
            </w:r>
          </w:p>
        </w:tc>
        <w:tc>
          <w:tcPr>
            <w:tcW w:w="771" w:type="pct"/>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600" w:lineRule="exact"/>
              <w:jc w:val="both"/>
              <w:rPr>
                <w:rFonts w:ascii="仿宋_GB2312" w:hAnsi="仿宋" w:eastAsia="仿宋_GB2312"/>
                <w:b w:val="0"/>
                <w:bCs w:val="0"/>
                <w:color w:val="auto"/>
                <w:sz w:val="21"/>
                <w:szCs w:val="21"/>
                <w:u w:val="none"/>
              </w:rPr>
            </w:pPr>
            <w:r>
              <w:rPr>
                <w:rFonts w:hint="eastAsia" w:ascii="仿宋_GB2312" w:hAnsi="仿宋" w:eastAsia="仿宋_GB2312"/>
                <w:b w:val="0"/>
                <w:bCs w:val="0"/>
                <w:color w:val="auto"/>
                <w:sz w:val="21"/>
                <w:szCs w:val="21"/>
                <w:u w:val="none"/>
              </w:rPr>
              <w:t>10分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教育培训</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5分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合计得分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cs="宋体"/>
                <w:b w:val="0"/>
                <w:bCs w:val="0"/>
                <w:color w:val="auto"/>
                <w:kern w:val="0"/>
                <w:szCs w:val="21"/>
                <w:u w:val="none"/>
              </w:rPr>
              <w:t>100分</w:t>
            </w:r>
          </w:p>
        </w:tc>
        <w:tc>
          <w:tcPr>
            <w:tcW w:w="1271" w:type="pct"/>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p>
        </w:tc>
        <w:tc>
          <w:tcPr>
            <w:tcW w:w="1175"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是否获得可直接评定为A级项目的奖项</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是否存在应直接评定为</w:t>
            </w:r>
            <w:r>
              <w:rPr>
                <w:rFonts w:hint="eastAsia" w:ascii="仿宋_GB2312" w:hAnsi="仿宋" w:eastAsia="仿宋_GB2312"/>
                <w:b w:val="0"/>
                <w:bCs w:val="0"/>
                <w:color w:val="auto"/>
                <w:szCs w:val="21"/>
                <w:u w:val="none"/>
                <w:lang w:val="en-US" w:eastAsia="zh-CN"/>
              </w:rPr>
              <w:t>D</w:t>
            </w:r>
            <w:r>
              <w:rPr>
                <w:rFonts w:hint="eastAsia" w:ascii="仿宋_GB2312" w:hAnsi="仿宋" w:eastAsia="仿宋_GB2312"/>
                <w:b w:val="0"/>
                <w:bCs w:val="0"/>
                <w:color w:val="auto"/>
                <w:szCs w:val="21"/>
                <w:u w:val="none"/>
              </w:rPr>
              <w:t>级行为</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是否存在应降一级处理行为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c>
          <w:tcPr>
            <w:tcW w:w="1609"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c>
          <w:tcPr>
            <w:tcW w:w="1608" w:type="pct"/>
            <w:gridSpan w:val="2"/>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82" w:type="pct"/>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200"/>
              <w:rPr>
                <w:rFonts w:ascii="仿宋_GB2312" w:hAnsi="仿宋" w:eastAsia="仿宋_GB2312"/>
                <w:b w:val="0"/>
                <w:bCs w:val="0"/>
                <w:color w:val="auto"/>
                <w:szCs w:val="21"/>
                <w:u w:val="none"/>
              </w:rPr>
            </w:pPr>
            <w:r>
              <w:rPr>
                <w:rFonts w:hint="eastAsia" w:ascii="仿宋_GB2312" w:hAnsi="仿宋" w:eastAsia="仿宋_GB2312"/>
                <w:b w:val="0"/>
                <w:bCs w:val="0"/>
                <w:color w:val="auto"/>
                <w:szCs w:val="21"/>
                <w:u w:val="none"/>
              </w:rPr>
              <w:t>评定等级建议</w:t>
            </w:r>
          </w:p>
        </w:tc>
        <w:tc>
          <w:tcPr>
            <w:tcW w:w="3218" w:type="pct"/>
            <w:gridSpan w:val="4"/>
            <w:tcBorders>
              <w:top w:val="single" w:color="auto" w:sz="4" w:space="0"/>
              <w:left w:val="single" w:color="auto" w:sz="4" w:space="0"/>
              <w:right w:val="single" w:color="auto" w:sz="4" w:space="0"/>
            </w:tcBorders>
            <w:shd w:val="clear" w:color="auto" w:fill="auto"/>
            <w:vAlign w:val="center"/>
          </w:tcPr>
          <w:p>
            <w:pPr>
              <w:spacing w:line="600" w:lineRule="exact"/>
              <w:ind w:firstLine="420" w:firstLineChars="200"/>
              <w:rPr>
                <w:rFonts w:ascii="仿宋_GB2312" w:hAnsi="仿宋" w:eastAsia="仿宋_GB2312"/>
                <w:b w:val="0"/>
                <w:bCs w:val="0"/>
                <w:color w:val="auto"/>
                <w:szCs w:val="21"/>
                <w:u w:val="none"/>
              </w:rPr>
            </w:pPr>
          </w:p>
        </w:tc>
      </w:tr>
    </w:tbl>
    <w:p>
      <w:pPr>
        <w:spacing w:line="600" w:lineRule="exact"/>
        <w:ind w:right="2100" w:rightChars="1000"/>
        <w:jc w:val="right"/>
        <w:rPr>
          <w:rFonts w:ascii="仿宋_GB2312" w:hAnsi="仿宋" w:eastAsia="仿宋_GB2312"/>
          <w:b w:val="0"/>
          <w:bCs w:val="0"/>
          <w:color w:val="auto"/>
          <w:sz w:val="32"/>
          <w:szCs w:val="32"/>
          <w:u w:val="none"/>
        </w:rPr>
      </w:pPr>
    </w:p>
    <w:p>
      <w:pPr>
        <w:spacing w:line="600" w:lineRule="exact"/>
        <w:ind w:right="2100" w:rightChars="1000"/>
        <w:jc w:val="right"/>
        <w:rPr>
          <w:rFonts w:ascii="仿宋_GB2312" w:hAnsi="仿宋" w:eastAsia="仿宋_GB2312"/>
          <w:b w:val="0"/>
          <w:bCs w:val="0"/>
          <w:color w:val="auto"/>
          <w:sz w:val="32"/>
          <w:szCs w:val="32"/>
          <w:u w:val="none"/>
        </w:rPr>
      </w:pPr>
    </w:p>
    <w:p>
      <w:pPr>
        <w:spacing w:line="600" w:lineRule="exact"/>
        <w:ind w:right="2100" w:rightChars="1000"/>
        <w:jc w:val="right"/>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评价委员会成员签名：</w:t>
      </w:r>
    </w:p>
    <w:p>
      <w:pPr>
        <w:spacing w:line="600" w:lineRule="exact"/>
        <w:ind w:right="1680" w:rightChars="800"/>
        <w:jc w:val="right"/>
        <w:rPr>
          <w:rFonts w:ascii="仿宋_GB2312" w:hAnsi="仿宋" w:eastAsia="仿宋_GB2312"/>
          <w:b w:val="0"/>
          <w:bCs w:val="0"/>
          <w:color w:val="auto"/>
          <w:sz w:val="32"/>
          <w:szCs w:val="32"/>
          <w:u w:val="none"/>
        </w:rPr>
      </w:pPr>
      <w:r>
        <w:rPr>
          <w:rFonts w:hint="eastAsia" w:ascii="仿宋_GB2312" w:hAnsi="仿宋" w:eastAsia="仿宋_GB2312"/>
          <w:b w:val="0"/>
          <w:bCs w:val="0"/>
          <w:color w:val="auto"/>
          <w:sz w:val="32"/>
          <w:szCs w:val="32"/>
          <w:u w:val="none"/>
        </w:rPr>
        <w:t>年    月    日</w:t>
      </w:r>
    </w:p>
    <w:p>
      <w:pPr>
        <w:spacing w:line="600" w:lineRule="exact"/>
        <w:rPr>
          <w:rFonts w:ascii="仿宋_GB2312" w:hAnsi="仿宋" w:eastAsia="仿宋_GB2312"/>
          <w:b w:val="0"/>
          <w:bCs w:val="0"/>
          <w:color w:val="auto"/>
          <w:u w:val="none"/>
        </w:rPr>
      </w:pPr>
    </w:p>
    <w:sectPr>
      <w:pgSz w:w="11906" w:h="16838"/>
      <w:pgMar w:top="1361"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6FD1DA-589A-4A01-8619-37847C09C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6A3C646-A5C0-4194-B4CC-EC5AE3BDDF5C}"/>
  </w:font>
  <w:font w:name="方正小标宋简体">
    <w:panose1 w:val="02000000000000000000"/>
    <w:charset w:val="86"/>
    <w:family w:val="auto"/>
    <w:pitch w:val="default"/>
    <w:sig w:usb0="00000001" w:usb1="08000000" w:usb2="00000000" w:usb3="00000000" w:csb0="00040000" w:csb1="00000000"/>
    <w:embedRegular r:id="rId3" w:fontKey="{6DE09092-D585-4D0B-8BC4-DB89E9C4BB23}"/>
  </w:font>
  <w:font w:name="方正仿宋_GBK">
    <w:panose1 w:val="02000000000000000000"/>
    <w:charset w:val="86"/>
    <w:family w:val="auto"/>
    <w:pitch w:val="default"/>
    <w:sig w:usb0="A00002BF" w:usb1="38CF7CFA" w:usb2="00082016" w:usb3="00000000" w:csb0="00040001" w:csb1="00000000"/>
    <w:embedRegular r:id="rId4" w:fontKey="{1BC68032-EFF3-4A96-8A74-B5A123CA2E01}"/>
  </w:font>
  <w:font w:name="仿宋">
    <w:panose1 w:val="02010609060101010101"/>
    <w:charset w:val="86"/>
    <w:family w:val="auto"/>
    <w:pitch w:val="default"/>
    <w:sig w:usb0="800002BF" w:usb1="38CF7CFA" w:usb2="00000016" w:usb3="00000000" w:csb0="00040001" w:csb1="00000000"/>
    <w:embedRegular r:id="rId5" w:fontKey="{82A33D02-998B-4ACE-94DC-8A730BAF77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mirrorMargins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GU0ZTBmMmM1OTYzYWVmOWVhNTYxYzZlYWIxNGYifQ=="/>
  </w:docVars>
  <w:rsids>
    <w:rsidRoot w:val="008332EC"/>
    <w:rsid w:val="000115B1"/>
    <w:rsid w:val="000225B4"/>
    <w:rsid w:val="000A6FF2"/>
    <w:rsid w:val="000F0A94"/>
    <w:rsid w:val="00160AA4"/>
    <w:rsid w:val="0018162D"/>
    <w:rsid w:val="00182F8E"/>
    <w:rsid w:val="00192FC1"/>
    <w:rsid w:val="001B0B48"/>
    <w:rsid w:val="001E4C6E"/>
    <w:rsid w:val="00216987"/>
    <w:rsid w:val="00252D58"/>
    <w:rsid w:val="00260887"/>
    <w:rsid w:val="002705AC"/>
    <w:rsid w:val="00276DC9"/>
    <w:rsid w:val="002828BC"/>
    <w:rsid w:val="002A0DA4"/>
    <w:rsid w:val="002A2E29"/>
    <w:rsid w:val="002D6DA0"/>
    <w:rsid w:val="002D6EF4"/>
    <w:rsid w:val="002E7A1E"/>
    <w:rsid w:val="00312F8C"/>
    <w:rsid w:val="0032409B"/>
    <w:rsid w:val="003353EB"/>
    <w:rsid w:val="00335978"/>
    <w:rsid w:val="00365C90"/>
    <w:rsid w:val="00372BA8"/>
    <w:rsid w:val="003B0792"/>
    <w:rsid w:val="004007E1"/>
    <w:rsid w:val="004017B4"/>
    <w:rsid w:val="004056FE"/>
    <w:rsid w:val="004256A3"/>
    <w:rsid w:val="00433275"/>
    <w:rsid w:val="00452D93"/>
    <w:rsid w:val="004914AE"/>
    <w:rsid w:val="00496D8A"/>
    <w:rsid w:val="004B692E"/>
    <w:rsid w:val="00505B6C"/>
    <w:rsid w:val="00517CDA"/>
    <w:rsid w:val="00525D86"/>
    <w:rsid w:val="00542AC1"/>
    <w:rsid w:val="005468A9"/>
    <w:rsid w:val="005541D3"/>
    <w:rsid w:val="00570521"/>
    <w:rsid w:val="00571D96"/>
    <w:rsid w:val="005C29D5"/>
    <w:rsid w:val="005C758C"/>
    <w:rsid w:val="005E3FE4"/>
    <w:rsid w:val="0060277F"/>
    <w:rsid w:val="006033C1"/>
    <w:rsid w:val="00616923"/>
    <w:rsid w:val="006423A6"/>
    <w:rsid w:val="006633FD"/>
    <w:rsid w:val="006933DB"/>
    <w:rsid w:val="00695E73"/>
    <w:rsid w:val="006C5C3B"/>
    <w:rsid w:val="006D1F2B"/>
    <w:rsid w:val="006E131C"/>
    <w:rsid w:val="00784B38"/>
    <w:rsid w:val="007967CC"/>
    <w:rsid w:val="007E099B"/>
    <w:rsid w:val="00817BE2"/>
    <w:rsid w:val="00831AFB"/>
    <w:rsid w:val="008332EC"/>
    <w:rsid w:val="008345BC"/>
    <w:rsid w:val="00845E25"/>
    <w:rsid w:val="008A21AD"/>
    <w:rsid w:val="008D5E75"/>
    <w:rsid w:val="00904DBD"/>
    <w:rsid w:val="0091050F"/>
    <w:rsid w:val="009131EC"/>
    <w:rsid w:val="00963567"/>
    <w:rsid w:val="00966A25"/>
    <w:rsid w:val="00977141"/>
    <w:rsid w:val="0098350A"/>
    <w:rsid w:val="009A0298"/>
    <w:rsid w:val="009A053B"/>
    <w:rsid w:val="009B0FAE"/>
    <w:rsid w:val="009F3C17"/>
    <w:rsid w:val="00A3026A"/>
    <w:rsid w:val="00A3577E"/>
    <w:rsid w:val="00A45F7B"/>
    <w:rsid w:val="00A47683"/>
    <w:rsid w:val="00A52D40"/>
    <w:rsid w:val="00A60493"/>
    <w:rsid w:val="00A61393"/>
    <w:rsid w:val="00A62F9D"/>
    <w:rsid w:val="00AD115F"/>
    <w:rsid w:val="00AE3A29"/>
    <w:rsid w:val="00B14955"/>
    <w:rsid w:val="00B15639"/>
    <w:rsid w:val="00B20F06"/>
    <w:rsid w:val="00B26F20"/>
    <w:rsid w:val="00B65C51"/>
    <w:rsid w:val="00B67C10"/>
    <w:rsid w:val="00B826F2"/>
    <w:rsid w:val="00B97455"/>
    <w:rsid w:val="00BA4B8B"/>
    <w:rsid w:val="00BC1BB7"/>
    <w:rsid w:val="00BC2A33"/>
    <w:rsid w:val="00C12FE5"/>
    <w:rsid w:val="00C16DEA"/>
    <w:rsid w:val="00C25078"/>
    <w:rsid w:val="00C94F49"/>
    <w:rsid w:val="00C97BC9"/>
    <w:rsid w:val="00CB3A2C"/>
    <w:rsid w:val="00CB4F66"/>
    <w:rsid w:val="00CC00D0"/>
    <w:rsid w:val="00CE2110"/>
    <w:rsid w:val="00D04069"/>
    <w:rsid w:val="00DA6A27"/>
    <w:rsid w:val="00DA7542"/>
    <w:rsid w:val="00DB1BB3"/>
    <w:rsid w:val="00DD53C7"/>
    <w:rsid w:val="00DE498A"/>
    <w:rsid w:val="00E23DF4"/>
    <w:rsid w:val="00E52D73"/>
    <w:rsid w:val="00E76419"/>
    <w:rsid w:val="00ED2236"/>
    <w:rsid w:val="00EF51FB"/>
    <w:rsid w:val="00F1291C"/>
    <w:rsid w:val="00F12B91"/>
    <w:rsid w:val="00F33DE6"/>
    <w:rsid w:val="00F40864"/>
    <w:rsid w:val="00F67BA0"/>
    <w:rsid w:val="00F77BBD"/>
    <w:rsid w:val="00F90109"/>
    <w:rsid w:val="00F95D51"/>
    <w:rsid w:val="00FA25A2"/>
    <w:rsid w:val="00FC01CA"/>
    <w:rsid w:val="00FE5968"/>
    <w:rsid w:val="01035448"/>
    <w:rsid w:val="01341807"/>
    <w:rsid w:val="01D23DD4"/>
    <w:rsid w:val="03165668"/>
    <w:rsid w:val="03B81543"/>
    <w:rsid w:val="04695C6C"/>
    <w:rsid w:val="04A80624"/>
    <w:rsid w:val="058C5590"/>
    <w:rsid w:val="12C14EC5"/>
    <w:rsid w:val="131B6383"/>
    <w:rsid w:val="14BF7E65"/>
    <w:rsid w:val="18932E60"/>
    <w:rsid w:val="18B82E97"/>
    <w:rsid w:val="19C51847"/>
    <w:rsid w:val="19E636C9"/>
    <w:rsid w:val="1A0A5EF6"/>
    <w:rsid w:val="1A9577FE"/>
    <w:rsid w:val="1BF260EF"/>
    <w:rsid w:val="1CFF464B"/>
    <w:rsid w:val="1E800B80"/>
    <w:rsid w:val="1F1F77CB"/>
    <w:rsid w:val="2211588D"/>
    <w:rsid w:val="23FF3BE7"/>
    <w:rsid w:val="24F47CA7"/>
    <w:rsid w:val="25FC7EC5"/>
    <w:rsid w:val="26FD0B2E"/>
    <w:rsid w:val="272F08E2"/>
    <w:rsid w:val="27800E2F"/>
    <w:rsid w:val="28620159"/>
    <w:rsid w:val="29424980"/>
    <w:rsid w:val="2C293493"/>
    <w:rsid w:val="2DC0118D"/>
    <w:rsid w:val="2E020CB3"/>
    <w:rsid w:val="2E5E6788"/>
    <w:rsid w:val="2F920D3E"/>
    <w:rsid w:val="30634181"/>
    <w:rsid w:val="32524234"/>
    <w:rsid w:val="33FE6530"/>
    <w:rsid w:val="351501CE"/>
    <w:rsid w:val="37CD7A7E"/>
    <w:rsid w:val="39786CC7"/>
    <w:rsid w:val="3BA41B48"/>
    <w:rsid w:val="3E3A5297"/>
    <w:rsid w:val="40426FDB"/>
    <w:rsid w:val="40967823"/>
    <w:rsid w:val="442F1269"/>
    <w:rsid w:val="46AF5DFB"/>
    <w:rsid w:val="478461EE"/>
    <w:rsid w:val="48D960A6"/>
    <w:rsid w:val="49AF373D"/>
    <w:rsid w:val="4C0A4C0B"/>
    <w:rsid w:val="4D3A32CE"/>
    <w:rsid w:val="4D720CBA"/>
    <w:rsid w:val="4DA42AAD"/>
    <w:rsid w:val="4EB74777"/>
    <w:rsid w:val="50583834"/>
    <w:rsid w:val="51596580"/>
    <w:rsid w:val="528F2791"/>
    <w:rsid w:val="52BE22AC"/>
    <w:rsid w:val="547846DC"/>
    <w:rsid w:val="552438F8"/>
    <w:rsid w:val="56464A92"/>
    <w:rsid w:val="5873CD05"/>
    <w:rsid w:val="59556872"/>
    <w:rsid w:val="5B1F35A0"/>
    <w:rsid w:val="5B7E4E11"/>
    <w:rsid w:val="5BDF500B"/>
    <w:rsid w:val="5CB00EB7"/>
    <w:rsid w:val="5FA6034F"/>
    <w:rsid w:val="5FED4C73"/>
    <w:rsid w:val="6BEF12AE"/>
    <w:rsid w:val="6BF30DC0"/>
    <w:rsid w:val="6E3EE324"/>
    <w:rsid w:val="6ED547AD"/>
    <w:rsid w:val="6F04295A"/>
    <w:rsid w:val="6FDD348F"/>
    <w:rsid w:val="70FA2ABC"/>
    <w:rsid w:val="76BE3981"/>
    <w:rsid w:val="7787177E"/>
    <w:rsid w:val="77F6FD06"/>
    <w:rsid w:val="781E7182"/>
    <w:rsid w:val="78E8332F"/>
    <w:rsid w:val="7909350D"/>
    <w:rsid w:val="7AFF380A"/>
    <w:rsid w:val="7DFF48F1"/>
    <w:rsid w:val="7EAD8B6F"/>
    <w:rsid w:val="7F7759DC"/>
    <w:rsid w:val="7F7FDAD9"/>
    <w:rsid w:val="7FDB0409"/>
    <w:rsid w:val="7FFEECFF"/>
    <w:rsid w:val="8F77DB77"/>
    <w:rsid w:val="9DB7DE0B"/>
    <w:rsid w:val="ADBEC493"/>
    <w:rsid w:val="B8776212"/>
    <w:rsid w:val="BBFF3C2E"/>
    <w:rsid w:val="BF9D40D9"/>
    <w:rsid w:val="BFD74850"/>
    <w:rsid w:val="D7A7DFEF"/>
    <w:rsid w:val="DF7FEA14"/>
    <w:rsid w:val="F3FFCDD3"/>
    <w:rsid w:val="F637FAFF"/>
    <w:rsid w:val="F6FFCFA6"/>
    <w:rsid w:val="F7EF2DB7"/>
    <w:rsid w:val="F7F7A709"/>
    <w:rsid w:val="F97A6F51"/>
    <w:rsid w:val="FABFE1FA"/>
    <w:rsid w:val="FBEFC615"/>
    <w:rsid w:val="FBF97377"/>
    <w:rsid w:val="FDBDD5E9"/>
    <w:rsid w:val="FEF388FE"/>
    <w:rsid w:val="FF67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眉 Char"/>
    <w:basedOn w:val="9"/>
    <w:link w:val="4"/>
    <w:qFormat/>
    <w:uiPriority w:val="0"/>
    <w:rPr>
      <w:rFonts w:ascii="Times New Roman" w:hAnsi="Times New Roman" w:eastAsia="宋体" w:cs="Times New Roman"/>
      <w:sz w:val="18"/>
      <w:szCs w:val="18"/>
    </w:rPr>
  </w:style>
  <w:style w:type="character" w:customStyle="1" w:styleId="14">
    <w:name w:val="页脚 Char"/>
    <w:basedOn w:val="9"/>
    <w:link w:val="3"/>
    <w:qFormat/>
    <w:uiPriority w:val="0"/>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10506</Words>
  <Characters>10707</Characters>
  <Lines>89</Lines>
  <Paragraphs>25</Paragraphs>
  <TotalTime>14</TotalTime>
  <ScaleCrop>false</ScaleCrop>
  <LinksUpToDate>false</LinksUpToDate>
  <CharactersWithSpaces>11551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2020-04-14T09:12:00Z</dcterms:created>
  <dc:creator>Administrator</dc:creator>
  <cp:lastModifiedBy>旧时光·不见旧人</cp:lastModifiedBy>
  <cp:lastPrinted>2022-12-15T10:13:00Z</cp:lastPrinted>
  <dcterms:modified xsi:type="dcterms:W3CDTF">2023-03-21T07:01:41Z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7CAC2EFFE6BC4666BD0BD8B894E14808_13</vt:lpwstr>
  </property>
</Properties>
</file>