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邵阳市药品医用耗材集采配送管理季度考核细则</w:t>
      </w:r>
    </w:p>
    <w:tbl>
      <w:tblPr>
        <w:tblStyle w:val="5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765"/>
        <w:gridCol w:w="754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</w:trPr>
        <w:tc>
          <w:tcPr>
            <w:tcW w:w="11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考核指标</w:t>
            </w:r>
          </w:p>
        </w:tc>
        <w:tc>
          <w:tcPr>
            <w:tcW w:w="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分值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100分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订单响应及时率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配送企业在医疗机构发送订单后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1个工作日内完成订单确认</w:t>
            </w:r>
          </w:p>
        </w:tc>
        <w:tc>
          <w:tcPr>
            <w:tcW w:w="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44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未在规定时间内完成确认的，每次扣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规定时间内配送及到货率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ind w:left="24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急救药品、高值医用耗材4小时内送到，边远乡镇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6小时。</w:t>
            </w:r>
          </w:p>
          <w:p>
            <w:pPr>
              <w:numPr>
                <w:ilvl w:val="0"/>
                <w:numId w:val="0"/>
              </w:numPr>
              <w:ind w:left="24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2.一般药品医用耗材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在订单确认后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小时内送到，节假日照常配送。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3.票物相符，不得有少送漏送现象。</w:t>
            </w:r>
          </w:p>
        </w:tc>
        <w:tc>
          <w:tcPr>
            <w:tcW w:w="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4473" w:type="dxa"/>
            <w:vAlign w:val="center"/>
          </w:tcPr>
          <w:p>
            <w:pPr>
              <w:numPr>
                <w:ilvl w:val="0"/>
                <w:numId w:val="0"/>
              </w:numPr>
              <w:ind w:left="240" w:hanging="210" w:hanging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无正当理由拖延交货（不可抗力情况除外）的，每次扣5分，每超过规定时间1天加扣1分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40" w:hanging="210" w:hanging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2.存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在少送、漏送，票物不符现象的，每次扣2分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验收合格率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ind w:left="240" w:hanging="210" w:hanging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  <w:t>配送到医药机构的药品医用耗材，有效期不得少于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相关规定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4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  <w:t>配送药品医用耗材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不得存在短少、破损、污染、异形及其他不符法律法规规定的。</w:t>
            </w:r>
          </w:p>
        </w:tc>
        <w:tc>
          <w:tcPr>
            <w:tcW w:w="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44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不符合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指标要求的，经核实后，每次（起）扣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“两票制”执行情况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货票同行，符合“两票制”要求。第二票之前的票据由配送企业上传电子票据；第二票票据随货同行有困难的，由配送企业与医疗机构协商后确定，最迟应在药品验收入库之日起1周内补齐。</w:t>
            </w:r>
          </w:p>
        </w:tc>
        <w:tc>
          <w:tcPr>
            <w:tcW w:w="7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44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未遵守考核指标提供发票的，每次扣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退货响应及时率</w:t>
            </w:r>
          </w:p>
        </w:tc>
        <w:tc>
          <w:tcPr>
            <w:tcW w:w="77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医药机构按照购销协议拒收当批次药品（医用耗材）后，配送企业应及时更换被拒收的配送品种，并承担由此对医药机构造成的损失。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未及时更换当批次拒收药品（医用耗材）、不承担损失的每次扣5分。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供货价格的准确率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供货价与集采中选价格一致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发现供货单存在供货价格高于平台招标价格每次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线下交易情况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在湖南省医药集中采购平台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和我市参与的各类集采平台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下单及其它流程，禁止线下交易。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未在线上交易的，每批次扣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受投诉情况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不得拒绝推诿配送，加价配送，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捆绑配送。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2.免费提以下供伴随服务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：（1）药品的现场搬运或入库；（2）对开箱时发现的破损、近效期药品或其他不合格包装药品及时更换；（3）交付冷藏药品的，应严格按照《药品经营质量管理规范》要求提供运输方式及运输过程的温度记录、运输时间等质量控制状态情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配送企业被投诉有①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拒绝推诿配送；②加价或捆绑配送行为的，核实后，每次扣10分；被投诉有未按要求提供伴随服务的，核实后每次扣2分。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县市区医保部门综合评价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配送企业服从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县市区医保部门工作安排，主动协调，工作高效，严守规定。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根据参与本辖区集采配送企业日常管理情况，按季度考核指标综合打分并折算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49722"/>
    <w:multiLevelType w:val="singleLevel"/>
    <w:tmpl w:val="B9149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zMyZDg1ZWRlOWM2YmI3YzM3NmU2MjQ0NGQ1NDYifQ=="/>
  </w:docVars>
  <w:rsids>
    <w:rsidRoot w:val="3AB35819"/>
    <w:rsid w:val="3AB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2022-12-30T07:03:00Z</dcterms:created>
  <dc:creator>A</dc:creator>
  <cp:lastModifiedBy>A</cp:lastModifiedBy>
  <dcterms:modified xsi:type="dcterms:W3CDTF">2022-12-30T07:04:19Z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63BF67AEC18E4C31A84EACE2EA960D5D</vt:lpwstr>
  </property>
</Properties>
</file>