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spacing w:beforeLines="100" w:afterLines="10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pStyle w:val="3"/>
        <w:spacing w:beforeLines="100" w:afterLines="100" w:line="500" w:lineRule="exact"/>
        <w:jc w:val="center"/>
        <w:rPr>
          <w:rFonts w:ascii="方正小标宋_GBK" w:hAnsi="方正小标宋_GBK" w:eastAsia="方正小标宋_GBK" w:cs="方正小标宋_GBK"/>
          <w:spacing w:val="-14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邵阳市</w:t>
      </w:r>
      <w:r>
        <w:rPr>
          <w:rFonts w:hint="eastAsia" w:ascii="方正小标宋_GBK" w:hAnsi="方正小标宋_GBK" w:eastAsia="方正小标宋_GBK" w:cs="方正小标宋_GBK"/>
          <w:spacing w:val="-14"/>
          <w:sz w:val="36"/>
          <w:szCs w:val="36"/>
        </w:rPr>
        <w:t>医疗保障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特殊门诊药店</w:t>
      </w:r>
      <w:r>
        <w:rPr>
          <w:rFonts w:hint="eastAsia" w:ascii="方正小标宋_GBK" w:hAnsi="方正小标宋_GBK" w:eastAsia="方正小标宋_GBK" w:cs="方正小标宋_GBK"/>
          <w:spacing w:val="-14"/>
          <w:sz w:val="36"/>
          <w:szCs w:val="36"/>
        </w:rPr>
        <w:t>申请表</w:t>
      </w:r>
      <w:bookmarkEnd w:id="0"/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4"/>
        <w:gridCol w:w="480"/>
        <w:gridCol w:w="1074"/>
        <w:gridCol w:w="483"/>
        <w:gridCol w:w="530"/>
        <w:gridCol w:w="1210"/>
        <w:gridCol w:w="546"/>
        <w:gridCol w:w="7"/>
        <w:gridCol w:w="782"/>
        <w:gridCol w:w="635"/>
        <w:gridCol w:w="59"/>
        <w:gridCol w:w="125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协议零售药店名称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经营方式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营业时间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营业面积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类型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经营范围</w:t>
            </w:r>
          </w:p>
        </w:tc>
        <w:tc>
          <w:tcPr>
            <w:tcW w:w="68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医保负责人</w:t>
            </w:r>
          </w:p>
        </w:tc>
        <w:tc>
          <w:tcPr>
            <w:tcW w:w="277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申请事项办理人</w:t>
            </w:r>
          </w:p>
        </w:tc>
        <w:tc>
          <w:tcPr>
            <w:tcW w:w="27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2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营业执照注册号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2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药品经营许可证号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2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刷卡商户号及终端号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连锁药店总部医药公司信息           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营业执照注册号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药品经营许可证号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药品经营质量管理规范认证证书编号及取得时间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法定代表人姓名、电话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44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经营药品种类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西药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医保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西药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中成药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医保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中成药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中药饮片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医保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中药饮片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44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工作人员数量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执业药师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从业药师或其他药师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药士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营业员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其他</w:t>
            </w: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工作人员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44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执业药师资格证编号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4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8444" w:type="dxa"/>
            <w:gridSpan w:val="12"/>
          </w:tcPr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自愿申请邵阳市基本医疗保险协议零售药店特门服务，并对以下事项作出承诺：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1.承诺所提供的资料真实完整。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承诺本协议零售药店自提出申请之日起前一年内（不足一年的自开办之日起计算）没有被市场监管部门行政处罚的记录，且未发生过重大药品质量事故。如提供的材料与事实不符，将承担提供虚假材料所造成的一切后果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3.承诺建立规范财务制度并完善药品及医疗服务管理制度，并安装了规范的协议零售药店管理系统。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4.承诺严格按医疗保险政策和协议要求规范提供医疗保险服务，如有违规行为，将承担相应责任。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（单位印章） 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（法人代表章）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经办人签字：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申请时间：       年   月   日</w:t>
            </w:r>
          </w:p>
        </w:tc>
      </w:tr>
    </w:tbl>
    <w:p>
      <w:pPr>
        <w:spacing w:line="360" w:lineRule="exact"/>
        <w:ind w:firstLine="560" w:firstLineChars="200"/>
        <w:rPr>
          <w:rFonts w:ascii="仿宋" w:hAnsi="仿宋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8"/>
          <w:szCs w:val="28"/>
        </w:rPr>
        <w:t>备注：经营医疗保险药品种数按照国家药品目录中的药品种类为准，西药种类按通用名计算、中成药种类按目录中的类别计算。</w:t>
      </w:r>
    </w:p>
    <w:p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B2C67"/>
    <w:rsid w:val="528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2020-12-28T02:43:00Z</dcterms:created>
  <dc:creator>ZENGYUYI</dc:creator>
  <cp:lastModifiedBy>ZENGYUYI</cp:lastModifiedBy>
  <dcterms:modified xsi:type="dcterms:W3CDTF">2020-12-28T02:44:05Z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