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60" w:firstLineChars="100"/>
        <w:jc w:val="center"/>
        <w:rPr>
          <w:rFonts w:ascii="创艺简标宋" w:eastAsia="创艺简标宋"/>
          <w:sz w:val="36"/>
          <w:szCs w:val="36"/>
        </w:rPr>
      </w:pPr>
      <w:r>
        <w:rPr>
          <w:rFonts w:hint="eastAsia" w:ascii="创艺简标宋" w:eastAsia="创艺简标宋"/>
          <w:sz w:val="36"/>
          <w:szCs w:val="36"/>
        </w:rPr>
        <w:t>邵阳市工程建设项目现场复核管理规定</w:t>
      </w:r>
    </w:p>
    <w:p>
      <w:pPr>
        <w:spacing w:line="540" w:lineRule="exact"/>
        <w:rPr>
          <w:rFonts w:ascii="仿宋_GB2312" w:eastAsia="仿宋_GB2312"/>
          <w:sz w:val="32"/>
          <w:szCs w:val="32"/>
        </w:rPr>
      </w:pPr>
    </w:p>
    <w:p>
      <w:pPr>
        <w:pStyle w:val="2"/>
        <w:widowControl/>
        <w:numPr>
          <w:ilvl w:val="0"/>
          <w:numId w:val="1"/>
        </w:numPr>
        <w:shd w:val="clear" w:color="auto" w:fill="FFFFFF"/>
        <w:spacing w:before="240" w:beforeAutospacing="0" w:afterAutospacing="0" w:line="540" w:lineRule="exact"/>
        <w:ind w:firstLine="640"/>
        <w:rPr>
          <w:rFonts w:ascii="仿宋_GB2312" w:eastAsia="仿宋_GB2312" w:cs="仿宋"/>
          <w:b w:val="0"/>
          <w:bCs w:val="0"/>
          <w:sz w:val="32"/>
          <w:szCs w:val="32"/>
        </w:rPr>
      </w:pPr>
      <w:r>
        <w:rPr>
          <w:rFonts w:hint="eastAsia" w:ascii="仿宋_GB2312" w:eastAsia="仿宋_GB2312" w:cs="仿宋"/>
          <w:b w:val="0"/>
          <w:bCs w:val="0"/>
          <w:sz w:val="32"/>
          <w:szCs w:val="32"/>
        </w:rPr>
        <w:t>为进一步规范我市入场交易工程建设项目的现场招标投标活动管理秩序，根据《湖南省房屋建筑和市政基础设施工程招标投标管理办法》（湘政办发〔</w:t>
      </w:r>
      <w:r>
        <w:rPr>
          <w:rFonts w:ascii="仿宋_GB2312" w:eastAsia="仿宋_GB2312" w:cs="仿宋"/>
          <w:b w:val="0"/>
          <w:bCs w:val="0"/>
          <w:sz w:val="32"/>
          <w:szCs w:val="32"/>
        </w:rPr>
        <w:t>2019</w:t>
      </w:r>
      <w:r>
        <w:rPr>
          <w:rFonts w:hint="eastAsia" w:ascii="仿宋_GB2312" w:eastAsia="仿宋_GB2312" w:cs="仿宋"/>
          <w:b w:val="0"/>
          <w:bCs w:val="0"/>
          <w:sz w:val="32"/>
          <w:szCs w:val="32"/>
        </w:rPr>
        <w:t>〕</w:t>
      </w:r>
      <w:r>
        <w:rPr>
          <w:rFonts w:ascii="仿宋_GB2312" w:eastAsia="仿宋_GB2312" w:cs="仿宋"/>
          <w:b w:val="0"/>
          <w:bCs w:val="0"/>
          <w:sz w:val="32"/>
          <w:szCs w:val="32"/>
        </w:rPr>
        <w:t>31</w:t>
      </w:r>
      <w:r>
        <w:rPr>
          <w:rFonts w:hint="eastAsia" w:ascii="仿宋_GB2312" w:eastAsia="仿宋_GB2312" w:cs="仿宋"/>
          <w:b w:val="0"/>
          <w:bCs w:val="0"/>
          <w:sz w:val="32"/>
          <w:szCs w:val="32"/>
        </w:rPr>
        <w:t>号）、《关于进一步规范工程建设项目招标投标行为的通知》（邵市政办发〔</w:t>
      </w:r>
      <w:r>
        <w:rPr>
          <w:rFonts w:ascii="仿宋_GB2312" w:eastAsia="仿宋_GB2312" w:cs="仿宋"/>
          <w:b w:val="0"/>
          <w:bCs w:val="0"/>
          <w:sz w:val="32"/>
          <w:szCs w:val="32"/>
        </w:rPr>
        <w:t>2018</w:t>
      </w:r>
      <w:r>
        <w:rPr>
          <w:rFonts w:hint="eastAsia" w:ascii="仿宋_GB2312" w:eastAsia="仿宋_GB2312" w:cs="仿宋"/>
          <w:b w:val="0"/>
          <w:bCs w:val="0"/>
          <w:sz w:val="32"/>
          <w:szCs w:val="32"/>
        </w:rPr>
        <w:t>〕</w:t>
      </w:r>
      <w:r>
        <w:rPr>
          <w:rFonts w:ascii="仿宋_GB2312" w:eastAsia="仿宋_GB2312" w:cs="仿宋"/>
          <w:b w:val="0"/>
          <w:bCs w:val="0"/>
          <w:sz w:val="32"/>
          <w:szCs w:val="32"/>
        </w:rPr>
        <w:t>11</w:t>
      </w:r>
      <w:r>
        <w:rPr>
          <w:rFonts w:hint="eastAsia" w:ascii="仿宋_GB2312" w:eastAsia="仿宋_GB2312" w:cs="仿宋"/>
          <w:b w:val="0"/>
          <w:bCs w:val="0"/>
          <w:sz w:val="32"/>
          <w:szCs w:val="32"/>
        </w:rPr>
        <w:t>号）等相关招投标法律法规，结合邵阳实际，制定本规定。</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本规定所称的现场复核是指招标人、招标代理机构在招标项目的评标委员会完成评标工作后，未签署评标报告前，应当按照规定组织相关人员进入评标现场对评标委员会出具的评标报告内容进行查阅及核对的行为。</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进入评标现场对评标报告内容进行复核的工作人员（以下简称“复核人员”，主要指招标人代表</w:t>
      </w:r>
      <w:r>
        <w:rPr>
          <w:rFonts w:ascii="仿宋_GB2312" w:hAnsi="宋体" w:eastAsia="仿宋_GB2312" w:cs="仿宋"/>
          <w:sz w:val="32"/>
          <w:szCs w:val="32"/>
        </w:rPr>
        <w:t>1</w:t>
      </w:r>
      <w:r>
        <w:rPr>
          <w:rFonts w:hint="eastAsia" w:ascii="仿宋_GB2312" w:hAnsi="宋体" w:eastAsia="仿宋_GB2312" w:cs="仿宋"/>
          <w:sz w:val="32"/>
          <w:szCs w:val="32"/>
        </w:rPr>
        <w:t>名和具有相应资格的招标代理机构项目负责人</w:t>
      </w:r>
      <w:r>
        <w:rPr>
          <w:rFonts w:ascii="仿宋_GB2312" w:hAnsi="宋体" w:eastAsia="仿宋_GB2312" w:cs="仿宋"/>
          <w:sz w:val="32"/>
          <w:szCs w:val="32"/>
        </w:rPr>
        <w:t>1</w:t>
      </w:r>
      <w:r>
        <w:rPr>
          <w:rFonts w:hint="eastAsia" w:ascii="仿宋_GB2312" w:hAnsi="宋体" w:eastAsia="仿宋_GB2312" w:cs="仿宋"/>
          <w:sz w:val="32"/>
          <w:szCs w:val="32"/>
        </w:rPr>
        <w:t>名）应严格遵守邵阳市公共资源交易现场（评标区）管理制度，服从行政监督部门现场监督人员的监督管理。</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复核人员进入评标现场，在听取评标委员会主任评委关于项目评标的基本情况后，独立完成复核工作。评标委员会成员在复核期间，应主动离开评标现场，进入市交易中心安排的工作室等待复核结果。采用电子评标的项目应当在电子评标报告生成后，评标专家签署评标报告前，由复核人员进入电子评标系统对评标报告进行复核。</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经复核发现存在以下情形之一的，由复核人员填写《招标项目评标报告复核记录表》，逐条记录异常情况信息，并给出修改意见及修改理由。该记录表作为评标资料的有效组成部分保存归档，不得擅自销毁或更换。</w:t>
      </w:r>
    </w:p>
    <w:p>
      <w:pPr>
        <w:spacing w:line="540" w:lineRule="exact"/>
        <w:ind w:firstLine="640" w:firstLineChars="200"/>
        <w:rPr>
          <w:rFonts w:ascii="仿宋_GB2312" w:hAnsi="宋体"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一</w:t>
      </w:r>
      <w:r>
        <w:rPr>
          <w:rFonts w:ascii="仿宋_GB2312" w:hAnsi="宋体" w:eastAsia="仿宋_GB2312" w:cs="仿宋"/>
          <w:sz w:val="32"/>
          <w:szCs w:val="32"/>
        </w:rPr>
        <w:t>)</w:t>
      </w:r>
      <w:r>
        <w:rPr>
          <w:rFonts w:hint="eastAsia" w:ascii="仿宋_GB2312" w:hAnsi="宋体" w:eastAsia="仿宋_GB2312" w:cs="仿宋"/>
          <w:sz w:val="32"/>
          <w:szCs w:val="32"/>
        </w:rPr>
        <w:t>分值计算错误的</w:t>
      </w:r>
      <w:r>
        <w:rPr>
          <w:rFonts w:ascii="仿宋_GB2312" w:hAnsi="宋体" w:eastAsia="仿宋_GB2312" w:cs="仿宋"/>
          <w:sz w:val="32"/>
          <w:szCs w:val="32"/>
        </w:rPr>
        <w:t>;</w:t>
      </w:r>
    </w:p>
    <w:p>
      <w:pPr>
        <w:spacing w:line="540" w:lineRule="exact"/>
        <w:ind w:firstLine="640" w:firstLineChars="200"/>
        <w:rPr>
          <w:rFonts w:ascii="仿宋_GB2312" w:hAnsi="宋体"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二</w:t>
      </w:r>
      <w:r>
        <w:rPr>
          <w:rFonts w:ascii="仿宋_GB2312" w:hAnsi="宋体" w:eastAsia="仿宋_GB2312" w:cs="仿宋"/>
          <w:sz w:val="32"/>
          <w:szCs w:val="32"/>
        </w:rPr>
        <w:t>)</w:t>
      </w:r>
      <w:r>
        <w:rPr>
          <w:rFonts w:hint="eastAsia" w:ascii="仿宋_GB2312" w:hAnsi="宋体" w:eastAsia="仿宋_GB2312" w:cs="仿宋"/>
          <w:sz w:val="32"/>
          <w:szCs w:val="32"/>
        </w:rPr>
        <w:t>分项评分超出评分标准范围的</w:t>
      </w:r>
      <w:r>
        <w:rPr>
          <w:rFonts w:ascii="仿宋_GB2312" w:hAnsi="宋体" w:eastAsia="仿宋_GB2312" w:cs="仿宋"/>
          <w:sz w:val="32"/>
          <w:szCs w:val="32"/>
        </w:rPr>
        <w:t>;</w:t>
      </w:r>
    </w:p>
    <w:p>
      <w:pPr>
        <w:spacing w:line="540" w:lineRule="exact"/>
        <w:ind w:firstLine="640" w:firstLineChars="200"/>
        <w:rPr>
          <w:rFonts w:ascii="仿宋_GB2312" w:hAnsi="宋体"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三</w:t>
      </w:r>
      <w:r>
        <w:rPr>
          <w:rFonts w:ascii="仿宋_GB2312" w:hAnsi="宋体" w:eastAsia="仿宋_GB2312" w:cs="仿宋"/>
          <w:sz w:val="32"/>
          <w:szCs w:val="32"/>
        </w:rPr>
        <w:t>)</w:t>
      </w:r>
      <w:r>
        <w:rPr>
          <w:rFonts w:hint="eastAsia" w:ascii="仿宋_GB2312" w:hAnsi="宋体" w:eastAsia="仿宋_GB2312" w:cs="仿宋"/>
          <w:sz w:val="32"/>
          <w:szCs w:val="32"/>
        </w:rPr>
        <w:t>评标委员会成员对客观评审因素评分有误的</w:t>
      </w:r>
      <w:r>
        <w:rPr>
          <w:rFonts w:ascii="仿宋_GB2312" w:hAnsi="宋体" w:eastAsia="仿宋_GB2312" w:cs="仿宋"/>
          <w:sz w:val="32"/>
          <w:szCs w:val="32"/>
        </w:rPr>
        <w:t>;</w:t>
      </w:r>
    </w:p>
    <w:p>
      <w:pPr>
        <w:spacing w:line="540" w:lineRule="exact"/>
        <w:ind w:firstLine="640" w:firstLineChars="200"/>
        <w:rPr>
          <w:rFonts w:ascii="仿宋_GB2312"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四</w:t>
      </w:r>
      <w:r>
        <w:rPr>
          <w:rFonts w:ascii="仿宋_GB2312" w:hAnsi="宋体" w:eastAsia="仿宋_GB2312" w:cs="仿宋"/>
          <w:sz w:val="32"/>
          <w:szCs w:val="32"/>
        </w:rPr>
        <w:t>)</w:t>
      </w:r>
      <w:r>
        <w:rPr>
          <w:rFonts w:hint="eastAsia" w:ascii="仿宋_GB2312" w:hAnsi="宋体" w:eastAsia="仿宋_GB2312" w:cs="仿宋"/>
          <w:sz w:val="32"/>
          <w:szCs w:val="32"/>
        </w:rPr>
        <w:t>其他存在明显过失，影响评标结果的。</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复核结果无误，则由评标委员会签署评标报告，现场复核人员发放评委工资，评委离场，代理公司工作人员负责整理保管评标资料。</w:t>
      </w:r>
    </w:p>
    <w:p>
      <w:pPr>
        <w:spacing w:line="540" w:lineRule="exact"/>
        <w:ind w:left="149" w:leftChars="71" w:firstLine="480" w:firstLineChars="150"/>
        <w:rPr>
          <w:rFonts w:ascii="仿宋_GB2312" w:eastAsia="仿宋_GB2312" w:cs="仿宋"/>
          <w:sz w:val="32"/>
          <w:szCs w:val="32"/>
        </w:rPr>
      </w:pPr>
      <w:r>
        <w:rPr>
          <w:rFonts w:hint="eastAsia" w:ascii="仿宋_GB2312" w:hAnsi="宋体" w:eastAsia="仿宋_GB2312" w:cs="仿宋"/>
          <w:sz w:val="32"/>
          <w:szCs w:val="32"/>
        </w:rPr>
        <w:t>评标报告复核有误，评标委员会应根据《招标项目评标报告复核记录表》的内容，当场修正评标结果，并重新出具评标报告。原评标报告与评标报告复核记录表作为评标资料的有效组成部分，与评标资料一并归档、保存，任何人不得擅自修改或销毁。</w:t>
      </w:r>
    </w:p>
    <w:p>
      <w:pPr>
        <w:spacing w:line="540" w:lineRule="exact"/>
        <w:ind w:left="149" w:leftChars="71" w:firstLine="480" w:firstLineChars="150"/>
        <w:rPr>
          <w:rFonts w:ascii="仿宋_GB2312" w:eastAsia="仿宋_GB2312" w:cs="仿宋"/>
          <w:sz w:val="32"/>
          <w:szCs w:val="32"/>
        </w:rPr>
      </w:pPr>
      <w:r>
        <w:rPr>
          <w:rFonts w:hint="eastAsia" w:ascii="仿宋_GB2312" w:hAnsi="宋体" w:eastAsia="仿宋_GB2312" w:cs="仿宋"/>
          <w:sz w:val="32"/>
          <w:szCs w:val="32"/>
        </w:rPr>
        <w:t>复核过程中任何人不得用直接、间接或用暗示性的语言对评标委员会成员进行引导，并按照规定对评标有关信息严格保密。</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行政监督部门现场监督人员应在监控室对整个过程进行监督，发现复核人员有违规行为或复核人员有不当解释的应立即叫停，并对复核人员提出警告，造成重大影响的，应按照相关规定依法做出处理，并会同市交易中心现场见证人员做好资料保全工作。</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sz w:val="32"/>
          <w:szCs w:val="32"/>
        </w:rPr>
        <w:t>招标人、招标代理机构现场复核人员违反相关法律法规和</w:t>
      </w:r>
      <w:r>
        <w:rPr>
          <w:rFonts w:hint="eastAsia" w:ascii="仿宋_GB2312" w:hAnsi="宋体" w:eastAsia="仿宋_GB2312" w:cs="仿宋"/>
          <w:sz w:val="32"/>
          <w:szCs w:val="32"/>
        </w:rPr>
        <w:t>本规定的，</w:t>
      </w:r>
      <w:r>
        <w:rPr>
          <w:rFonts w:hint="eastAsia" w:ascii="仿宋_GB2312" w:hAnsi="宋体" w:eastAsia="仿宋_GB2312"/>
          <w:color w:val="000000"/>
          <w:kern w:val="0"/>
          <w:sz w:val="32"/>
          <w:szCs w:val="32"/>
        </w:rPr>
        <w:t>由相关行政监督部门依法调查处理；需要追究相关人员责任的，移送有权机关依法给予处分；涉嫌犯罪的，依法追究刑事责任。</w:t>
      </w:r>
    </w:p>
    <w:p>
      <w:pPr>
        <w:pStyle w:val="3"/>
        <w:spacing w:line="540" w:lineRule="exact"/>
        <w:ind w:left="149" w:leftChars="71"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
          <w:b/>
          <w:sz w:val="32"/>
          <w:szCs w:val="32"/>
        </w:rPr>
        <w:t>第九条</w:t>
      </w:r>
      <w:r>
        <w:rPr>
          <w:rFonts w:ascii="仿宋_GB2312" w:hAnsi="宋体" w:eastAsia="仿宋_GB2312" w:cs="仿宋"/>
          <w:sz w:val="32"/>
          <w:szCs w:val="32"/>
        </w:rPr>
        <w:t xml:space="preserve"> </w:t>
      </w:r>
      <w:r>
        <w:rPr>
          <w:rFonts w:hint="eastAsia" w:ascii="仿宋_GB2312" w:hAnsi="宋体" w:eastAsia="仿宋_GB2312" w:cs="仿宋"/>
          <w:sz w:val="32"/>
          <w:szCs w:val="32"/>
        </w:rPr>
        <w:t>评标委员会成员违反相关法律法规和本规定的，</w:t>
      </w:r>
      <w:r>
        <w:rPr>
          <w:rFonts w:hint="eastAsia" w:ascii="仿宋_GB2312" w:hAnsi="宋体" w:eastAsia="仿宋_GB2312" w:cs="Times New Roman"/>
          <w:color w:val="000000"/>
          <w:kern w:val="0"/>
          <w:sz w:val="32"/>
          <w:szCs w:val="32"/>
        </w:rPr>
        <w:t>视情节对其进行警告和公示</w:t>
      </w:r>
      <w:r>
        <w:rPr>
          <w:rFonts w:hint="eastAsia" w:ascii="仿宋_GB2312" w:hAnsi="宋体" w:eastAsia="仿宋_GB2312"/>
          <w:color w:val="000000"/>
          <w:kern w:val="0"/>
          <w:sz w:val="32"/>
          <w:szCs w:val="32"/>
        </w:rPr>
        <w:t>，</w:t>
      </w:r>
      <w:r>
        <w:rPr>
          <w:rFonts w:hint="eastAsia" w:ascii="仿宋_GB2312" w:hAnsi="宋体" w:eastAsia="仿宋_GB2312" w:cs="Times New Roman"/>
          <w:color w:val="000000"/>
          <w:kern w:val="0"/>
          <w:sz w:val="32"/>
          <w:szCs w:val="32"/>
        </w:rPr>
        <w:t>情节严重的，取消其评委资格，存在违法违规行为的</w:t>
      </w:r>
      <w:r>
        <w:rPr>
          <w:rFonts w:ascii="仿宋_GB2312" w:hAnsi="宋体" w:eastAsia="仿宋_GB2312" w:cs="Times New Roman"/>
          <w:color w:val="000000"/>
          <w:kern w:val="0"/>
          <w:sz w:val="32"/>
          <w:szCs w:val="32"/>
        </w:rPr>
        <w:t>,</w:t>
      </w:r>
      <w:r>
        <w:rPr>
          <w:rFonts w:hint="eastAsia" w:ascii="仿宋_GB2312" w:hAnsi="宋体" w:eastAsia="仿宋_GB2312" w:cs="Times New Roman"/>
          <w:color w:val="000000"/>
          <w:kern w:val="0"/>
          <w:sz w:val="32"/>
          <w:szCs w:val="32"/>
        </w:rPr>
        <w:t>由相关行政监督部门依法调查处理</w:t>
      </w:r>
      <w:r>
        <w:rPr>
          <w:rFonts w:hint="eastAsia" w:ascii="仿宋_GB2312" w:hAnsi="宋体" w:eastAsia="仿宋_GB2312"/>
          <w:color w:val="000000"/>
          <w:kern w:val="0"/>
          <w:sz w:val="32"/>
          <w:szCs w:val="32"/>
        </w:rPr>
        <w:t>，</w:t>
      </w:r>
      <w:r>
        <w:rPr>
          <w:rFonts w:hint="eastAsia" w:ascii="仿宋_GB2312" w:hAnsi="宋体" w:eastAsia="仿宋_GB2312" w:cs="Times New Roman"/>
          <w:color w:val="000000"/>
          <w:kern w:val="0"/>
          <w:sz w:val="32"/>
          <w:szCs w:val="32"/>
        </w:rPr>
        <w:t>需要追究相关人员责任的，移送有权机关依法给予处分；涉嫌犯罪的，依法追究刑事责任。</w:t>
      </w:r>
    </w:p>
    <w:p>
      <w:pPr>
        <w:spacing w:line="540" w:lineRule="exact"/>
        <w:ind w:left="199" w:leftChars="95" w:firstLine="643" w:firstLineChars="200"/>
        <w:rPr>
          <w:rFonts w:ascii="仿宋_GB2312" w:eastAsia="仿宋_GB2312"/>
          <w:color w:val="000000"/>
          <w:kern w:val="0"/>
          <w:sz w:val="32"/>
          <w:szCs w:val="32"/>
        </w:rPr>
      </w:pPr>
      <w:r>
        <w:rPr>
          <w:rFonts w:hint="eastAsia" w:ascii="仿宋_GB2312" w:hAnsi="宋体" w:eastAsia="仿宋_GB2312" w:cs="仿宋"/>
          <w:b/>
          <w:sz w:val="32"/>
          <w:szCs w:val="32"/>
        </w:rPr>
        <w:t>第十条</w:t>
      </w:r>
      <w:r>
        <w:rPr>
          <w:rFonts w:ascii="仿宋_GB2312" w:hAnsi="宋体" w:eastAsia="仿宋_GB2312" w:cs="仿宋"/>
          <w:b/>
          <w:sz w:val="32"/>
          <w:szCs w:val="32"/>
        </w:rPr>
        <w:t xml:space="preserve"> </w:t>
      </w:r>
      <w:r>
        <w:rPr>
          <w:rFonts w:hint="eastAsia" w:ascii="仿宋_GB2312" w:hAnsi="宋体" w:eastAsia="仿宋_GB2312"/>
          <w:color w:val="000000"/>
          <w:kern w:val="0"/>
          <w:sz w:val="32"/>
          <w:szCs w:val="32"/>
        </w:rPr>
        <w:t>市交易中心及其现场见证人员</w:t>
      </w:r>
      <w:r>
        <w:rPr>
          <w:rFonts w:hint="eastAsia" w:ascii="仿宋_GB2312" w:hAnsi="宋体" w:eastAsia="仿宋_GB2312" w:cs="仿宋"/>
          <w:sz w:val="32"/>
          <w:szCs w:val="32"/>
        </w:rPr>
        <w:t>违反相关法律法规和本规定的，</w:t>
      </w:r>
      <w:r>
        <w:rPr>
          <w:rFonts w:hint="eastAsia" w:ascii="仿宋_GB2312" w:hAnsi="宋体" w:eastAsia="仿宋_GB2312"/>
          <w:color w:val="000000"/>
          <w:kern w:val="0"/>
          <w:sz w:val="32"/>
          <w:szCs w:val="32"/>
        </w:rPr>
        <w:t>由有关部门依法对直接负责的主管人员和其他责任人员给予处分；涉嫌犯罪的，依法追究刑事责任。</w:t>
      </w:r>
    </w:p>
    <w:p>
      <w:pPr>
        <w:pStyle w:val="3"/>
        <w:spacing w:line="540" w:lineRule="exact"/>
        <w:ind w:left="149" w:leftChars="71"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
          <w:b/>
          <w:sz w:val="32"/>
          <w:szCs w:val="32"/>
        </w:rPr>
        <w:t>第十一条</w:t>
      </w:r>
      <w:r>
        <w:rPr>
          <w:rFonts w:ascii="仿宋_GB2312" w:hAnsi="宋体" w:eastAsia="仿宋_GB2312" w:cs="仿宋"/>
          <w:b/>
          <w:sz w:val="32"/>
          <w:szCs w:val="32"/>
        </w:rPr>
        <w:t xml:space="preserve"> </w:t>
      </w:r>
      <w:r>
        <w:rPr>
          <w:rFonts w:hint="eastAsia" w:ascii="仿宋_GB2312" w:hAnsi="宋体" w:eastAsia="仿宋_GB2312" w:cs="Times New Roman"/>
          <w:color w:val="000000"/>
          <w:kern w:val="0"/>
          <w:sz w:val="32"/>
          <w:szCs w:val="32"/>
        </w:rPr>
        <w:t>行政监督部门人员</w:t>
      </w:r>
      <w:r>
        <w:rPr>
          <w:rFonts w:hint="eastAsia" w:ascii="仿宋_GB2312" w:hAnsi="宋体" w:eastAsia="仿宋_GB2312" w:cs="仿宋"/>
          <w:sz w:val="32"/>
          <w:szCs w:val="32"/>
        </w:rPr>
        <w:t>违反相关法律法规和本规定的，</w:t>
      </w:r>
      <w:r>
        <w:rPr>
          <w:rFonts w:hint="eastAsia" w:ascii="仿宋_GB2312" w:hAnsi="宋体" w:eastAsia="仿宋_GB2312" w:cs="Times New Roman"/>
          <w:color w:val="000000"/>
          <w:kern w:val="0"/>
          <w:sz w:val="32"/>
          <w:szCs w:val="32"/>
        </w:rPr>
        <w:t>对直接负责的主管人员和其他直接责任人员由其行政主管部门或者有关机关给予处分，并予通报；涉嫌犯罪的，依法追究刑事责任。</w:t>
      </w:r>
    </w:p>
    <w:p>
      <w:pPr>
        <w:pStyle w:val="3"/>
        <w:spacing w:line="540" w:lineRule="exact"/>
        <w:ind w:left="149" w:leftChars="71"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
          <w:b/>
          <w:sz w:val="32"/>
          <w:szCs w:val="32"/>
        </w:rPr>
        <w:t>第十二条</w:t>
      </w:r>
      <w:r>
        <w:rPr>
          <w:rFonts w:ascii="仿宋_GB2312" w:hAnsi="宋体" w:eastAsia="仿宋_GB2312" w:cs="仿宋"/>
          <w:b/>
          <w:sz w:val="32"/>
          <w:szCs w:val="32"/>
        </w:rPr>
        <w:t xml:space="preserve"> </w:t>
      </w:r>
      <w:r>
        <w:rPr>
          <w:rFonts w:hint="eastAsia" w:ascii="仿宋_GB2312" w:hAnsi="宋体" w:eastAsia="仿宋_GB2312" w:cs="仿宋"/>
          <w:sz w:val="32"/>
          <w:szCs w:val="32"/>
        </w:rPr>
        <w:t>进入市交易中心的交通、水利、农业农村等工程建设项目参照本规定执行。</w:t>
      </w:r>
    </w:p>
    <w:p>
      <w:pPr>
        <w:spacing w:line="540" w:lineRule="exact"/>
        <w:ind w:firstLine="800" w:firstLineChars="249"/>
        <w:rPr>
          <w:rFonts w:ascii="仿宋_GB2312" w:eastAsia="仿宋_GB2312" w:cs="仿宋"/>
          <w:sz w:val="32"/>
          <w:szCs w:val="32"/>
        </w:rPr>
      </w:pPr>
      <w:r>
        <w:rPr>
          <w:rFonts w:hint="eastAsia" w:ascii="仿宋_GB2312" w:hAnsi="宋体" w:eastAsia="仿宋_GB2312" w:cs="仿宋"/>
          <w:b/>
          <w:sz w:val="32"/>
          <w:szCs w:val="32"/>
        </w:rPr>
        <w:t>第十三条</w:t>
      </w:r>
      <w:r>
        <w:rPr>
          <w:rFonts w:ascii="仿宋_GB2312" w:hAnsi="宋体" w:eastAsia="仿宋_GB2312" w:cs="仿宋"/>
          <w:b/>
          <w:sz w:val="32"/>
          <w:szCs w:val="32"/>
        </w:rPr>
        <w:t xml:space="preserve"> </w:t>
      </w:r>
      <w:r>
        <w:rPr>
          <w:rFonts w:hint="eastAsia" w:ascii="仿宋_GB2312" w:hAnsi="宋体" w:eastAsia="仿宋_GB2312" w:cs="仿宋"/>
          <w:sz w:val="32"/>
          <w:szCs w:val="32"/>
        </w:rPr>
        <w:t>本规定自发布之日起施行。</w:t>
      </w:r>
    </w:p>
    <w:p>
      <w:pPr>
        <w:rPr>
          <w:rFonts w:ascii="宋体" w:cs="仿宋"/>
          <w:sz w:val="30"/>
          <w:szCs w:val="30"/>
        </w:rPr>
      </w:pPr>
    </w:p>
    <w:p>
      <w:pPr>
        <w:ind w:firstLine="300" w:firstLineChars="100"/>
        <w:rPr>
          <w:rFonts w:ascii="宋体" w:hAnsi="宋体" w:cs="仿宋"/>
          <w:sz w:val="30"/>
          <w:szCs w:val="30"/>
        </w:rPr>
      </w:pPr>
      <w:r>
        <w:rPr>
          <w:rFonts w:hint="eastAsia" w:ascii="宋体" w:hAnsi="宋体" w:cs="仿宋"/>
          <w:sz w:val="30"/>
          <w:szCs w:val="30"/>
        </w:rPr>
        <w:t>附件：《招标项目评标报告复核记录表》</w:t>
      </w:r>
      <w:r>
        <w:rPr>
          <w:rFonts w:ascii="宋体" w:hAnsi="宋体" w:cs="仿宋"/>
          <w:sz w:val="30"/>
          <w:szCs w:val="30"/>
        </w:rPr>
        <w:t xml:space="preserve">                         </w:t>
      </w: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bookmarkStart w:id="0" w:name="_GoBack"/>
      <w:bookmarkEnd w:id="0"/>
    </w:p>
    <w:p>
      <w:pPr>
        <w:rPr>
          <w:rFonts w:ascii="宋体" w:cs="仿宋"/>
          <w:bCs/>
          <w:sz w:val="30"/>
          <w:szCs w:val="30"/>
        </w:rPr>
      </w:pPr>
      <w:r>
        <w:rPr>
          <w:rFonts w:hint="eastAsia" w:ascii="宋体" w:hAnsi="宋体" w:cs="仿宋"/>
          <w:bCs/>
          <w:sz w:val="30"/>
          <w:szCs w:val="30"/>
        </w:rPr>
        <w:t>附件：</w:t>
      </w:r>
    </w:p>
    <w:p>
      <w:pPr>
        <w:ind w:left="420" w:leftChars="200" w:firstLine="1355" w:firstLineChars="450"/>
        <w:rPr>
          <w:rFonts w:ascii="宋体" w:cs="仿宋"/>
          <w:b/>
          <w:bCs/>
          <w:sz w:val="30"/>
          <w:szCs w:val="30"/>
        </w:rPr>
      </w:pPr>
      <w:r>
        <w:rPr>
          <w:rFonts w:hint="eastAsia" w:ascii="宋体" w:hAnsi="宋体" w:cs="仿宋"/>
          <w:b/>
          <w:bCs/>
          <w:sz w:val="30"/>
          <w:szCs w:val="30"/>
        </w:rPr>
        <w:t>《招标项目评标报告复核记录表》</w:t>
      </w:r>
    </w:p>
    <w:p>
      <w:pPr>
        <w:ind w:firstLine="294" w:firstLineChars="98"/>
        <w:rPr>
          <w:rFonts w:ascii="宋体" w:cs="仿宋"/>
          <w:bCs/>
          <w:sz w:val="30"/>
          <w:szCs w:val="30"/>
        </w:rPr>
      </w:pPr>
      <w:r>
        <w:rPr>
          <w:rFonts w:hint="eastAsia" w:ascii="宋体" w:hAnsi="宋体" w:cs="仿宋"/>
          <w:bCs/>
          <w:sz w:val="30"/>
          <w:szCs w:val="30"/>
        </w:rPr>
        <w:t>项目名称：</w:t>
      </w:r>
      <w:r>
        <w:rPr>
          <w:rFonts w:ascii="宋体" w:hAnsi="宋体" w:cs="仿宋"/>
          <w:bCs/>
          <w:sz w:val="30"/>
          <w:szCs w:val="30"/>
          <w:u w:val="single"/>
        </w:rPr>
        <w:t xml:space="preserve">                                  </w:t>
      </w:r>
    </w:p>
    <w:tbl>
      <w:tblPr>
        <w:tblStyle w:val="7"/>
        <w:tblpPr w:leftFromText="180" w:rightFromText="180" w:vertAnchor="text" w:tblpX="1" w:tblpY="144"/>
        <w:tblOverlap w:val="never"/>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249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420" w:type="dxa"/>
          </w:tcPr>
          <w:p>
            <w:pPr>
              <w:rPr>
                <w:rFonts w:ascii="宋体" w:cs="仿宋"/>
                <w:bCs/>
                <w:sz w:val="30"/>
                <w:szCs w:val="30"/>
              </w:rPr>
            </w:pPr>
            <w:r>
              <w:rPr>
                <w:rFonts w:hint="eastAsia" w:ascii="宋体" w:hAnsi="宋体" w:cs="仿宋"/>
                <w:bCs/>
                <w:sz w:val="30"/>
                <w:szCs w:val="30"/>
              </w:rPr>
              <w:t>对评标报告的复核意见</w:t>
            </w:r>
          </w:p>
        </w:tc>
        <w:tc>
          <w:tcPr>
            <w:tcW w:w="2497" w:type="dxa"/>
          </w:tcPr>
          <w:p>
            <w:pPr>
              <w:rPr>
                <w:rFonts w:ascii="宋体" w:cs="仿宋"/>
                <w:bCs/>
                <w:sz w:val="30"/>
                <w:szCs w:val="30"/>
              </w:rPr>
            </w:pPr>
            <w:r>
              <w:rPr>
                <w:rFonts w:hint="eastAsia" w:ascii="宋体" w:hAnsi="宋体" w:cs="仿宋"/>
                <w:bCs/>
                <w:sz w:val="30"/>
                <w:szCs w:val="30"/>
              </w:rPr>
              <w:t>评标委员会意见</w:t>
            </w:r>
          </w:p>
        </w:tc>
        <w:tc>
          <w:tcPr>
            <w:tcW w:w="2734" w:type="dxa"/>
          </w:tcPr>
          <w:p>
            <w:pPr>
              <w:rPr>
                <w:rFonts w:ascii="宋体" w:cs="仿宋"/>
                <w:bCs/>
                <w:sz w:val="30"/>
                <w:szCs w:val="30"/>
              </w:rPr>
            </w:pPr>
            <w:r>
              <w:rPr>
                <w:rFonts w:hint="eastAsia" w:ascii="宋体" w:hAnsi="宋体" w:cs="仿宋"/>
                <w:bCs/>
                <w:sz w:val="30"/>
                <w:szCs w:val="30"/>
              </w:rPr>
              <w:t>复核结果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7" w:hRule="atLeast"/>
        </w:trPr>
        <w:tc>
          <w:tcPr>
            <w:tcW w:w="3420" w:type="dxa"/>
          </w:tcPr>
          <w:p>
            <w:pPr>
              <w:numPr>
                <w:ilvl w:val="0"/>
                <w:numId w:val="2"/>
              </w:numPr>
              <w:rPr>
                <w:rFonts w:ascii="宋体" w:eastAsia="仿宋" w:cs="仿宋"/>
                <w:bCs/>
                <w:sz w:val="30"/>
                <w:szCs w:val="30"/>
                <w:u w:val="single"/>
              </w:rPr>
            </w:pPr>
          </w:p>
          <w:p>
            <w:pPr>
              <w:rPr>
                <w:rFonts w:ascii="宋体" w:cs="仿宋"/>
                <w:bCs/>
                <w:sz w:val="30"/>
                <w:szCs w:val="30"/>
                <w:u w:val="single"/>
              </w:rPr>
            </w:pPr>
          </w:p>
          <w:p>
            <w:pPr>
              <w:rPr>
                <w:rFonts w:ascii="宋体" w:cs="仿宋"/>
                <w:bCs/>
                <w:sz w:val="30"/>
                <w:szCs w:val="30"/>
                <w:u w:val="single"/>
              </w:rPr>
            </w:pPr>
          </w:p>
          <w:p>
            <w:pPr>
              <w:numPr>
                <w:ilvl w:val="0"/>
                <w:numId w:val="2"/>
              </w:numPr>
              <w:rPr>
                <w:rFonts w:ascii="宋体" w:cs="Arial"/>
                <w:bCs/>
                <w:sz w:val="30"/>
                <w:szCs w:val="30"/>
              </w:rPr>
            </w:pPr>
            <w:r>
              <w:rPr>
                <w:rFonts w:hint="eastAsia" w:ascii="宋体"/>
                <w:bCs/>
                <w:sz w:val="30"/>
                <w:szCs w:val="30"/>
              </w:rPr>
              <w:t>…</w:t>
            </w: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r>
              <w:rPr>
                <w:rFonts w:hint="eastAsia" w:ascii="宋体" w:hAnsi="宋体" w:cs="Arial"/>
                <w:bCs/>
                <w:sz w:val="30"/>
                <w:szCs w:val="30"/>
              </w:rPr>
              <w:t>复核人签名：</w:t>
            </w:r>
          </w:p>
          <w:p>
            <w:pPr>
              <w:rPr>
                <w:rFonts w:ascii="宋体" w:cs="Arial"/>
                <w:bCs/>
                <w:sz w:val="30"/>
                <w:szCs w:val="30"/>
              </w:rPr>
            </w:pPr>
          </w:p>
          <w:p>
            <w:pPr>
              <w:rPr>
                <w:rFonts w:ascii="宋体" w:cs="Arial"/>
                <w:bCs/>
                <w:sz w:val="30"/>
                <w:szCs w:val="30"/>
              </w:rPr>
            </w:pPr>
          </w:p>
          <w:p>
            <w:pPr>
              <w:rPr>
                <w:rFonts w:ascii="宋体" w:cs="Arial"/>
                <w:bCs/>
                <w:sz w:val="30"/>
                <w:szCs w:val="30"/>
              </w:rPr>
            </w:pPr>
            <w:r>
              <w:rPr>
                <w:rFonts w:ascii="宋体" w:hAnsi="宋体" w:cs="Arial"/>
                <w:bCs/>
                <w:sz w:val="30"/>
                <w:szCs w:val="30"/>
              </w:rPr>
              <w:t xml:space="preserve">           </w:t>
            </w:r>
            <w:r>
              <w:rPr>
                <w:rFonts w:hint="eastAsia" w:ascii="宋体" w:hAnsi="宋体" w:cs="Arial"/>
                <w:bCs/>
                <w:sz w:val="30"/>
                <w:szCs w:val="30"/>
              </w:rPr>
              <w:t>年</w:t>
            </w:r>
            <w:r>
              <w:rPr>
                <w:rFonts w:ascii="宋体" w:hAnsi="宋体" w:cs="Arial"/>
                <w:bCs/>
                <w:sz w:val="30"/>
                <w:szCs w:val="30"/>
              </w:rPr>
              <w:t xml:space="preserve">  </w:t>
            </w:r>
            <w:r>
              <w:rPr>
                <w:rFonts w:hint="eastAsia" w:ascii="宋体" w:hAnsi="宋体" w:cs="Arial"/>
                <w:bCs/>
                <w:sz w:val="30"/>
                <w:szCs w:val="30"/>
              </w:rPr>
              <w:t>月</w:t>
            </w:r>
            <w:r>
              <w:rPr>
                <w:rFonts w:ascii="宋体" w:hAnsi="宋体" w:cs="Arial"/>
                <w:bCs/>
                <w:sz w:val="30"/>
                <w:szCs w:val="30"/>
              </w:rPr>
              <w:t xml:space="preserve">  </w:t>
            </w:r>
            <w:r>
              <w:rPr>
                <w:rFonts w:hint="eastAsia" w:ascii="宋体" w:hAnsi="宋体" w:cs="Arial"/>
                <w:bCs/>
                <w:sz w:val="30"/>
                <w:szCs w:val="30"/>
              </w:rPr>
              <w:t>日</w:t>
            </w:r>
          </w:p>
        </w:tc>
        <w:tc>
          <w:tcPr>
            <w:tcW w:w="2497" w:type="dxa"/>
          </w:tcPr>
          <w:p>
            <w:pPr>
              <w:rPr>
                <w:rFonts w:ascii="宋体" w:cs="仿宋"/>
                <w:bCs/>
                <w:sz w:val="30"/>
                <w:szCs w:val="30"/>
                <w:u w:val="single"/>
              </w:rPr>
            </w:pPr>
            <w:r>
              <w:rPr>
                <w:rFonts w:ascii="宋体" w:hAnsi="宋体" w:cs="仿宋"/>
                <w:bCs/>
                <w:sz w:val="30"/>
                <w:szCs w:val="30"/>
              </w:rPr>
              <w:t>1.</w:t>
            </w:r>
          </w:p>
          <w:p>
            <w:pPr>
              <w:rPr>
                <w:rFonts w:ascii="宋体" w:cs="仿宋"/>
                <w:bCs/>
                <w:sz w:val="30"/>
                <w:szCs w:val="30"/>
                <w:u w:val="single"/>
              </w:rPr>
            </w:pPr>
          </w:p>
          <w:p>
            <w:pPr>
              <w:rPr>
                <w:rFonts w:ascii="宋体" w:cs="仿宋"/>
                <w:bCs/>
                <w:sz w:val="30"/>
                <w:szCs w:val="30"/>
                <w:u w:val="single"/>
              </w:rPr>
            </w:pPr>
          </w:p>
          <w:p>
            <w:pPr>
              <w:rPr>
                <w:rFonts w:ascii="宋体" w:cs="Arial"/>
                <w:bCs/>
                <w:sz w:val="30"/>
                <w:szCs w:val="30"/>
              </w:rPr>
            </w:pPr>
            <w:r>
              <w:rPr>
                <w:rFonts w:ascii="宋体" w:hAnsi="宋体" w:cs="Arial"/>
                <w:bCs/>
                <w:sz w:val="30"/>
                <w:szCs w:val="30"/>
              </w:rPr>
              <w:t xml:space="preserve">2. </w:t>
            </w:r>
            <w:r>
              <w:rPr>
                <w:rFonts w:hint="eastAsia" w:ascii="宋体" w:hAnsi="宋体" w:cs="Arial"/>
                <w:bCs/>
                <w:sz w:val="30"/>
                <w:szCs w:val="30"/>
              </w:rPr>
              <w:t>…</w:t>
            </w: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r>
              <w:rPr>
                <w:rFonts w:hint="eastAsia" w:ascii="宋体" w:hAnsi="宋体" w:cs="Arial"/>
                <w:bCs/>
                <w:sz w:val="30"/>
                <w:szCs w:val="30"/>
              </w:rPr>
              <w:t>评标委员会签名：</w:t>
            </w:r>
          </w:p>
          <w:p>
            <w:pPr>
              <w:rPr>
                <w:rFonts w:ascii="宋体" w:cs="Arial"/>
                <w:bCs/>
                <w:sz w:val="30"/>
                <w:szCs w:val="30"/>
              </w:rPr>
            </w:pPr>
          </w:p>
          <w:p>
            <w:pPr>
              <w:rPr>
                <w:rFonts w:ascii="宋体" w:cs="Arial"/>
                <w:bCs/>
                <w:sz w:val="30"/>
                <w:szCs w:val="30"/>
              </w:rPr>
            </w:pPr>
          </w:p>
          <w:p>
            <w:pPr>
              <w:rPr>
                <w:rFonts w:ascii="宋体" w:cs="Arial"/>
                <w:bCs/>
                <w:sz w:val="30"/>
                <w:szCs w:val="30"/>
              </w:rPr>
            </w:pPr>
            <w:r>
              <w:rPr>
                <w:rFonts w:ascii="宋体" w:hAnsi="宋体" w:cs="Arial"/>
                <w:bCs/>
                <w:sz w:val="30"/>
                <w:szCs w:val="30"/>
              </w:rPr>
              <w:t xml:space="preserve">     </w:t>
            </w:r>
            <w:r>
              <w:rPr>
                <w:rFonts w:hint="eastAsia" w:ascii="宋体" w:hAnsi="宋体" w:cs="Arial"/>
                <w:bCs/>
                <w:sz w:val="30"/>
                <w:szCs w:val="30"/>
              </w:rPr>
              <w:t>年</w:t>
            </w:r>
            <w:r>
              <w:rPr>
                <w:rFonts w:ascii="宋体" w:hAnsi="宋体" w:cs="Arial"/>
                <w:bCs/>
                <w:sz w:val="30"/>
                <w:szCs w:val="30"/>
              </w:rPr>
              <w:t xml:space="preserve">  </w:t>
            </w:r>
            <w:r>
              <w:rPr>
                <w:rFonts w:hint="eastAsia" w:ascii="宋体" w:hAnsi="宋体" w:cs="Arial"/>
                <w:bCs/>
                <w:sz w:val="30"/>
                <w:szCs w:val="30"/>
              </w:rPr>
              <w:t>月</w:t>
            </w:r>
            <w:r>
              <w:rPr>
                <w:rFonts w:ascii="宋体" w:hAnsi="宋体" w:cs="Arial"/>
                <w:bCs/>
                <w:sz w:val="30"/>
                <w:szCs w:val="30"/>
              </w:rPr>
              <w:t xml:space="preserve">  </w:t>
            </w:r>
            <w:r>
              <w:rPr>
                <w:rFonts w:hint="eastAsia" w:ascii="宋体" w:hAnsi="宋体" w:cs="Arial"/>
                <w:bCs/>
                <w:sz w:val="30"/>
                <w:szCs w:val="30"/>
              </w:rPr>
              <w:t>日</w:t>
            </w:r>
          </w:p>
        </w:tc>
        <w:tc>
          <w:tcPr>
            <w:tcW w:w="2734" w:type="dxa"/>
          </w:tcPr>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Arial"/>
                <w:bCs/>
                <w:sz w:val="30"/>
                <w:szCs w:val="30"/>
              </w:rPr>
            </w:pPr>
            <w:r>
              <w:rPr>
                <w:rFonts w:hint="eastAsia" w:ascii="宋体" w:hAnsi="宋体" w:cs="Arial"/>
                <w:bCs/>
                <w:sz w:val="30"/>
                <w:szCs w:val="30"/>
              </w:rPr>
              <w:t>评标委员会主任评委签名：</w:t>
            </w:r>
          </w:p>
          <w:p>
            <w:pPr>
              <w:rPr>
                <w:rFonts w:ascii="宋体" w:cs="Arial"/>
                <w:bCs/>
                <w:sz w:val="30"/>
                <w:szCs w:val="30"/>
              </w:rPr>
            </w:pPr>
            <w:r>
              <w:rPr>
                <w:rFonts w:hint="eastAsia" w:ascii="宋体" w:hAnsi="宋体" w:cs="Arial"/>
                <w:bCs/>
                <w:sz w:val="30"/>
                <w:szCs w:val="30"/>
              </w:rPr>
              <w:t>复核人签名：</w:t>
            </w:r>
          </w:p>
          <w:p>
            <w:pPr>
              <w:rPr>
                <w:rFonts w:ascii="宋体" w:cs="Arial"/>
                <w:bCs/>
                <w:sz w:val="30"/>
                <w:szCs w:val="30"/>
              </w:rPr>
            </w:pPr>
            <w:r>
              <w:rPr>
                <w:rFonts w:ascii="宋体" w:hAnsi="宋体" w:cs="Arial"/>
                <w:bCs/>
                <w:sz w:val="30"/>
                <w:szCs w:val="30"/>
              </w:rPr>
              <w:t xml:space="preserve">   </w:t>
            </w:r>
            <w:r>
              <w:rPr>
                <w:rFonts w:hint="eastAsia" w:ascii="宋体" w:hAnsi="宋体" w:cs="Arial"/>
                <w:bCs/>
                <w:sz w:val="30"/>
                <w:szCs w:val="30"/>
              </w:rPr>
              <w:t>年</w:t>
            </w:r>
            <w:r>
              <w:rPr>
                <w:rFonts w:ascii="宋体" w:hAnsi="宋体" w:cs="Arial"/>
                <w:bCs/>
                <w:sz w:val="30"/>
                <w:szCs w:val="30"/>
              </w:rPr>
              <w:t xml:space="preserve">  </w:t>
            </w:r>
            <w:r>
              <w:rPr>
                <w:rFonts w:hint="eastAsia" w:ascii="宋体" w:hAnsi="宋体" w:cs="Arial"/>
                <w:bCs/>
                <w:sz w:val="30"/>
                <w:szCs w:val="30"/>
              </w:rPr>
              <w:t>月</w:t>
            </w:r>
            <w:r>
              <w:rPr>
                <w:rFonts w:ascii="宋体" w:hAnsi="宋体" w:cs="Arial"/>
                <w:bCs/>
                <w:sz w:val="30"/>
                <w:szCs w:val="30"/>
              </w:rPr>
              <w:t xml:space="preserve">  </w:t>
            </w:r>
            <w:r>
              <w:rPr>
                <w:rFonts w:hint="eastAsia" w:ascii="宋体" w:hAnsi="宋体" w:cs="Arial"/>
                <w:bCs/>
                <w:sz w:val="30"/>
                <w:szCs w:val="30"/>
              </w:rPr>
              <w:t>日</w:t>
            </w:r>
          </w:p>
        </w:tc>
      </w:tr>
    </w:tbl>
    <w:p>
      <w:pPr>
        <w:rPr>
          <w:rFonts w:ascii="宋体" w:cs="仿宋"/>
          <w:sz w:val="30"/>
          <w:szCs w:val="30"/>
        </w:rPr>
      </w:pPr>
      <w:r>
        <w:rPr>
          <w:rFonts w:hint="eastAsia" w:ascii="宋体" w:hAnsi="宋体" w:cs="仿宋"/>
          <w:sz w:val="30"/>
          <w:szCs w:val="30"/>
        </w:rPr>
        <w:t>备注：招标人、代理机构应如实记录复核评标报告情况，原评标报告予以保留、不直接修改，修改的表格应重新打印签字后与本表一并留存，无修改意见填“无”。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FB3FF"/>
    <w:multiLevelType w:val="singleLevel"/>
    <w:tmpl w:val="B92FB3FF"/>
    <w:lvl w:ilvl="0" w:tentative="0">
      <w:start w:val="1"/>
      <w:numFmt w:val="decimal"/>
      <w:suff w:val="space"/>
      <w:lvlText w:val="%1."/>
      <w:lvlJc w:val="left"/>
      <w:rPr>
        <w:rFonts w:cs="Times New Roman"/>
      </w:rPr>
    </w:lvl>
  </w:abstractNum>
  <w:abstractNum w:abstractNumId="1">
    <w:nsid w:val="D3035D19"/>
    <w:multiLevelType w:val="singleLevel"/>
    <w:tmpl w:val="D3035D19"/>
    <w:lvl w:ilvl="0" w:tentative="0">
      <w:start w:val="1"/>
      <w:numFmt w:val="chineseCounting"/>
      <w:suff w:val="space"/>
      <w:lvlText w:val="第%1条"/>
      <w:lvlJc w:val="left"/>
      <w:pPr>
        <w:ind w:left="200"/>
      </w:pPr>
      <w:rPr>
        <w:rFonts w:hint="eastAsia" w:cs="Times New Roman"/>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016A6"/>
    <w:rsid w:val="00023DE2"/>
    <w:rsid w:val="00032314"/>
    <w:rsid w:val="0003581F"/>
    <w:rsid w:val="00057452"/>
    <w:rsid w:val="00065A68"/>
    <w:rsid w:val="00073096"/>
    <w:rsid w:val="000A46F1"/>
    <w:rsid w:val="000B1A98"/>
    <w:rsid w:val="001131C4"/>
    <w:rsid w:val="00141D29"/>
    <w:rsid w:val="00183D31"/>
    <w:rsid w:val="001B1495"/>
    <w:rsid w:val="001C5788"/>
    <w:rsid w:val="00207908"/>
    <w:rsid w:val="00213BBA"/>
    <w:rsid w:val="00217976"/>
    <w:rsid w:val="0022546F"/>
    <w:rsid w:val="0027384E"/>
    <w:rsid w:val="002B3090"/>
    <w:rsid w:val="002C1DF6"/>
    <w:rsid w:val="00342833"/>
    <w:rsid w:val="003468D9"/>
    <w:rsid w:val="00351FD2"/>
    <w:rsid w:val="003758D4"/>
    <w:rsid w:val="0039122E"/>
    <w:rsid w:val="003A4215"/>
    <w:rsid w:val="003A7226"/>
    <w:rsid w:val="003B5004"/>
    <w:rsid w:val="003F6CAC"/>
    <w:rsid w:val="00415104"/>
    <w:rsid w:val="00421AAF"/>
    <w:rsid w:val="00424272"/>
    <w:rsid w:val="00425726"/>
    <w:rsid w:val="00442ADE"/>
    <w:rsid w:val="004446BE"/>
    <w:rsid w:val="0046390E"/>
    <w:rsid w:val="0048284F"/>
    <w:rsid w:val="004B69BE"/>
    <w:rsid w:val="00507B3A"/>
    <w:rsid w:val="00534091"/>
    <w:rsid w:val="00574A6A"/>
    <w:rsid w:val="00583131"/>
    <w:rsid w:val="00585F5B"/>
    <w:rsid w:val="005B5E48"/>
    <w:rsid w:val="00601ED1"/>
    <w:rsid w:val="00647779"/>
    <w:rsid w:val="00661366"/>
    <w:rsid w:val="0070076B"/>
    <w:rsid w:val="00701B48"/>
    <w:rsid w:val="00710040"/>
    <w:rsid w:val="007576BF"/>
    <w:rsid w:val="00763B22"/>
    <w:rsid w:val="007944B4"/>
    <w:rsid w:val="007967AE"/>
    <w:rsid w:val="007D4BD3"/>
    <w:rsid w:val="007F664B"/>
    <w:rsid w:val="008513D2"/>
    <w:rsid w:val="00854619"/>
    <w:rsid w:val="00860803"/>
    <w:rsid w:val="00885D6D"/>
    <w:rsid w:val="00887B9D"/>
    <w:rsid w:val="008A7768"/>
    <w:rsid w:val="008B286A"/>
    <w:rsid w:val="008D2194"/>
    <w:rsid w:val="008E6756"/>
    <w:rsid w:val="008F52E0"/>
    <w:rsid w:val="00936FAD"/>
    <w:rsid w:val="009475F1"/>
    <w:rsid w:val="009A6FE6"/>
    <w:rsid w:val="009B1ED9"/>
    <w:rsid w:val="009B2814"/>
    <w:rsid w:val="009C11DC"/>
    <w:rsid w:val="009D44B6"/>
    <w:rsid w:val="00A16D9A"/>
    <w:rsid w:val="00A2793F"/>
    <w:rsid w:val="00A8350C"/>
    <w:rsid w:val="00AA4DA2"/>
    <w:rsid w:val="00AB27B2"/>
    <w:rsid w:val="00AB6FBC"/>
    <w:rsid w:val="00AE0871"/>
    <w:rsid w:val="00B45C26"/>
    <w:rsid w:val="00BA7A44"/>
    <w:rsid w:val="00BB2D7B"/>
    <w:rsid w:val="00BB3CB2"/>
    <w:rsid w:val="00BC11CA"/>
    <w:rsid w:val="00BD4DE0"/>
    <w:rsid w:val="00C01C3E"/>
    <w:rsid w:val="00C52896"/>
    <w:rsid w:val="00C54588"/>
    <w:rsid w:val="00C560D2"/>
    <w:rsid w:val="00CE6405"/>
    <w:rsid w:val="00CF1B89"/>
    <w:rsid w:val="00CF401D"/>
    <w:rsid w:val="00CF59EF"/>
    <w:rsid w:val="00D24FAB"/>
    <w:rsid w:val="00D409EF"/>
    <w:rsid w:val="00D62B26"/>
    <w:rsid w:val="00D74B0B"/>
    <w:rsid w:val="00DA197D"/>
    <w:rsid w:val="00DA514D"/>
    <w:rsid w:val="00DB72B4"/>
    <w:rsid w:val="00DC6F3D"/>
    <w:rsid w:val="00DD1204"/>
    <w:rsid w:val="00DE7BD9"/>
    <w:rsid w:val="00DF0F73"/>
    <w:rsid w:val="00DF1EF0"/>
    <w:rsid w:val="00E235FE"/>
    <w:rsid w:val="00E61B97"/>
    <w:rsid w:val="00E71FE2"/>
    <w:rsid w:val="00E967C4"/>
    <w:rsid w:val="00EA7B1E"/>
    <w:rsid w:val="00EE5421"/>
    <w:rsid w:val="00F30244"/>
    <w:rsid w:val="00F5487D"/>
    <w:rsid w:val="00F5552A"/>
    <w:rsid w:val="00F86588"/>
    <w:rsid w:val="013A4D56"/>
    <w:rsid w:val="03FA1BD4"/>
    <w:rsid w:val="042E7ABF"/>
    <w:rsid w:val="04D7054E"/>
    <w:rsid w:val="0BD4518F"/>
    <w:rsid w:val="0C5016A6"/>
    <w:rsid w:val="0E9E45AE"/>
    <w:rsid w:val="17532084"/>
    <w:rsid w:val="1C8F0BB1"/>
    <w:rsid w:val="20C51B0E"/>
    <w:rsid w:val="24611598"/>
    <w:rsid w:val="27C74B8B"/>
    <w:rsid w:val="2E636A7D"/>
    <w:rsid w:val="30853125"/>
    <w:rsid w:val="32C96562"/>
    <w:rsid w:val="348B4839"/>
    <w:rsid w:val="3E485AF4"/>
    <w:rsid w:val="408C6AE3"/>
    <w:rsid w:val="42244D67"/>
    <w:rsid w:val="46A22231"/>
    <w:rsid w:val="49580619"/>
    <w:rsid w:val="4EB111EB"/>
    <w:rsid w:val="4EE5097A"/>
    <w:rsid w:val="50B61E73"/>
    <w:rsid w:val="5EFF620E"/>
    <w:rsid w:val="6102726C"/>
    <w:rsid w:val="69220EA3"/>
    <w:rsid w:val="75964360"/>
    <w:rsid w:val="796E401F"/>
    <w:rsid w:val="798856B0"/>
    <w:rsid w:val="7D475E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bCs/>
      <w:kern w:val="44"/>
      <w:sz w:val="48"/>
      <w:szCs w:val="48"/>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99"/>
    <w:rPr>
      <w:rFonts w:ascii="宋体" w:hAnsi="Courier New" w:cs="Courier New"/>
      <w:szCs w:val="21"/>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9"/>
    <w:link w:val="2"/>
    <w:qFormat/>
    <w:locked/>
    <w:uiPriority w:val="99"/>
    <w:rPr>
      <w:rFonts w:ascii="Calibri" w:hAnsi="Calibri" w:cs="Times New Roman"/>
      <w:b/>
      <w:bCs/>
      <w:kern w:val="44"/>
      <w:sz w:val="44"/>
      <w:szCs w:val="44"/>
    </w:rPr>
  </w:style>
  <w:style w:type="character" w:customStyle="1" w:styleId="11">
    <w:name w:val="Header Char"/>
    <w:basedOn w:val="9"/>
    <w:link w:val="5"/>
    <w:qFormat/>
    <w:locked/>
    <w:uiPriority w:val="99"/>
    <w:rPr>
      <w:rFonts w:ascii="Calibri" w:hAnsi="Calibri" w:eastAsia="宋体" w:cs="Times New Roman"/>
      <w:kern w:val="2"/>
      <w:sz w:val="18"/>
      <w:szCs w:val="18"/>
    </w:rPr>
  </w:style>
  <w:style w:type="character" w:customStyle="1" w:styleId="12">
    <w:name w:val="Footer Char"/>
    <w:basedOn w:val="9"/>
    <w:link w:val="4"/>
    <w:qFormat/>
    <w:locked/>
    <w:uiPriority w:val="99"/>
    <w:rPr>
      <w:rFonts w:ascii="Calibri" w:hAnsi="Calibri" w:eastAsia="宋体" w:cs="Times New Roman"/>
      <w:kern w:val="2"/>
      <w:sz w:val="18"/>
      <w:szCs w:val="18"/>
    </w:rPr>
  </w:style>
  <w:style w:type="character" w:customStyle="1" w:styleId="13">
    <w:name w:val="Plain Text Char"/>
    <w:basedOn w:val="9"/>
    <w:link w:val="3"/>
    <w:qFormat/>
    <w:locked/>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275</Words>
  <Characters>1568</Characters>
  <Lines>0</Lines>
  <Paragraphs>0</Paragraphs>
  <TotalTime>585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2021-03-12T01:40:00Z</dcterms:created>
  <dc:creator>李琰</dc:creator>
  <cp:lastModifiedBy>姜建瑛</cp:lastModifiedBy>
  <cp:lastPrinted>2021-03-17T03:36:00Z</cp:lastPrinted>
  <dcterms:modified xsi:type="dcterms:W3CDTF">2021-04-20T03:44:04Z</dcterms:modified>
  <dc:title>邵阳市房屋建筑和市政基础设施工程</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3ABF4CC34EFB4276BC66126CEBA81B32</vt:lpwstr>
  </property>
</Properties>
</file>