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color w:val="000000"/>
          <w:sz w:val="32"/>
          <w:szCs w:val="32"/>
          <w:lang w:eastAsia="zh-CN"/>
        </w:rPr>
      </w:pPr>
      <w:r>
        <w:rPr>
          <w:rFonts w:hint="eastAsia" w:eastAsia="黑体"/>
          <w:color w:val="000000"/>
          <w:sz w:val="32"/>
          <w:szCs w:val="32"/>
          <w:lang w:eastAsia="zh-CN"/>
        </w:rPr>
        <w:t>附件</w:t>
      </w:r>
    </w:p>
    <w:p>
      <w:pPr>
        <w:spacing w:line="560" w:lineRule="exact"/>
        <w:rPr>
          <w:rFonts w:hint="eastAsia" w:eastAsia="黑体"/>
          <w:color w:val="000000"/>
          <w:sz w:val="32"/>
          <w:szCs w:val="32"/>
          <w:lang w:eastAsia="zh-CN"/>
        </w:rPr>
      </w:pPr>
    </w:p>
    <w:p>
      <w:pPr>
        <w:pStyle w:val="4"/>
        <w:widowControl w:val="0"/>
        <w:spacing w:before="0" w:beforeLines="0" w:beforeAutospacing="0" w:after="0" w:afterLines="0" w:afterAutospacing="0" w:line="560" w:lineRule="exact"/>
        <w:jc w:val="center"/>
        <w:rPr>
          <w:rStyle w:val="7"/>
          <w:rFonts w:ascii="黑体" w:hAnsi="黑体" w:eastAsia="黑体" w:cs="Times New Roman"/>
          <w:b w:val="0"/>
          <w:color w:val="auto"/>
          <w:sz w:val="44"/>
          <w:szCs w:val="44"/>
        </w:rPr>
      </w:pPr>
      <w:r>
        <w:rPr>
          <w:rStyle w:val="7"/>
          <w:rFonts w:ascii="黑体" w:hAnsi="黑体" w:eastAsia="黑体"/>
          <w:b w:val="0"/>
          <w:color w:val="auto"/>
          <w:sz w:val="44"/>
          <w:szCs w:val="44"/>
        </w:rPr>
        <w:t>邵阳市</w:t>
      </w:r>
      <w:r>
        <w:rPr>
          <w:rStyle w:val="7"/>
          <w:rFonts w:ascii="黑体" w:hAnsi="黑体" w:eastAsia="黑体" w:cs="Times New Roman"/>
          <w:b w:val="0"/>
          <w:color w:val="auto"/>
          <w:sz w:val="44"/>
          <w:szCs w:val="44"/>
        </w:rPr>
        <w:t>20</w:t>
      </w:r>
      <w:r>
        <w:rPr>
          <w:rStyle w:val="7"/>
          <w:rFonts w:hint="eastAsia" w:ascii="黑体" w:hAnsi="黑体" w:eastAsia="黑体" w:cs="Times New Roman"/>
          <w:b w:val="0"/>
          <w:color w:val="auto"/>
          <w:sz w:val="44"/>
          <w:szCs w:val="44"/>
          <w:lang w:val="en-US" w:eastAsia="zh-CN"/>
        </w:rPr>
        <w:t>20－</w:t>
      </w:r>
      <w:r>
        <w:rPr>
          <w:rStyle w:val="7"/>
          <w:rFonts w:hint="eastAsia" w:ascii="黑体" w:hAnsi="黑体" w:eastAsia="黑体" w:cs="Times New Roman"/>
          <w:b w:val="0"/>
          <w:color w:val="auto"/>
          <w:sz w:val="44"/>
          <w:szCs w:val="44"/>
        </w:rPr>
        <w:t>20</w:t>
      </w:r>
      <w:r>
        <w:rPr>
          <w:rStyle w:val="7"/>
          <w:rFonts w:hint="eastAsia" w:ascii="黑体" w:hAnsi="黑体" w:eastAsia="黑体" w:cs="Times New Roman"/>
          <w:b w:val="0"/>
          <w:color w:val="auto"/>
          <w:sz w:val="44"/>
          <w:szCs w:val="44"/>
          <w:lang w:val="en-US" w:eastAsia="zh-CN"/>
        </w:rPr>
        <w:t>21</w:t>
      </w:r>
      <w:r>
        <w:rPr>
          <w:rStyle w:val="7"/>
          <w:rFonts w:ascii="黑体" w:hAnsi="黑体" w:eastAsia="黑体" w:cs="Times New Roman"/>
          <w:b w:val="0"/>
          <w:color w:val="auto"/>
          <w:sz w:val="44"/>
          <w:szCs w:val="44"/>
        </w:rPr>
        <w:t>年</w:t>
      </w:r>
      <w:r>
        <w:rPr>
          <w:rStyle w:val="7"/>
          <w:rFonts w:hint="eastAsia" w:ascii="黑体" w:hAnsi="黑体" w:eastAsia="黑体" w:cs="Times New Roman"/>
          <w:b w:val="0"/>
          <w:color w:val="auto"/>
          <w:sz w:val="44"/>
          <w:szCs w:val="44"/>
          <w:lang w:eastAsia="zh-CN"/>
        </w:rPr>
        <w:t>度</w:t>
      </w:r>
      <w:r>
        <w:rPr>
          <w:rStyle w:val="7"/>
          <w:rFonts w:ascii="黑体" w:hAnsi="黑体" w:eastAsia="黑体" w:cs="Times New Roman"/>
          <w:b w:val="0"/>
          <w:color w:val="auto"/>
          <w:sz w:val="44"/>
          <w:szCs w:val="44"/>
        </w:rPr>
        <w:t>政府集中采购目录</w:t>
      </w:r>
    </w:p>
    <w:p>
      <w:pPr>
        <w:pStyle w:val="4"/>
        <w:widowControl w:val="0"/>
        <w:spacing w:before="0" w:beforeLines="0" w:beforeAutospacing="0" w:after="0" w:afterLines="0" w:afterAutospacing="0" w:line="560" w:lineRule="exact"/>
        <w:jc w:val="center"/>
        <w:rPr>
          <w:rStyle w:val="7"/>
          <w:rFonts w:ascii="Times New Roman" w:hAnsi="Times New Roman" w:eastAsia="方正小标宋_GBK" w:cs="Times New Roman"/>
          <w:b w:val="0"/>
          <w:color w:val="auto"/>
          <w:sz w:val="36"/>
          <w:szCs w:val="36"/>
        </w:rPr>
      </w:pPr>
      <w:r>
        <w:rPr>
          <w:rStyle w:val="7"/>
          <w:rFonts w:ascii="黑体" w:hAnsi="黑体" w:eastAsia="黑体" w:cs="Times New Roman"/>
          <w:b w:val="0"/>
          <w:color w:val="auto"/>
          <w:sz w:val="44"/>
          <w:szCs w:val="44"/>
        </w:rPr>
        <w:t>及政府采购限额标准</w:t>
      </w:r>
    </w:p>
    <w:p>
      <w:pPr>
        <w:pStyle w:val="4"/>
        <w:widowControl w:val="0"/>
        <w:spacing w:before="0" w:beforeLines="0" w:beforeAutospacing="0" w:after="0" w:afterLines="0" w:afterAutospacing="0" w:line="560" w:lineRule="exact"/>
        <w:jc w:val="center"/>
        <w:rPr>
          <w:rFonts w:ascii="Times New Roman" w:hAnsi="Times New Roman" w:eastAsia="方正小标宋_GBK" w:cs="Times New Roman"/>
          <w:bCs/>
          <w:color w:val="auto"/>
          <w:sz w:val="36"/>
          <w:szCs w:val="36"/>
        </w:rPr>
      </w:pPr>
    </w:p>
    <w:p>
      <w:pPr>
        <w:pStyle w:val="4"/>
        <w:widowControl w:val="0"/>
        <w:spacing w:before="0" w:beforeLines="0" w:beforeAutospacing="0" w:after="0" w:afterLines="0" w:afterAutospacing="0" w:line="560" w:lineRule="exact"/>
        <w:ind w:firstLine="640" w:firstLineChars="200"/>
        <w:jc w:val="both"/>
        <w:rPr>
          <w:rFonts w:hint="eastAsia" w:ascii="仿宋_GB2312" w:hAnsi="仿宋" w:eastAsia="仿宋_GB2312" w:cs="Times New Roman"/>
          <w:color w:val="000000"/>
          <w:sz w:val="32"/>
          <w:szCs w:val="32"/>
        </w:rPr>
      </w:pPr>
      <w:r>
        <w:rPr>
          <w:rStyle w:val="7"/>
          <w:rFonts w:hint="eastAsia" w:ascii="仿宋_GB2312" w:hAnsi="仿宋" w:eastAsia="仿宋_GB2312" w:cs="Times New Roman"/>
          <w:b w:val="0"/>
          <w:color w:val="000000"/>
          <w:sz w:val="32"/>
          <w:szCs w:val="32"/>
        </w:rPr>
        <w:t>一、政府集中采购目录</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rPr>
      </w:pPr>
      <w:r>
        <w:rPr>
          <w:rStyle w:val="7"/>
          <w:rFonts w:hint="eastAsia" w:ascii="仿宋_GB2312" w:hAnsi="仿宋" w:eastAsia="仿宋_GB2312" w:cs="Times New Roman"/>
          <w:b w:val="0"/>
          <w:color w:val="000000"/>
          <w:sz w:val="32"/>
          <w:szCs w:val="32"/>
        </w:rPr>
        <w:t>《邵阳市20</w:t>
      </w:r>
      <w:r>
        <w:rPr>
          <w:rStyle w:val="7"/>
          <w:rFonts w:hint="eastAsia" w:ascii="仿宋_GB2312" w:hAnsi="仿宋" w:eastAsia="仿宋_GB2312" w:cs="Times New Roman"/>
          <w:b w:val="0"/>
          <w:color w:val="000000"/>
          <w:sz w:val="32"/>
          <w:szCs w:val="32"/>
          <w:lang w:val="en-US" w:eastAsia="zh-CN"/>
        </w:rPr>
        <w:t>20—</w:t>
      </w:r>
      <w:r>
        <w:rPr>
          <w:rStyle w:val="7"/>
          <w:rFonts w:hint="eastAsia" w:ascii="仿宋_GB2312" w:hAnsi="仿宋" w:eastAsia="仿宋_GB2312" w:cs="Times New Roman"/>
          <w:b w:val="0"/>
          <w:color w:val="000000"/>
          <w:sz w:val="32"/>
          <w:szCs w:val="32"/>
        </w:rPr>
        <w:t>20</w:t>
      </w:r>
      <w:r>
        <w:rPr>
          <w:rStyle w:val="7"/>
          <w:rFonts w:hint="eastAsia" w:ascii="仿宋_GB2312" w:hAnsi="仿宋" w:eastAsia="仿宋_GB2312" w:cs="Times New Roman"/>
          <w:b w:val="0"/>
          <w:color w:val="000000"/>
          <w:sz w:val="32"/>
          <w:szCs w:val="32"/>
          <w:lang w:val="en-US" w:eastAsia="zh-CN"/>
        </w:rPr>
        <w:t>21</w:t>
      </w:r>
      <w:r>
        <w:rPr>
          <w:rStyle w:val="7"/>
          <w:rFonts w:hint="eastAsia" w:ascii="仿宋_GB2312" w:hAnsi="仿宋" w:eastAsia="仿宋_GB2312" w:cs="Times New Roman"/>
          <w:b w:val="0"/>
          <w:color w:val="000000"/>
          <w:sz w:val="32"/>
          <w:szCs w:val="32"/>
        </w:rPr>
        <w:t>年</w:t>
      </w:r>
      <w:r>
        <w:rPr>
          <w:rStyle w:val="7"/>
          <w:rFonts w:hint="eastAsia" w:ascii="仿宋_GB2312" w:hAnsi="仿宋" w:eastAsia="仿宋_GB2312" w:cs="Times New Roman"/>
          <w:b w:val="0"/>
          <w:color w:val="000000"/>
          <w:sz w:val="32"/>
          <w:szCs w:val="32"/>
          <w:lang w:eastAsia="zh-CN"/>
        </w:rPr>
        <w:t>度</w:t>
      </w:r>
      <w:r>
        <w:rPr>
          <w:rStyle w:val="7"/>
          <w:rFonts w:hint="eastAsia" w:ascii="仿宋_GB2312" w:hAnsi="仿宋" w:eastAsia="仿宋_GB2312" w:cs="Times New Roman"/>
          <w:b w:val="0"/>
          <w:color w:val="000000"/>
          <w:sz w:val="32"/>
          <w:szCs w:val="32"/>
        </w:rPr>
        <w:t>政府集中采购目录》（</w:t>
      </w:r>
      <w:r>
        <w:rPr>
          <w:rStyle w:val="7"/>
          <w:rFonts w:hint="eastAsia" w:ascii="仿宋_GB2312" w:hAnsi="仿宋" w:eastAsia="仿宋_GB2312" w:cs="Times New Roman"/>
          <w:b w:val="0"/>
          <w:color w:val="000000"/>
          <w:sz w:val="32"/>
          <w:szCs w:val="32"/>
          <w:lang w:eastAsia="zh-CN"/>
        </w:rPr>
        <w:t>详</w:t>
      </w:r>
      <w:r>
        <w:rPr>
          <w:rStyle w:val="7"/>
          <w:rFonts w:hint="eastAsia" w:ascii="仿宋_GB2312" w:hAnsi="仿宋" w:eastAsia="仿宋_GB2312" w:cs="Times New Roman"/>
          <w:b w:val="0"/>
          <w:color w:val="000000"/>
          <w:sz w:val="32"/>
          <w:szCs w:val="32"/>
        </w:rPr>
        <w:t>见附表）的编制基础是财政部《政府采购品目分类目录》（财库〔2013〕189号）。其中：字母A表示货物类，字母B表示工程类，字母C表示服务类；每2位数字编码表示一级，品目最多有10位数字编码，即</w:t>
      </w:r>
      <w:r>
        <w:rPr>
          <w:rStyle w:val="7"/>
          <w:rFonts w:hint="eastAsia" w:ascii="仿宋_GB2312" w:hAnsi="仿宋" w:eastAsia="仿宋_GB2312" w:cs="Times New Roman"/>
          <w:b w:val="0"/>
          <w:color w:val="000000"/>
          <w:sz w:val="32"/>
          <w:szCs w:val="32"/>
          <w:lang w:eastAsia="zh-CN"/>
        </w:rPr>
        <w:t>每</w:t>
      </w:r>
      <w:r>
        <w:rPr>
          <w:rStyle w:val="7"/>
          <w:rFonts w:hint="eastAsia" w:ascii="仿宋_GB2312" w:hAnsi="仿宋" w:eastAsia="仿宋_GB2312" w:cs="Times New Roman"/>
          <w:b w:val="0"/>
          <w:color w:val="000000"/>
          <w:sz w:val="32"/>
          <w:szCs w:val="32"/>
        </w:rPr>
        <w:t>类最多有5级明细。政府集中采购目录采用列举法，从最</w:t>
      </w:r>
      <w:r>
        <w:rPr>
          <w:rStyle w:val="7"/>
          <w:rFonts w:hint="eastAsia" w:ascii="仿宋_GB2312" w:hAnsi="仿宋" w:eastAsia="仿宋_GB2312" w:cs="Times New Roman"/>
          <w:b w:val="0"/>
          <w:color w:val="000000"/>
          <w:sz w:val="32"/>
          <w:szCs w:val="32"/>
          <w:lang w:eastAsia="zh-CN"/>
        </w:rPr>
        <w:t>低</w:t>
      </w:r>
      <w:r>
        <w:rPr>
          <w:rStyle w:val="7"/>
          <w:rFonts w:hint="eastAsia" w:ascii="仿宋_GB2312" w:hAnsi="仿宋" w:eastAsia="仿宋_GB2312" w:cs="Times New Roman"/>
          <w:b w:val="0"/>
          <w:color w:val="000000"/>
          <w:sz w:val="32"/>
          <w:szCs w:val="32"/>
        </w:rPr>
        <w:t>层品目穷尽列示所有应纳入政府集中采购的品目范围。</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lang w:val="en-US" w:eastAsia="zh-CN"/>
        </w:rPr>
      </w:pPr>
      <w:r>
        <w:rPr>
          <w:rStyle w:val="7"/>
          <w:rFonts w:hint="eastAsia" w:ascii="仿宋_GB2312" w:hAnsi="仿宋" w:eastAsia="仿宋_GB2312" w:cs="Times New Roman"/>
          <w:b w:val="0"/>
          <w:color w:val="000000"/>
          <w:sz w:val="32"/>
          <w:szCs w:val="32"/>
          <w:lang w:val="en-US" w:eastAsia="zh-CN"/>
        </w:rPr>
        <w:t>《邵阳市2020－2021年度政府集中采购目录》按照政府采购限额标准进行调整，将政府采购限额标准以下的货物、服务和工程纳入电子卖场，不再纳入集中采购的范围。</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u w:val="none"/>
          <w:lang w:eastAsia="zh-CN"/>
        </w:rPr>
      </w:pPr>
      <w:r>
        <w:rPr>
          <w:rStyle w:val="7"/>
          <w:rFonts w:hint="eastAsia" w:ascii="仿宋_GB2312" w:hAnsi="仿宋" w:eastAsia="仿宋_GB2312" w:cs="Times New Roman"/>
          <w:b w:val="0"/>
          <w:color w:val="000000"/>
          <w:sz w:val="32"/>
          <w:szCs w:val="32"/>
          <w:lang w:eastAsia="zh-CN"/>
        </w:rPr>
        <w:t>邵阳市本级预算单位集中采购目录内的项目必须委托邵阳市政府采购中心集中采购。</w:t>
      </w:r>
      <w:r>
        <w:rPr>
          <w:rStyle w:val="7"/>
          <w:rFonts w:hint="eastAsia" w:ascii="仿宋_GB2312" w:hAnsi="仿宋" w:eastAsia="仿宋_GB2312" w:cs="Times New Roman"/>
          <w:b w:val="0"/>
          <w:color w:val="000000"/>
          <w:sz w:val="32"/>
          <w:szCs w:val="32"/>
          <w:u w:val="none"/>
          <w:lang w:eastAsia="zh-CN"/>
        </w:rPr>
        <w:t>集中采购目录外的项目可以委托采购代理机构分散采购。</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rPr>
      </w:pPr>
      <w:r>
        <w:rPr>
          <w:rStyle w:val="7"/>
          <w:rFonts w:hint="eastAsia" w:ascii="仿宋_GB2312" w:hAnsi="仿宋" w:eastAsia="仿宋_GB2312" w:cs="Times New Roman"/>
          <w:b w:val="0"/>
          <w:color w:val="000000"/>
          <w:sz w:val="32"/>
          <w:szCs w:val="32"/>
        </w:rPr>
        <w:t>二、邵阳市政府采购限额标准</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rPr>
      </w:pPr>
      <w:r>
        <w:rPr>
          <w:rStyle w:val="7"/>
          <w:rFonts w:hint="eastAsia" w:ascii="仿宋_GB2312" w:hAnsi="仿宋" w:eastAsia="仿宋_GB2312" w:cs="Times New Roman"/>
          <w:b w:val="0"/>
          <w:color w:val="000000"/>
          <w:sz w:val="32"/>
          <w:szCs w:val="32"/>
          <w:lang w:eastAsia="zh-CN"/>
        </w:rPr>
        <w:t>邵阳市政府采购限额标准</w:t>
      </w:r>
      <w:r>
        <w:rPr>
          <w:rStyle w:val="7"/>
          <w:rFonts w:hint="eastAsia" w:ascii="仿宋_GB2312" w:hAnsi="仿宋" w:eastAsia="仿宋_GB2312" w:cs="Times New Roman"/>
          <w:b w:val="0"/>
          <w:color w:val="000000"/>
          <w:sz w:val="32"/>
          <w:szCs w:val="32"/>
        </w:rPr>
        <w:t>为：货物类</w:t>
      </w:r>
      <w:r>
        <w:rPr>
          <w:rStyle w:val="7"/>
          <w:rFonts w:hint="eastAsia" w:ascii="仿宋_GB2312" w:hAnsi="仿宋" w:eastAsia="仿宋_GB2312" w:cs="Times New Roman"/>
          <w:b w:val="0"/>
          <w:color w:val="000000"/>
          <w:sz w:val="32"/>
          <w:szCs w:val="32"/>
          <w:lang w:eastAsia="zh-CN"/>
        </w:rPr>
        <w:t>和</w:t>
      </w:r>
      <w:r>
        <w:rPr>
          <w:rStyle w:val="7"/>
          <w:rFonts w:hint="eastAsia" w:ascii="仿宋_GB2312" w:hAnsi="仿宋" w:eastAsia="仿宋_GB2312" w:cs="Times New Roman"/>
          <w:b w:val="0"/>
          <w:color w:val="000000"/>
          <w:sz w:val="32"/>
          <w:szCs w:val="32"/>
        </w:rPr>
        <w:t>服务类项目采购预算金额30万元</w:t>
      </w:r>
      <w:r>
        <w:rPr>
          <w:rStyle w:val="7"/>
          <w:rFonts w:hint="eastAsia" w:ascii="仿宋_GB2312" w:hAnsi="仿宋" w:eastAsia="仿宋_GB2312" w:cs="Times New Roman"/>
          <w:b w:val="0"/>
          <w:color w:val="000000"/>
          <w:sz w:val="32"/>
          <w:szCs w:val="32"/>
          <w:lang w:eastAsia="zh-CN"/>
        </w:rPr>
        <w:t>以上</w:t>
      </w:r>
      <w:r>
        <w:rPr>
          <w:rStyle w:val="7"/>
          <w:rFonts w:hint="eastAsia" w:ascii="仿宋_GB2312" w:hAnsi="仿宋" w:eastAsia="仿宋_GB2312" w:cs="Times New Roman"/>
          <w:b w:val="0"/>
          <w:color w:val="000000"/>
          <w:sz w:val="32"/>
          <w:szCs w:val="32"/>
        </w:rPr>
        <w:t>；工程类项目采购预算金额</w:t>
      </w:r>
      <w:r>
        <w:rPr>
          <w:rStyle w:val="7"/>
          <w:rFonts w:hint="eastAsia" w:ascii="仿宋_GB2312" w:hAnsi="仿宋" w:eastAsia="仿宋_GB2312" w:cs="Times New Roman"/>
          <w:b w:val="0"/>
          <w:color w:val="000000"/>
          <w:sz w:val="32"/>
          <w:szCs w:val="32"/>
          <w:lang w:val="en-US" w:eastAsia="zh-CN"/>
        </w:rPr>
        <w:t>6</w:t>
      </w:r>
      <w:r>
        <w:rPr>
          <w:rStyle w:val="7"/>
          <w:rFonts w:hint="eastAsia" w:ascii="仿宋_GB2312" w:hAnsi="仿宋" w:eastAsia="仿宋_GB2312" w:cs="Times New Roman"/>
          <w:b w:val="0"/>
          <w:color w:val="000000"/>
          <w:sz w:val="32"/>
          <w:szCs w:val="32"/>
        </w:rPr>
        <w:t>0万元</w:t>
      </w:r>
      <w:r>
        <w:rPr>
          <w:rStyle w:val="7"/>
          <w:rFonts w:hint="eastAsia" w:ascii="仿宋_GB2312" w:hAnsi="仿宋" w:eastAsia="仿宋_GB2312" w:cs="Times New Roman"/>
          <w:b w:val="0"/>
          <w:color w:val="000000"/>
          <w:sz w:val="32"/>
          <w:szCs w:val="32"/>
          <w:lang w:eastAsia="zh-CN"/>
        </w:rPr>
        <w:t>以上</w:t>
      </w:r>
      <w:r>
        <w:rPr>
          <w:rStyle w:val="7"/>
          <w:rFonts w:hint="eastAsia" w:ascii="仿宋_GB2312" w:hAnsi="仿宋" w:eastAsia="仿宋_GB2312" w:cs="Times New Roman"/>
          <w:b w:val="0"/>
          <w:color w:val="000000"/>
          <w:sz w:val="32"/>
          <w:szCs w:val="32"/>
        </w:rPr>
        <w:t>。</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rPr>
      </w:pPr>
      <w:r>
        <w:rPr>
          <w:rStyle w:val="7"/>
          <w:rFonts w:hint="eastAsia" w:ascii="仿宋_GB2312" w:hAnsi="仿宋" w:eastAsia="仿宋_GB2312" w:cs="Times New Roman"/>
          <w:b w:val="0"/>
          <w:color w:val="000000"/>
          <w:sz w:val="32"/>
          <w:szCs w:val="32"/>
        </w:rPr>
        <w:t>三、公开招标数额标准</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rPr>
      </w:pPr>
      <w:r>
        <w:rPr>
          <w:rStyle w:val="7"/>
          <w:rFonts w:hint="eastAsia" w:ascii="仿宋_GB2312" w:hAnsi="仿宋" w:eastAsia="仿宋_GB2312" w:cs="Times New Roman"/>
          <w:b w:val="0"/>
          <w:color w:val="000000"/>
          <w:sz w:val="32"/>
          <w:szCs w:val="32"/>
        </w:rPr>
        <w:t>按照最新的湖南省政府采购货物和服务项目公开招标数额标准，</w:t>
      </w:r>
      <w:r>
        <w:rPr>
          <w:rStyle w:val="7"/>
          <w:rFonts w:hint="eastAsia" w:ascii="仿宋_GB2312" w:hAnsi="仿宋" w:eastAsia="仿宋_GB2312" w:cs="Times New Roman"/>
          <w:b w:val="0"/>
          <w:color w:val="000000"/>
          <w:sz w:val="32"/>
          <w:szCs w:val="32"/>
          <w:lang w:eastAsia="zh-CN"/>
        </w:rPr>
        <w:t>政府</w:t>
      </w:r>
      <w:r>
        <w:rPr>
          <w:rStyle w:val="7"/>
          <w:rFonts w:hint="eastAsia" w:ascii="仿宋_GB2312" w:hAnsi="仿宋" w:eastAsia="仿宋_GB2312" w:cs="Times New Roman"/>
          <w:b w:val="0"/>
          <w:color w:val="000000"/>
          <w:sz w:val="32"/>
          <w:szCs w:val="32"/>
        </w:rPr>
        <w:t>采购货物和服务项目公开招标数额标准为</w:t>
      </w:r>
      <w:r>
        <w:rPr>
          <w:rStyle w:val="7"/>
          <w:rFonts w:hint="eastAsia" w:ascii="仿宋_GB2312" w:hAnsi="仿宋" w:eastAsia="仿宋_GB2312" w:cs="Times New Roman"/>
          <w:b w:val="0"/>
          <w:color w:val="000000"/>
          <w:sz w:val="32"/>
          <w:szCs w:val="32"/>
          <w:lang w:val="en-US" w:eastAsia="zh-CN"/>
        </w:rPr>
        <w:t>200</w:t>
      </w:r>
      <w:r>
        <w:rPr>
          <w:rStyle w:val="7"/>
          <w:rFonts w:hint="eastAsia" w:ascii="仿宋_GB2312" w:hAnsi="仿宋" w:eastAsia="仿宋_GB2312" w:cs="Times New Roman"/>
          <w:b w:val="0"/>
          <w:color w:val="000000"/>
          <w:sz w:val="32"/>
          <w:szCs w:val="32"/>
        </w:rPr>
        <w:t>万元；政府采购工程项目的公开招标数额标准按照国家有关规定执行。采购人采购货物或服务达到公开招标数额标准的，应当采用公开招标方式；</w:t>
      </w:r>
      <w:r>
        <w:rPr>
          <w:rStyle w:val="7"/>
          <w:rFonts w:hint="eastAsia" w:ascii="仿宋_GB2312" w:hAnsi="仿宋" w:eastAsia="仿宋_GB2312" w:cs="Times New Roman"/>
          <w:b w:val="0"/>
          <w:color w:val="000000"/>
          <w:sz w:val="32"/>
          <w:szCs w:val="32"/>
          <w:lang w:val="en-US" w:eastAsia="zh-CN"/>
        </w:rPr>
        <w:t>符合非公开招标采购方式情形，</w:t>
      </w:r>
      <w:r>
        <w:rPr>
          <w:rStyle w:val="7"/>
          <w:rFonts w:hint="eastAsia" w:ascii="仿宋_GB2312" w:hAnsi="仿宋" w:eastAsia="仿宋_GB2312" w:cs="Times New Roman"/>
          <w:b w:val="0"/>
          <w:color w:val="000000"/>
          <w:sz w:val="32"/>
          <w:szCs w:val="32"/>
        </w:rPr>
        <w:t>需采用公开招标以外的采购方式的，应当在采购活动开始前按照有关规定向财政部门申请审批。</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rPr>
      </w:pPr>
      <w:r>
        <w:rPr>
          <w:rStyle w:val="7"/>
          <w:rFonts w:hint="eastAsia" w:ascii="仿宋_GB2312" w:hAnsi="仿宋" w:eastAsia="仿宋_GB2312" w:cs="Times New Roman"/>
          <w:b w:val="0"/>
          <w:color w:val="000000"/>
          <w:sz w:val="32"/>
          <w:szCs w:val="32"/>
          <w:lang w:eastAsia="zh-CN"/>
        </w:rPr>
        <w:t>四</w:t>
      </w:r>
      <w:r>
        <w:rPr>
          <w:rStyle w:val="7"/>
          <w:rFonts w:hint="eastAsia" w:ascii="仿宋_GB2312" w:hAnsi="仿宋" w:eastAsia="仿宋_GB2312" w:cs="Times New Roman"/>
          <w:b w:val="0"/>
          <w:color w:val="000000"/>
          <w:sz w:val="32"/>
          <w:szCs w:val="32"/>
        </w:rPr>
        <w:t>、相关说明</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lang w:eastAsia="zh-CN"/>
        </w:rPr>
      </w:pPr>
      <w:r>
        <w:rPr>
          <w:rStyle w:val="7"/>
          <w:rFonts w:hint="eastAsia" w:ascii="仿宋_GB2312" w:hAnsi="仿宋" w:eastAsia="仿宋_GB2312" w:cs="Times New Roman"/>
          <w:b w:val="0"/>
          <w:color w:val="000000"/>
          <w:sz w:val="32"/>
          <w:szCs w:val="32"/>
        </w:rPr>
        <w:t>（一）</w:t>
      </w:r>
      <w:r>
        <w:rPr>
          <w:rStyle w:val="7"/>
          <w:rFonts w:hint="eastAsia" w:ascii="仿宋_GB2312" w:hAnsi="仿宋" w:eastAsia="仿宋_GB2312" w:cs="Times New Roman"/>
          <w:b w:val="0"/>
          <w:color w:val="000000"/>
          <w:sz w:val="32"/>
          <w:szCs w:val="32"/>
          <w:lang w:eastAsia="zh-CN"/>
        </w:rPr>
        <w:t>各级预算单位编制部门预算时，应根据本目录及标准编制政府采购项目预算，未纳入项目管理的零星采购按照支出经济分类科目进行核算和管理，追加、调整采购项目、品目以及细化品目分类，应按照预算管理的有关规定办理。</w:t>
      </w:r>
    </w:p>
    <w:p>
      <w:pPr>
        <w:pStyle w:val="4"/>
        <w:widowControl w:val="0"/>
        <w:spacing w:before="0" w:beforeLines="0" w:beforeAutospacing="0" w:after="0" w:afterLines="0" w:afterAutospacing="0" w:line="560" w:lineRule="exact"/>
        <w:ind w:firstLine="640" w:firstLineChars="200"/>
        <w:jc w:val="both"/>
        <w:rPr>
          <w:rStyle w:val="7"/>
          <w:rFonts w:hint="eastAsia" w:ascii="仿宋_GB2312" w:hAnsi="仿宋" w:eastAsia="仿宋_GB2312" w:cs="Times New Roman"/>
          <w:b w:val="0"/>
          <w:color w:val="000000"/>
          <w:sz w:val="32"/>
          <w:szCs w:val="32"/>
          <w:lang w:val="en-US" w:eastAsia="zh-CN"/>
        </w:rPr>
      </w:pPr>
      <w:r>
        <w:rPr>
          <w:rStyle w:val="7"/>
          <w:rFonts w:hint="eastAsia" w:ascii="仿宋_GB2312" w:hAnsi="仿宋" w:eastAsia="仿宋_GB2312" w:cs="Times New Roman"/>
          <w:b w:val="0"/>
          <w:color w:val="000000"/>
          <w:sz w:val="32"/>
          <w:szCs w:val="32"/>
          <w:lang w:val="en-US" w:eastAsia="zh-CN"/>
        </w:rPr>
        <w:t>（二）部门预算单位对于采购需求具有相对固定性、延续性且价格变化幅度小的政府购买服务项目，在年度预算资金能够保障的前提下，可以一次性签订不超过三年履行期限的政府采购合同。</w:t>
      </w:r>
    </w:p>
    <w:p>
      <w:pPr>
        <w:pStyle w:val="4"/>
        <w:widowControl w:val="0"/>
        <w:spacing w:before="0" w:beforeLines="0" w:beforeAutospacing="0" w:after="0" w:afterLines="0" w:afterAutospacing="0" w:line="560" w:lineRule="exact"/>
        <w:ind w:firstLine="640" w:firstLineChars="200"/>
        <w:jc w:val="both"/>
        <w:rPr>
          <w:rStyle w:val="7"/>
          <w:rFonts w:hint="default" w:ascii="仿宋_GB2312" w:hAnsi="仿宋" w:eastAsia="仿宋_GB2312" w:cs="Times New Roman"/>
          <w:b w:val="0"/>
          <w:color w:val="000000"/>
          <w:sz w:val="32"/>
          <w:szCs w:val="32"/>
          <w:lang w:val="en-US" w:eastAsia="zh-CN"/>
        </w:rPr>
      </w:pPr>
      <w:r>
        <w:rPr>
          <w:rStyle w:val="7"/>
          <w:rFonts w:hint="eastAsia" w:ascii="仿宋_GB2312" w:hAnsi="仿宋" w:eastAsia="仿宋_GB2312" w:cs="Times New Roman"/>
          <w:b w:val="0"/>
          <w:color w:val="000000"/>
          <w:sz w:val="32"/>
          <w:szCs w:val="32"/>
        </w:rPr>
        <w:t>（</w:t>
      </w:r>
      <w:r>
        <w:rPr>
          <w:rStyle w:val="7"/>
          <w:rFonts w:hint="eastAsia" w:ascii="仿宋_GB2312" w:hAnsi="仿宋" w:eastAsia="仿宋_GB2312" w:cs="Times New Roman"/>
          <w:b w:val="0"/>
          <w:color w:val="000000"/>
          <w:sz w:val="32"/>
          <w:szCs w:val="32"/>
          <w:lang w:eastAsia="zh-CN"/>
        </w:rPr>
        <w:t>三</w:t>
      </w:r>
      <w:r>
        <w:rPr>
          <w:rStyle w:val="7"/>
          <w:rFonts w:hint="eastAsia" w:ascii="仿宋_GB2312" w:hAnsi="仿宋" w:eastAsia="仿宋_GB2312" w:cs="Times New Roman"/>
          <w:b w:val="0"/>
          <w:color w:val="000000"/>
          <w:sz w:val="32"/>
          <w:szCs w:val="32"/>
        </w:rPr>
        <w:t>）</w:t>
      </w:r>
      <w:r>
        <w:rPr>
          <w:rStyle w:val="7"/>
          <w:rFonts w:hint="eastAsia" w:ascii="仿宋_GB2312" w:hAnsi="仿宋" w:eastAsia="仿宋_GB2312" w:cs="Times New Roman"/>
          <w:b w:val="0"/>
          <w:color w:val="000000"/>
          <w:sz w:val="32"/>
          <w:szCs w:val="32"/>
          <w:lang w:eastAsia="zh-CN"/>
        </w:rPr>
        <w:t>我市启用湖南省政府采购电子卖场后，各级预算</w:t>
      </w:r>
      <w:r>
        <w:rPr>
          <w:rStyle w:val="7"/>
          <w:rFonts w:hint="eastAsia" w:ascii="仿宋_GB2312" w:hAnsi="仿宋" w:eastAsia="仿宋_GB2312" w:cs="Times New Roman"/>
          <w:b w:val="0"/>
          <w:color w:val="000000"/>
          <w:sz w:val="32"/>
          <w:szCs w:val="32"/>
        </w:rPr>
        <w:t>单位</w:t>
      </w:r>
      <w:r>
        <w:rPr>
          <w:rStyle w:val="7"/>
          <w:rFonts w:hint="eastAsia" w:ascii="仿宋_GB2312" w:hAnsi="仿宋" w:eastAsia="仿宋_GB2312" w:cs="Times New Roman"/>
          <w:b w:val="0"/>
          <w:color w:val="000000"/>
          <w:sz w:val="32"/>
          <w:szCs w:val="32"/>
          <w:lang w:eastAsia="zh-CN"/>
        </w:rPr>
        <w:t>采购政府采购限额标准以下的货物、服务和工程应按照《湖南省政府采购电子卖场管理办法》</w:t>
      </w:r>
      <w:r>
        <w:rPr>
          <w:rStyle w:val="7"/>
          <w:rFonts w:hint="eastAsia" w:ascii="仿宋_GB2312" w:hAnsi="仿宋" w:eastAsia="仿宋_GB2312" w:cs="Times New Roman"/>
          <w:b w:val="0"/>
          <w:color w:val="000000"/>
          <w:sz w:val="32"/>
          <w:szCs w:val="32"/>
          <w:lang w:val="en-US" w:eastAsia="zh-CN"/>
        </w:rPr>
        <w:t>(</w:t>
      </w:r>
      <w:r>
        <w:rPr>
          <w:rStyle w:val="7"/>
          <w:rFonts w:hint="eastAsia" w:ascii="仿宋_GB2312" w:hAnsi="仿宋" w:eastAsia="仿宋_GB2312" w:cs="Times New Roman"/>
          <w:b w:val="0"/>
          <w:color w:val="000000"/>
          <w:sz w:val="32"/>
          <w:szCs w:val="32"/>
          <w:lang w:eastAsia="zh-CN"/>
        </w:rPr>
        <w:t>湘财购【</w:t>
      </w:r>
      <w:r>
        <w:rPr>
          <w:rStyle w:val="7"/>
          <w:rFonts w:hint="eastAsia" w:ascii="仿宋_GB2312" w:hAnsi="仿宋" w:eastAsia="仿宋_GB2312" w:cs="Times New Roman"/>
          <w:b w:val="0"/>
          <w:color w:val="000000"/>
          <w:sz w:val="32"/>
          <w:szCs w:val="32"/>
          <w:lang w:val="en-US" w:eastAsia="zh-CN"/>
        </w:rPr>
        <w:t>2019】27号）(网：http://www.ccgp-hunan.gov.cn/page/content/content.jsp?columnId=1000003589)的规定全部纳入电子卖场管理，协议供货、定点采购有关办法停止执行。车辆销售及服务（含保险、维修、加油定点）、会议服务、印刷服务、公务机票等特殊品目，在电子卖场中按照相关政策对供应商实行管理。</w:t>
      </w:r>
    </w:p>
    <w:p>
      <w:pPr>
        <w:pStyle w:val="4"/>
        <w:widowControl w:val="0"/>
        <w:spacing w:before="0" w:beforeLines="0" w:beforeAutospacing="0" w:after="0" w:afterLines="0" w:afterAutospacing="0" w:line="560" w:lineRule="exact"/>
        <w:ind w:firstLine="640" w:firstLineChars="200"/>
        <w:jc w:val="both"/>
        <w:rPr>
          <w:rStyle w:val="7"/>
          <w:rFonts w:hint="default" w:ascii="仿宋_GB2312" w:hAnsi="仿宋" w:eastAsia="仿宋_GB2312" w:cs="Times New Roman"/>
          <w:b w:val="0"/>
          <w:color w:val="000000"/>
          <w:sz w:val="32"/>
          <w:szCs w:val="32"/>
          <w:lang w:val="en-US" w:eastAsia="zh-CN"/>
        </w:rPr>
      </w:pPr>
      <w:r>
        <w:rPr>
          <w:rStyle w:val="7"/>
          <w:rFonts w:hint="eastAsia" w:ascii="仿宋_GB2312" w:hAnsi="仿宋" w:eastAsia="仿宋_GB2312" w:cs="Times New Roman"/>
          <w:b w:val="0"/>
          <w:color w:val="000000"/>
          <w:sz w:val="32"/>
          <w:szCs w:val="32"/>
          <w:lang w:eastAsia="zh-CN"/>
        </w:rPr>
        <w:t>（四</w:t>
      </w:r>
      <w:r>
        <w:rPr>
          <w:rStyle w:val="7"/>
          <w:rFonts w:hint="eastAsia" w:ascii="仿宋_GB2312" w:hAnsi="仿宋" w:eastAsia="仿宋_GB2312" w:cs="Times New Roman"/>
          <w:b w:val="0"/>
          <w:color w:val="000000"/>
          <w:sz w:val="32"/>
          <w:szCs w:val="32"/>
        </w:rPr>
        <w:t>）</w:t>
      </w:r>
      <w:r>
        <w:rPr>
          <w:rStyle w:val="7"/>
          <w:rFonts w:hint="eastAsia" w:ascii="仿宋_GB2312" w:hAnsi="仿宋" w:eastAsia="仿宋_GB2312" w:cs="Times New Roman"/>
          <w:b w:val="0"/>
          <w:color w:val="000000"/>
          <w:sz w:val="32"/>
          <w:szCs w:val="32"/>
          <w:u w:val="none"/>
        </w:rPr>
        <w:t>采购</w:t>
      </w:r>
      <w:r>
        <w:rPr>
          <w:rStyle w:val="7"/>
          <w:rFonts w:hint="eastAsia" w:ascii="仿宋_GB2312" w:hAnsi="仿宋" w:eastAsia="仿宋_GB2312" w:cs="Times New Roman"/>
          <w:b w:val="0"/>
          <w:color w:val="000000"/>
          <w:sz w:val="32"/>
          <w:szCs w:val="32"/>
          <w:u w:val="none"/>
          <w:lang w:eastAsia="zh-CN"/>
        </w:rPr>
        <w:t>人</w:t>
      </w:r>
      <w:r>
        <w:rPr>
          <w:rStyle w:val="7"/>
          <w:rFonts w:hint="eastAsia" w:ascii="仿宋_GB2312" w:hAnsi="仿宋" w:eastAsia="仿宋_GB2312" w:cs="Times New Roman"/>
          <w:b w:val="0"/>
          <w:color w:val="000000"/>
          <w:sz w:val="32"/>
          <w:szCs w:val="32"/>
          <w:u w:val="none"/>
        </w:rPr>
        <w:t>不得</w:t>
      </w:r>
      <w:r>
        <w:rPr>
          <w:rStyle w:val="7"/>
          <w:rFonts w:hint="eastAsia" w:ascii="仿宋_GB2312" w:hAnsi="仿宋" w:eastAsia="仿宋_GB2312" w:cs="Times New Roman"/>
          <w:b w:val="0"/>
          <w:color w:val="000000"/>
          <w:sz w:val="32"/>
          <w:szCs w:val="32"/>
          <w:u w:val="none"/>
          <w:lang w:eastAsia="zh-CN"/>
        </w:rPr>
        <w:t>利用电子卖场</w:t>
      </w:r>
      <w:r>
        <w:rPr>
          <w:rStyle w:val="7"/>
          <w:rFonts w:hint="eastAsia" w:ascii="仿宋_GB2312" w:hAnsi="仿宋" w:eastAsia="仿宋_GB2312" w:cs="Times New Roman"/>
          <w:b w:val="0"/>
          <w:color w:val="000000"/>
          <w:sz w:val="32"/>
          <w:szCs w:val="32"/>
          <w:u w:val="none"/>
        </w:rPr>
        <w:t>化整为零</w:t>
      </w:r>
      <w:r>
        <w:rPr>
          <w:rStyle w:val="7"/>
          <w:rFonts w:hint="eastAsia" w:ascii="仿宋_GB2312" w:hAnsi="仿宋" w:eastAsia="仿宋_GB2312" w:cs="Times New Roman"/>
          <w:b w:val="0"/>
          <w:color w:val="000000"/>
          <w:sz w:val="32"/>
          <w:szCs w:val="32"/>
          <w:u w:val="none"/>
          <w:lang w:eastAsia="zh-CN"/>
        </w:rPr>
        <w:t>规</w:t>
      </w:r>
      <w:r>
        <w:rPr>
          <w:rStyle w:val="7"/>
          <w:rFonts w:hint="eastAsia" w:ascii="仿宋_GB2312" w:hAnsi="仿宋" w:eastAsia="仿宋_GB2312" w:cs="Times New Roman"/>
          <w:b w:val="0"/>
          <w:color w:val="000000"/>
          <w:sz w:val="32"/>
          <w:szCs w:val="32"/>
          <w:u w:val="none"/>
        </w:rPr>
        <w:t>避政府</w:t>
      </w:r>
      <w:r>
        <w:rPr>
          <w:rStyle w:val="7"/>
          <w:rFonts w:hint="eastAsia" w:ascii="仿宋_GB2312" w:hAnsi="仿宋" w:eastAsia="仿宋_GB2312" w:cs="Times New Roman"/>
          <w:b w:val="0"/>
          <w:color w:val="000000"/>
          <w:sz w:val="32"/>
          <w:szCs w:val="32"/>
          <w:u w:val="none"/>
          <w:lang w:eastAsia="zh-CN"/>
        </w:rPr>
        <w:t>采购</w:t>
      </w:r>
      <w:r>
        <w:rPr>
          <w:rStyle w:val="7"/>
          <w:rFonts w:hint="eastAsia" w:ascii="仿宋_GB2312" w:hAnsi="仿宋" w:eastAsia="仿宋_GB2312" w:cs="Times New Roman"/>
          <w:b w:val="0"/>
          <w:color w:val="000000"/>
          <w:sz w:val="32"/>
          <w:szCs w:val="32"/>
          <w:u w:val="none"/>
        </w:rPr>
        <w:t>。</w:t>
      </w:r>
      <w:r>
        <w:rPr>
          <w:rStyle w:val="7"/>
          <w:rFonts w:hint="eastAsia" w:ascii="仿宋_GB2312" w:hAnsi="仿宋" w:eastAsia="仿宋_GB2312" w:cs="Times New Roman"/>
          <w:b w:val="0"/>
          <w:color w:val="000000"/>
          <w:sz w:val="32"/>
          <w:szCs w:val="32"/>
          <w:lang w:eastAsia="zh-CN"/>
        </w:rPr>
        <w:t>单次采购预算达到政府采购限额标准的项目，应按政府采购的法定方式和程序进行。单次采购预算在采购限额标准以上、采购人可以明确提出采购需求清单且技术、服务等标准统一的货物、服务项目或工程量清单经投资评审的工程项目，经同级财政部门同意，可在电子卖场竞价。</w:t>
      </w:r>
    </w:p>
    <w:p>
      <w:pPr>
        <w:pStyle w:val="4"/>
        <w:widowControl w:val="0"/>
        <w:spacing w:before="0" w:beforeLines="0" w:beforeAutospacing="0" w:after="0" w:afterLines="0" w:afterAutospacing="0" w:line="560" w:lineRule="exact"/>
        <w:ind w:firstLine="640" w:firstLineChars="200"/>
        <w:jc w:val="both"/>
        <w:rPr>
          <w:rFonts w:hint="eastAsia" w:ascii="黑体" w:hAnsi="黑体" w:eastAsia="仿宋" w:cs="黑体"/>
          <w:sz w:val="44"/>
          <w:szCs w:val="44"/>
          <w:u w:val="none"/>
          <w:lang w:val="en-US" w:eastAsia="zh-CN"/>
        </w:rPr>
      </w:pPr>
      <w:r>
        <w:rPr>
          <w:rStyle w:val="7"/>
          <w:rFonts w:hint="eastAsia" w:ascii="仿宋_GB2312" w:hAnsi="仿宋" w:eastAsia="仿宋_GB2312" w:cs="Times New Roman"/>
          <w:b w:val="0"/>
          <w:color w:val="000000"/>
          <w:sz w:val="32"/>
          <w:szCs w:val="32"/>
          <w:u w:val="none"/>
          <w:lang w:val="en-US" w:eastAsia="zh-CN"/>
        </w:rPr>
        <w:t>（五）</w:t>
      </w:r>
      <w:r>
        <w:rPr>
          <w:rStyle w:val="7"/>
          <w:rFonts w:hint="eastAsia" w:ascii="仿宋_GB2312" w:hAnsi="仿宋" w:eastAsia="仿宋_GB2312" w:cs="Times New Roman"/>
          <w:b w:val="0"/>
          <w:color w:val="000000"/>
          <w:sz w:val="32"/>
          <w:szCs w:val="32"/>
          <w:u w:val="none"/>
          <w:lang w:eastAsia="zh-CN"/>
        </w:rPr>
        <w:t>采购人应落实促进节能环保、支持两型产品、支持小微企业、监狱企业、残疾人福利性单位、贫困地区农副产品企业发展等政府采购政策功能，厉行节约，依照“谁采购，谁担责”切实履行预算执行主体责任和采购主体责任。</w:t>
      </w:r>
    </w:p>
    <w:p>
      <w:pPr>
        <w:keepNext w:val="0"/>
        <w:keepLines w:val="0"/>
        <w:pageBreakBefore w:val="0"/>
        <w:widowControl/>
        <w:tabs>
          <w:tab w:val="left" w:pos="1339"/>
          <w:tab w:val="left" w:pos="3599"/>
        </w:tabs>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 w:eastAsia="仿宋_GB2312"/>
          <w:b w:val="0"/>
          <w:color w:val="000000"/>
          <w:kern w:val="0"/>
          <w:sz w:val="32"/>
          <w:szCs w:val="32"/>
          <w:u w:val="none"/>
        </w:rPr>
      </w:pPr>
    </w:p>
    <w:p>
      <w:pPr>
        <w:widowControl/>
        <w:tabs>
          <w:tab w:val="left" w:pos="1339"/>
          <w:tab w:val="left" w:pos="3599"/>
        </w:tabs>
        <w:jc w:val="left"/>
        <w:rPr>
          <w:rStyle w:val="7"/>
          <w:rFonts w:hint="eastAsia" w:ascii="仿宋_GB2312" w:hAnsi="仿宋" w:eastAsia="仿宋_GB2312"/>
          <w:b w:val="0"/>
          <w:color w:val="000000"/>
          <w:kern w:val="0"/>
          <w:sz w:val="32"/>
          <w:szCs w:val="32"/>
        </w:rPr>
      </w:pPr>
    </w:p>
    <w:p>
      <w:pPr>
        <w:widowControl/>
        <w:tabs>
          <w:tab w:val="left" w:pos="1339"/>
          <w:tab w:val="left" w:pos="3599"/>
        </w:tabs>
        <w:jc w:val="left"/>
        <w:rPr>
          <w:rStyle w:val="7"/>
          <w:rFonts w:hint="eastAsia" w:ascii="仿宋_GB2312" w:hAnsi="仿宋" w:eastAsia="仿宋_GB2312"/>
          <w:b w:val="0"/>
          <w:color w:val="000000"/>
          <w:kern w:val="0"/>
          <w:sz w:val="32"/>
          <w:szCs w:val="32"/>
        </w:rPr>
      </w:pPr>
    </w:p>
    <w:p>
      <w:pPr>
        <w:widowControl/>
        <w:tabs>
          <w:tab w:val="left" w:pos="1339"/>
          <w:tab w:val="left" w:pos="3599"/>
        </w:tabs>
        <w:jc w:val="left"/>
        <w:rPr>
          <w:rStyle w:val="7"/>
          <w:rFonts w:hint="eastAsia" w:ascii="仿宋_GB2312" w:hAnsi="仿宋" w:eastAsia="仿宋_GB2312"/>
          <w:b w:val="0"/>
          <w:color w:val="000000"/>
          <w:kern w:val="0"/>
          <w:sz w:val="32"/>
          <w:szCs w:val="32"/>
        </w:rPr>
      </w:pPr>
    </w:p>
    <w:p>
      <w:pPr>
        <w:widowControl/>
        <w:tabs>
          <w:tab w:val="left" w:pos="1339"/>
          <w:tab w:val="left" w:pos="3599"/>
        </w:tabs>
        <w:jc w:val="left"/>
        <w:rPr>
          <w:rStyle w:val="7"/>
          <w:rFonts w:hint="eastAsia" w:ascii="仿宋_GB2312" w:hAnsi="仿宋" w:eastAsia="仿宋_GB2312"/>
          <w:b w:val="0"/>
          <w:color w:val="000000"/>
          <w:kern w:val="0"/>
          <w:sz w:val="32"/>
          <w:szCs w:val="32"/>
        </w:rPr>
      </w:pPr>
      <w:r>
        <w:rPr>
          <w:rStyle w:val="7"/>
          <w:rFonts w:hint="eastAsia" w:ascii="仿宋_GB2312" w:hAnsi="仿宋" w:eastAsia="仿宋_GB2312"/>
          <w:b w:val="0"/>
          <w:color w:val="000000"/>
          <w:kern w:val="0"/>
          <w:sz w:val="32"/>
          <w:szCs w:val="32"/>
        </w:rPr>
        <w:t xml:space="preserve">    附表：邵阳市20</w:t>
      </w:r>
      <w:r>
        <w:rPr>
          <w:rStyle w:val="7"/>
          <w:rFonts w:hint="eastAsia" w:ascii="仿宋_GB2312" w:hAnsi="仿宋" w:eastAsia="仿宋_GB2312"/>
          <w:b w:val="0"/>
          <w:color w:val="000000"/>
          <w:kern w:val="0"/>
          <w:sz w:val="32"/>
          <w:szCs w:val="32"/>
          <w:lang w:val="en-US" w:eastAsia="zh-CN"/>
        </w:rPr>
        <w:t>20－</w:t>
      </w:r>
      <w:r>
        <w:rPr>
          <w:rStyle w:val="7"/>
          <w:rFonts w:hint="eastAsia" w:ascii="仿宋_GB2312" w:hAnsi="仿宋" w:eastAsia="仿宋_GB2312"/>
          <w:b w:val="0"/>
          <w:color w:val="000000"/>
          <w:kern w:val="0"/>
          <w:sz w:val="32"/>
          <w:szCs w:val="32"/>
        </w:rPr>
        <w:t>20</w:t>
      </w:r>
      <w:r>
        <w:rPr>
          <w:rStyle w:val="7"/>
          <w:rFonts w:hint="eastAsia" w:ascii="仿宋_GB2312" w:hAnsi="仿宋" w:eastAsia="仿宋_GB2312"/>
          <w:b w:val="0"/>
          <w:color w:val="000000"/>
          <w:kern w:val="0"/>
          <w:sz w:val="32"/>
          <w:szCs w:val="32"/>
          <w:lang w:val="en-US" w:eastAsia="zh-CN"/>
        </w:rPr>
        <w:t>21</w:t>
      </w:r>
      <w:r>
        <w:rPr>
          <w:rStyle w:val="7"/>
          <w:rFonts w:hint="eastAsia" w:ascii="仿宋_GB2312" w:hAnsi="仿宋" w:eastAsia="仿宋_GB2312"/>
          <w:b w:val="0"/>
          <w:color w:val="000000"/>
          <w:kern w:val="0"/>
          <w:sz w:val="32"/>
          <w:szCs w:val="32"/>
        </w:rPr>
        <w:t>年</w:t>
      </w:r>
      <w:r>
        <w:rPr>
          <w:rStyle w:val="7"/>
          <w:rFonts w:hint="eastAsia" w:ascii="仿宋_GB2312" w:hAnsi="仿宋" w:eastAsia="仿宋_GB2312"/>
          <w:b w:val="0"/>
          <w:color w:val="000000"/>
          <w:kern w:val="0"/>
          <w:sz w:val="32"/>
          <w:szCs w:val="32"/>
          <w:lang w:eastAsia="zh-CN"/>
        </w:rPr>
        <w:t>度</w:t>
      </w:r>
      <w:r>
        <w:rPr>
          <w:rStyle w:val="7"/>
          <w:rFonts w:hint="eastAsia" w:ascii="仿宋_GB2312" w:hAnsi="仿宋" w:eastAsia="仿宋_GB2312"/>
          <w:b w:val="0"/>
          <w:color w:val="000000"/>
          <w:kern w:val="0"/>
          <w:sz w:val="32"/>
          <w:szCs w:val="32"/>
        </w:rPr>
        <w:t xml:space="preserve">政府集中采购目录 </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8"/>
        <w:szCs w:val="28"/>
      </w:rPr>
    </w:pPr>
    <w:r>
      <w:rPr>
        <w:rStyle w:val="8"/>
        <w:rFonts w:hint="eastAsia" w:cs="宋体"/>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cs="宋体"/>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F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line="360" w:lineRule="auto"/>
      <w:jc w:val="left"/>
    </w:pPr>
    <w:rPr>
      <w:rFonts w:ascii="宋体" w:hAnsi="宋体" w:cs="宋体"/>
      <w:color w:val="333333"/>
      <w:kern w:val="0"/>
      <w:sz w:val="18"/>
      <w:szCs w:val="18"/>
    </w:rPr>
  </w:style>
  <w:style w:type="character" w:styleId="7">
    <w:name w:val="Strong"/>
    <w:basedOn w:val="6"/>
    <w:qFormat/>
    <w:uiPriority w:val="0"/>
    <w:rPr>
      <w:b/>
      <w:bCs/>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2021-03-05T01:27:30Z</dcterms:created>
  <dc:creator>Administrator</dc:creator>
  <cp:lastModifiedBy>姜建瑛</cp:lastModifiedBy>
  <dcterms:modified xsi:type="dcterms:W3CDTF">2021-03-05T01:27:46Z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