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spacing w:before="0" w:beforeAutospacing="0" w:after="0" w:afterAutospacing="0" w:line="72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p>
    <w:p>
      <w:pPr>
        <w:pStyle w:val="13"/>
        <w:spacing w:before="0" w:beforeAutospacing="0" w:after="0" w:afterAutospacing="0" w:line="72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p>
    <w:p>
      <w:pPr>
        <w:pStyle w:val="13"/>
        <w:spacing w:before="0" w:beforeAutospacing="0" w:after="0" w:afterAutospacing="0" w:line="800" w:lineRule="exact"/>
        <w:jc w:val="center"/>
        <w:rPr>
          <w:rFonts w:ascii="Times New Roman" w:hAnsi="Times New Roman" w:eastAsia="方正小标宋简体" w:cs="Times New Roman"/>
          <w:color w:val="000000" w:themeColor="text1"/>
          <w:sz w:val="52"/>
          <w:szCs w:val="52"/>
          <w14:textFill>
            <w14:solidFill>
              <w14:schemeClr w14:val="tx1"/>
            </w14:solidFill>
          </w14:textFill>
        </w:rPr>
      </w:pPr>
      <w:r>
        <w:rPr>
          <w:rFonts w:ascii="Times New Roman" w:hAnsi="Times New Roman" w:eastAsia="方正小标宋简体" w:cs="Times New Roman"/>
          <w:color w:val="000000" w:themeColor="text1"/>
          <w:sz w:val="52"/>
          <w:szCs w:val="52"/>
          <w14:textFill>
            <w14:solidFill>
              <w14:schemeClr w14:val="tx1"/>
            </w14:solidFill>
          </w14:textFill>
        </w:rPr>
        <w:t>邵阳市国民经济和社会发展第十四个</w:t>
      </w:r>
    </w:p>
    <w:p>
      <w:pPr>
        <w:pStyle w:val="13"/>
        <w:spacing w:before="0" w:beforeAutospacing="0" w:after="0" w:afterAutospacing="0" w:line="800" w:lineRule="exact"/>
        <w:jc w:val="center"/>
        <w:rPr>
          <w:rFonts w:ascii="Times New Roman" w:hAnsi="Times New Roman" w:eastAsia="方正小标宋简体" w:cs="Times New Roman"/>
          <w:b/>
          <w:bCs/>
          <w:color w:val="000000" w:themeColor="text1"/>
          <w:kern w:val="36"/>
          <w:sz w:val="52"/>
          <w:szCs w:val="52"/>
          <w14:textFill>
            <w14:solidFill>
              <w14:schemeClr w14:val="tx1"/>
            </w14:solidFill>
          </w14:textFill>
        </w:rPr>
      </w:pPr>
      <w:r>
        <w:rPr>
          <w:rFonts w:ascii="Times New Roman" w:hAnsi="Times New Roman" w:eastAsia="方正小标宋简体" w:cs="Times New Roman"/>
          <w:color w:val="000000" w:themeColor="text1"/>
          <w:sz w:val="52"/>
          <w:szCs w:val="52"/>
          <w14:textFill>
            <w14:solidFill>
              <w14:schemeClr w14:val="tx1"/>
            </w14:solidFill>
          </w14:textFill>
        </w:rPr>
        <w:t>五年规划和二〇三五年远景目标纲要</w:t>
      </w:r>
      <w:r>
        <w:rPr>
          <w:rFonts w:hint="eastAsia" w:ascii="Times New Roman" w:hAnsi="Times New Roman" w:eastAsia="方正小标宋简体" w:cs="Times New Roman"/>
          <w:color w:val="000000" w:themeColor="text1"/>
          <w:sz w:val="52"/>
          <w:szCs w:val="52"/>
          <w14:textFill>
            <w14:solidFill>
              <w14:schemeClr w14:val="tx1"/>
            </w14:solidFill>
          </w14:textFill>
        </w:rPr>
        <w:t xml:space="preserve"> </w:t>
      </w:r>
    </w:p>
    <w:p>
      <w:pPr>
        <w:pStyle w:val="11"/>
        <w:tabs>
          <w:tab w:val="right" w:leader="dot" w:pos="8844"/>
        </w:tabs>
        <w:spacing w:before="0" w:after="193" w:afterLines="50" w:line="240" w:lineRule="auto"/>
        <w:jc w:val="center"/>
        <w:rPr>
          <w:rFonts w:ascii="Times New Roman" w:hAnsi="Times New Roman" w:eastAsia="仿宋_GB2312" w:cs="Times New Roman"/>
          <w:color w:val="000000" w:themeColor="text1"/>
          <w:szCs w:val="28"/>
          <w14:textFill>
            <w14:solidFill>
              <w14:schemeClr w14:val="tx1"/>
            </w14:solidFill>
          </w14:textFill>
        </w:rPr>
      </w:pPr>
    </w:p>
    <w:p>
      <w:pPr>
        <w:widowControl w:val="0"/>
        <w:adjustRightInd/>
        <w:snapToGrid/>
        <w:spacing w:before="0" w:after="0" w:line="560" w:lineRule="exact"/>
        <w:jc w:val="center"/>
        <w:rPr>
          <w:rFonts w:ascii="楷体_GB2312" w:eastAsia="楷体_GB2312"/>
          <w:b/>
          <w:sz w:val="32"/>
          <w:szCs w:val="32"/>
        </w:rPr>
      </w:pPr>
      <w:r>
        <w:rPr>
          <w:rFonts w:hint="eastAsia" w:ascii="楷体_GB2312" w:eastAsia="楷体_GB2312"/>
          <w:b/>
          <w:sz w:val="32"/>
          <w:szCs w:val="32"/>
        </w:rPr>
        <w:t>（</w:t>
      </w:r>
      <w:r>
        <w:rPr>
          <w:rFonts w:ascii="Times New Roman" w:hAnsi="Times New Roman" w:eastAsia="楷体_GB2312" w:cs="Times New Roman"/>
          <w:b/>
          <w:sz w:val="32"/>
          <w:szCs w:val="32"/>
        </w:rPr>
        <w:t>2021</w:t>
      </w:r>
      <w:r>
        <w:rPr>
          <w:rFonts w:hint="eastAsia" w:ascii="楷体_GB2312" w:eastAsia="楷体_GB2312"/>
          <w:b/>
          <w:sz w:val="32"/>
          <w:szCs w:val="32"/>
        </w:rPr>
        <w:t>年</w:t>
      </w:r>
      <w:r>
        <w:rPr>
          <w:rFonts w:hint="eastAsia" w:ascii="Times New Roman" w:hAnsi="Times New Roman" w:eastAsia="楷体_GB2312" w:cs="Times New Roman"/>
          <w:b/>
          <w:sz w:val="32"/>
          <w:szCs w:val="32"/>
        </w:rPr>
        <w:t>1</w:t>
      </w:r>
      <w:r>
        <w:rPr>
          <w:rFonts w:hint="eastAsia" w:ascii="楷体_GB2312" w:eastAsia="楷体_GB2312"/>
          <w:b/>
          <w:sz w:val="32"/>
          <w:szCs w:val="32"/>
        </w:rPr>
        <w:t>月</w:t>
      </w:r>
      <w:r>
        <w:rPr>
          <w:rFonts w:hint="eastAsia" w:ascii="Times New Roman" w:hAnsi="Times New Roman" w:eastAsia="楷体_GB2312" w:cs="Times New Roman"/>
          <w:b/>
          <w:sz w:val="32"/>
          <w:szCs w:val="32"/>
        </w:rPr>
        <w:t>8</w:t>
      </w:r>
      <w:r>
        <w:rPr>
          <w:rFonts w:hint="eastAsia" w:ascii="楷体_GB2312" w:eastAsia="楷体_GB2312"/>
          <w:b/>
          <w:sz w:val="32"/>
          <w:szCs w:val="32"/>
        </w:rPr>
        <w:t>日邵阳市第十六届人民代表大会</w:t>
      </w:r>
    </w:p>
    <w:p>
      <w:pPr>
        <w:widowControl w:val="0"/>
        <w:tabs>
          <w:tab w:val="center" w:pos="4483"/>
          <w:tab w:val="left" w:pos="6887"/>
        </w:tabs>
        <w:adjustRightInd/>
        <w:snapToGrid/>
        <w:spacing w:before="0" w:after="0" w:line="560" w:lineRule="exact"/>
        <w:rPr>
          <w:rFonts w:ascii="Times New Roman" w:hAnsi="Times New Roman" w:eastAsia="楷体_GB2312" w:cs="Times New Roman"/>
          <w:color w:val="000000" w:themeColor="text1"/>
          <w:sz w:val="44"/>
          <w:szCs w:val="44"/>
          <w14:textFill>
            <w14:solidFill>
              <w14:schemeClr w14:val="tx1"/>
            </w14:solidFill>
          </w14:textFill>
        </w:rPr>
      </w:pPr>
      <w:r>
        <w:rPr>
          <w:rFonts w:hint="eastAsia" w:ascii="楷体_GB2312" w:eastAsia="楷体_GB2312"/>
          <w:b/>
          <w:sz w:val="32"/>
          <w:szCs w:val="32"/>
        </w:rPr>
        <w:tab/>
      </w:r>
      <w:r>
        <w:rPr>
          <w:rFonts w:hint="eastAsia" w:ascii="楷体_GB2312" w:eastAsia="楷体_GB2312"/>
          <w:b/>
          <w:sz w:val="32"/>
          <w:szCs w:val="32"/>
        </w:rPr>
        <w:t>第七次会议批准）</w:t>
      </w:r>
      <w:r>
        <w:rPr>
          <w:rFonts w:hint="eastAsia" w:ascii="楷体_GB2312" w:eastAsia="楷体_GB2312"/>
          <w:b/>
          <w:sz w:val="32"/>
          <w:szCs w:val="32"/>
        </w:rPr>
        <w:tab/>
      </w:r>
    </w:p>
    <w:p>
      <w:pPr>
        <w:pStyle w:val="11"/>
        <w:tabs>
          <w:tab w:val="right" w:leader="dot" w:pos="8844"/>
        </w:tabs>
        <w:spacing w:before="0" w:after="193" w:afterLines="50" w:line="240" w:lineRule="auto"/>
        <w:jc w:val="center"/>
        <w:rPr>
          <w:rFonts w:ascii="Times New Roman" w:hAnsi="Times New Roman" w:eastAsia="仿宋_GB2312" w:cs="Times New Roman"/>
          <w:color w:val="000000" w:themeColor="text1"/>
          <w:szCs w:val="28"/>
          <w14:textFill>
            <w14:solidFill>
              <w14:schemeClr w14:val="tx1"/>
            </w14:solidFill>
          </w14:textFill>
        </w:rPr>
      </w:pPr>
    </w:p>
    <w:p>
      <w:pPr>
        <w:pStyle w:val="11"/>
        <w:tabs>
          <w:tab w:val="right" w:leader="dot" w:pos="8844"/>
        </w:tabs>
        <w:spacing w:before="0" w:after="193" w:afterLines="50" w:line="240" w:lineRule="auto"/>
        <w:jc w:val="center"/>
        <w:rPr>
          <w:rFonts w:ascii="Times New Roman" w:hAnsi="Times New Roman" w:eastAsia="仿宋_GB2312" w:cs="Times New Roman"/>
          <w:color w:val="000000" w:themeColor="text1"/>
          <w:szCs w:val="28"/>
          <w14:textFill>
            <w14:solidFill>
              <w14:schemeClr w14:val="tx1"/>
            </w14:solidFill>
          </w14:textFill>
        </w:rPr>
      </w:pPr>
    </w:p>
    <w:p>
      <w:pPr>
        <w:pStyle w:val="11"/>
        <w:tabs>
          <w:tab w:val="right" w:leader="dot" w:pos="8844"/>
        </w:tabs>
        <w:spacing w:before="0" w:after="193" w:afterLines="50" w:line="240" w:lineRule="auto"/>
        <w:jc w:val="center"/>
        <w:rPr>
          <w:rFonts w:ascii="Times New Roman" w:hAnsi="Times New Roman" w:eastAsia="仿宋_GB2312" w:cs="Times New Roman"/>
          <w:color w:val="000000" w:themeColor="text1"/>
          <w:szCs w:val="28"/>
          <w14:textFill>
            <w14:solidFill>
              <w14:schemeClr w14:val="tx1"/>
            </w14:solidFill>
          </w14:textFill>
        </w:rPr>
      </w:pPr>
    </w:p>
    <w:p>
      <w:pPr>
        <w:pStyle w:val="11"/>
        <w:tabs>
          <w:tab w:val="right" w:leader="dot" w:pos="8844"/>
        </w:tabs>
        <w:spacing w:before="0" w:after="193" w:afterLines="50" w:line="240" w:lineRule="auto"/>
        <w:jc w:val="center"/>
        <w:rPr>
          <w:rFonts w:ascii="Times New Roman" w:hAnsi="Times New Roman" w:eastAsia="仿宋_GB2312" w:cs="Times New Roman"/>
          <w:color w:val="000000" w:themeColor="text1"/>
          <w:szCs w:val="28"/>
          <w14:textFill>
            <w14:solidFill>
              <w14:schemeClr w14:val="tx1"/>
            </w14:solidFill>
          </w14:textFill>
        </w:rPr>
      </w:pPr>
    </w:p>
    <w:p>
      <w:pPr>
        <w:pStyle w:val="11"/>
        <w:tabs>
          <w:tab w:val="right" w:leader="dot" w:pos="8844"/>
        </w:tabs>
        <w:spacing w:before="0" w:after="193" w:afterLines="50" w:line="240" w:lineRule="auto"/>
        <w:jc w:val="center"/>
        <w:rPr>
          <w:rFonts w:ascii="Times New Roman" w:hAnsi="Times New Roman" w:eastAsia="仿宋_GB2312" w:cs="Times New Roman"/>
          <w:color w:val="000000" w:themeColor="text1"/>
          <w:szCs w:val="28"/>
          <w14:textFill>
            <w14:solidFill>
              <w14:schemeClr w14:val="tx1"/>
            </w14:solidFill>
          </w14:textFill>
        </w:rPr>
      </w:pPr>
    </w:p>
    <w:p>
      <w:pPr>
        <w:pStyle w:val="11"/>
        <w:tabs>
          <w:tab w:val="right" w:leader="dot" w:pos="8844"/>
        </w:tabs>
        <w:spacing w:before="0" w:after="193" w:afterLines="50" w:line="240" w:lineRule="auto"/>
        <w:jc w:val="center"/>
        <w:rPr>
          <w:rFonts w:ascii="Times New Roman" w:hAnsi="Times New Roman" w:eastAsia="仿宋_GB2312" w:cs="Times New Roman"/>
          <w:color w:val="000000" w:themeColor="text1"/>
          <w:szCs w:val="28"/>
          <w14:textFill>
            <w14:solidFill>
              <w14:schemeClr w14:val="tx1"/>
            </w14:solidFill>
          </w14:textFill>
        </w:rPr>
      </w:pPr>
    </w:p>
    <w:p>
      <w:pPr>
        <w:rPr>
          <w:rFonts w:ascii="Times New Roman" w:hAnsi="Times New Roman" w:eastAsia="仿宋_GB2312" w:cs="Times New Roman"/>
          <w:color w:val="000000" w:themeColor="text1"/>
          <w:szCs w:val="28"/>
          <w14:textFill>
            <w14:solidFill>
              <w14:schemeClr w14:val="tx1"/>
            </w14:solidFill>
          </w14:textFill>
        </w:rPr>
      </w:pPr>
    </w:p>
    <w:p>
      <w:pPr>
        <w:rPr>
          <w:rFonts w:ascii="Times New Roman" w:hAnsi="Times New Roman" w:eastAsia="仿宋_GB2312" w:cs="Times New Roman"/>
          <w:color w:val="000000" w:themeColor="text1"/>
          <w:szCs w:val="28"/>
          <w14:textFill>
            <w14:solidFill>
              <w14:schemeClr w14:val="tx1"/>
            </w14:solidFill>
          </w14:textFill>
        </w:rPr>
      </w:pPr>
    </w:p>
    <w:p>
      <w:pPr>
        <w:rPr>
          <w:rFonts w:ascii="Times New Roman" w:hAnsi="Times New Roman" w:eastAsia="仿宋_GB2312" w:cs="Times New Roman"/>
          <w:color w:val="000000" w:themeColor="text1"/>
          <w:szCs w:val="28"/>
          <w14:textFill>
            <w14:solidFill>
              <w14:schemeClr w14:val="tx1"/>
            </w14:solidFill>
          </w14:textFill>
        </w:rPr>
      </w:pPr>
    </w:p>
    <w:p>
      <w:pPr>
        <w:rPr>
          <w:rFonts w:ascii="Times New Roman" w:hAnsi="Times New Roman" w:eastAsia="仿宋_GB2312" w:cs="Times New Roman"/>
          <w:color w:val="000000" w:themeColor="text1"/>
          <w:szCs w:val="28"/>
          <w14:textFill>
            <w14:solidFill>
              <w14:schemeClr w14:val="tx1"/>
            </w14:solidFill>
          </w14:textFill>
        </w:rPr>
      </w:pPr>
    </w:p>
    <w:p>
      <w:pPr>
        <w:rPr>
          <w:rFonts w:ascii="Times New Roman" w:hAnsi="Times New Roman" w:eastAsia="仿宋_GB2312" w:cs="Times New Roman"/>
          <w:color w:val="000000" w:themeColor="text1"/>
          <w:szCs w:val="28"/>
          <w14:textFill>
            <w14:solidFill>
              <w14:schemeClr w14:val="tx1"/>
            </w14:solidFill>
          </w14:textFill>
        </w:rPr>
      </w:pPr>
    </w:p>
    <w:p>
      <w:pPr>
        <w:spacing w:before="0" w:after="0" w:line="560" w:lineRule="exact"/>
        <w:jc w:val="center"/>
        <w:rPr>
          <w:rFonts w:ascii="Times New Roman" w:hAnsi="Times New Roman" w:eastAsia="仿宋_GB2312" w:cs="Times New Roman"/>
          <w:color w:val="000000" w:themeColor="text1"/>
          <w:sz w:val="36"/>
          <w:szCs w:val="36"/>
          <w14:textFill>
            <w14:solidFill>
              <w14:schemeClr w14:val="tx1"/>
            </w14:solidFill>
          </w14:textFill>
        </w:rPr>
      </w:pPr>
      <w:r>
        <w:rPr>
          <w:rFonts w:hint="eastAsia" w:ascii="Times New Roman" w:hAnsi="Times New Roman" w:eastAsia="仿宋_GB2312" w:cs="Times New Roman"/>
          <w:color w:val="000000" w:themeColor="text1"/>
          <w:sz w:val="36"/>
          <w:szCs w:val="36"/>
          <w14:textFill>
            <w14:solidFill>
              <w14:schemeClr w14:val="tx1"/>
            </w14:solidFill>
          </w14:textFill>
        </w:rPr>
        <w:t>2021</w:t>
      </w:r>
      <w:r>
        <w:rPr>
          <w:rFonts w:hint="eastAsia" w:ascii="楷体" w:hAnsi="楷体" w:eastAsia="楷体" w:cs="楷体"/>
          <w:color w:val="000000" w:themeColor="text1"/>
          <w:sz w:val="36"/>
          <w:szCs w:val="36"/>
          <w14:textFill>
            <w14:solidFill>
              <w14:schemeClr w14:val="tx1"/>
            </w14:solidFill>
          </w14:textFill>
        </w:rPr>
        <w:t>年</w:t>
      </w:r>
      <w:r>
        <w:rPr>
          <w:rFonts w:hint="eastAsia" w:ascii="Times New Roman" w:hAnsi="Times New Roman" w:eastAsia="仿宋_GB2312" w:cs="Times New Roman"/>
          <w:color w:val="000000" w:themeColor="text1"/>
          <w:sz w:val="36"/>
          <w:szCs w:val="36"/>
          <w14:textFill>
            <w14:solidFill>
              <w14:schemeClr w14:val="tx1"/>
            </w14:solidFill>
          </w14:textFill>
        </w:rPr>
        <w:t>7</w:t>
      </w:r>
      <w:r>
        <w:rPr>
          <w:rFonts w:hint="eastAsia" w:ascii="楷体" w:hAnsi="楷体" w:eastAsia="楷体" w:cs="楷体"/>
          <w:color w:val="000000" w:themeColor="text1"/>
          <w:sz w:val="36"/>
          <w:szCs w:val="36"/>
          <w14:textFill>
            <w14:solidFill>
              <w14:schemeClr w14:val="tx1"/>
            </w14:solidFill>
          </w14:textFill>
        </w:rPr>
        <w:t>月</w:t>
      </w:r>
    </w:p>
    <w:p>
      <w:pPr>
        <w:rPr>
          <w:rFonts w:ascii="Times New Roman" w:hAnsi="Times New Roman" w:eastAsia="仿宋_GB2312" w:cs="Times New Roman"/>
          <w:color w:val="000000" w:themeColor="text1"/>
          <w:szCs w:val="28"/>
          <w14:textFill>
            <w14:solidFill>
              <w14:schemeClr w14:val="tx1"/>
            </w14:solidFill>
          </w14:textFill>
        </w:rPr>
      </w:pPr>
    </w:p>
    <w:p>
      <w:pPr>
        <w:rPr>
          <w:rFonts w:ascii="Times New Roman" w:hAnsi="Times New Roman" w:eastAsia="仿宋_GB2312" w:cs="Times New Roman"/>
          <w:color w:val="000000" w:themeColor="text1"/>
          <w:szCs w:val="28"/>
          <w14:textFill>
            <w14:solidFill>
              <w14:schemeClr w14:val="tx1"/>
            </w14:solidFill>
          </w14:textFill>
        </w:rPr>
      </w:pPr>
    </w:p>
    <w:sdt>
      <w:sdtPr>
        <w:rPr>
          <w:rFonts w:ascii="Times New Roman" w:hAnsi="Times New Roman" w:eastAsia="仿宋_GB2312" w:cs="Times New Roman"/>
          <w:color w:val="000000" w:themeColor="text1"/>
          <w:szCs w:val="28"/>
          <w14:textFill>
            <w14:solidFill>
              <w14:schemeClr w14:val="tx1"/>
            </w14:solidFill>
          </w14:textFill>
        </w:rPr>
        <w:id w:val="147466985"/>
        <w:docPartObj>
          <w:docPartGallery w:val="Table of Contents"/>
          <w:docPartUnique/>
        </w:docPartObj>
      </w:sdtPr>
      <w:sdtEndPr>
        <w:rPr>
          <w:rFonts w:ascii="Times New Roman" w:hAnsi="Times New Roman" w:eastAsia="仿宋_GB2312" w:cs="Times New Roman"/>
          <w:color w:val="000000" w:themeColor="text1"/>
          <w:szCs w:val="28"/>
          <w14:textFill>
            <w14:solidFill>
              <w14:schemeClr w14:val="tx1"/>
            </w14:solidFill>
          </w14:textFill>
        </w:rPr>
      </w:sdtEndPr>
      <w:sdtContent>
        <w:p>
          <w:pPr>
            <w:pStyle w:val="11"/>
            <w:tabs>
              <w:tab w:val="right" w:leader="dot" w:pos="8844"/>
            </w:tabs>
            <w:spacing w:before="0" w:after="193" w:afterLines="50" w:line="240" w:lineRule="auto"/>
            <w:jc w:val="center"/>
            <w:rPr>
              <w:rFonts w:ascii="Times New Roman" w:hAnsi="Times New Roman" w:eastAsia="方正小标宋简体" w:cs="Times New Roman"/>
              <w:b/>
              <w:bCs/>
              <w:color w:val="000000" w:themeColor="text1"/>
              <w:sz w:val="44"/>
              <w:szCs w:val="44"/>
              <w14:textFill>
                <w14:solidFill>
                  <w14:schemeClr w14:val="tx1"/>
                </w14:solidFill>
              </w14:textFill>
            </w:rPr>
          </w:pPr>
          <w:r>
            <w:rPr>
              <w:rFonts w:ascii="Times New Roman" w:hAnsi="Times New Roman" w:eastAsia="方正小标宋简体" w:cs="Times New Roman"/>
              <w:b/>
              <w:bCs/>
              <w:color w:val="000000" w:themeColor="text1"/>
              <w:sz w:val="44"/>
              <w:szCs w:val="44"/>
              <w14:textFill>
                <w14:solidFill>
                  <w14:schemeClr w14:val="tx1"/>
                </w14:solidFill>
              </w14:textFill>
            </w:rPr>
            <w:t>目   录</w:t>
          </w:r>
        </w:p>
        <w:p>
          <w:pPr>
            <w:pStyle w:val="11"/>
            <w:tabs>
              <w:tab w:val="right" w:leader="dot" w:pos="8844"/>
            </w:tabs>
            <w:spacing w:line="240" w:lineRule="auto"/>
            <w:rPr>
              <w:rFonts w:ascii="微软雅黑" w:hAnsi="微软雅黑" w:eastAsia="微软雅黑" w:cs="微软雅黑"/>
              <w:b/>
              <w:bCs/>
            </w:rPr>
          </w:pPr>
          <w:r>
            <w:rPr>
              <w:rFonts w:ascii="Times New Roman" w:hAnsi="Times New Roman" w:cs="Times New Roman"/>
              <w:color w:val="000000" w:themeColor="text1"/>
              <w:szCs w:val="28"/>
              <w14:textFill>
                <w14:solidFill>
                  <w14:schemeClr w14:val="tx1"/>
                </w14:solidFill>
              </w14:textFill>
            </w:rPr>
            <w:fldChar w:fldCharType="begin"/>
          </w:r>
          <w:r>
            <w:rPr>
              <w:rFonts w:ascii="Times New Roman" w:hAnsi="Times New Roman" w:cs="Times New Roman"/>
              <w:color w:val="000000" w:themeColor="text1"/>
              <w:szCs w:val="28"/>
              <w14:textFill>
                <w14:solidFill>
                  <w14:schemeClr w14:val="tx1"/>
                </w14:solidFill>
              </w14:textFill>
            </w:rPr>
            <w:instrText xml:space="preserve">TOC \o "1-2" \h \u </w:instrText>
          </w:r>
          <w:r>
            <w:rPr>
              <w:rFonts w:ascii="Times New Roman" w:hAnsi="Times New Roman" w:cs="Times New Roman"/>
              <w:color w:val="000000" w:themeColor="text1"/>
              <w:szCs w:val="28"/>
              <w14:textFill>
                <w14:solidFill>
                  <w14:schemeClr w14:val="tx1"/>
                </w14:solidFill>
              </w14:textFill>
            </w:rPr>
            <w:fldChar w:fldCharType="separate"/>
          </w:r>
          <w:r>
            <w:fldChar w:fldCharType="begin"/>
          </w:r>
          <w:r>
            <w:instrText xml:space="preserve"> HYPERLINK \l "_Toc22324" </w:instrText>
          </w:r>
          <w:r>
            <w:fldChar w:fldCharType="separate"/>
          </w:r>
          <w:r>
            <w:rPr>
              <w:rFonts w:hint="eastAsia" w:ascii="微软雅黑" w:hAnsi="微软雅黑" w:eastAsia="微软雅黑" w:cs="微软雅黑"/>
              <w:b/>
              <w:bCs/>
            </w:rPr>
            <w:t>第一章 全面建成小康社会 开启现代化建设新征程</w:t>
          </w:r>
          <w:r>
            <w:rPr>
              <w:rFonts w:hint="eastAsia" w:ascii="微软雅黑" w:hAnsi="微软雅黑" w:eastAsia="微软雅黑" w:cs="微软雅黑"/>
              <w:b/>
              <w:bCs/>
            </w:rPr>
            <w:tab/>
          </w: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PAGEREF _Toc22324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1</w:t>
          </w:r>
          <w:r>
            <w:rPr>
              <w:rFonts w:hint="eastAsia" w:ascii="微软雅黑" w:hAnsi="微软雅黑" w:eastAsia="微软雅黑" w:cs="微软雅黑"/>
              <w:b/>
              <w:bCs/>
            </w:rPr>
            <w:fldChar w:fldCharType="end"/>
          </w:r>
          <w:r>
            <w:rPr>
              <w:rFonts w:hint="eastAsia" w:ascii="微软雅黑" w:hAnsi="微软雅黑" w:eastAsia="微软雅黑" w:cs="微软雅黑"/>
              <w:b/>
              <w:bCs/>
            </w:rPr>
            <w:fldChar w:fldCharType="end"/>
          </w:r>
        </w:p>
        <w:p>
          <w:pPr>
            <w:pStyle w:val="12"/>
            <w:tabs>
              <w:tab w:val="right" w:leader="dot" w:pos="8844"/>
            </w:tabs>
            <w:spacing w:line="240" w:lineRule="auto"/>
            <w:ind w:left="560"/>
          </w:pPr>
          <w:r>
            <w:fldChar w:fldCharType="begin"/>
          </w:r>
          <w:r>
            <w:instrText xml:space="preserve"> HYPERLINK \l "_Toc5651" </w:instrText>
          </w:r>
          <w:r>
            <w:fldChar w:fldCharType="separate"/>
          </w:r>
          <w:r>
            <w:rPr>
              <w:rFonts w:ascii="Times New Roman" w:hAnsi="Times New Roman" w:cs="Times New Roman"/>
              <w:szCs w:val="32"/>
            </w:rPr>
            <w:t>第一节</w:t>
          </w:r>
          <w:r>
            <w:rPr>
              <w:rFonts w:hint="eastAsia" w:ascii="仿宋" w:hAnsi="仿宋" w:cs="Times New Roman"/>
              <w:szCs w:val="32"/>
            </w:rPr>
            <w:t>“</w:t>
          </w:r>
          <w:r>
            <w:rPr>
              <w:rFonts w:ascii="Times New Roman" w:hAnsi="Times New Roman" w:cs="Times New Roman"/>
              <w:szCs w:val="32"/>
            </w:rPr>
            <w:t>十三五</w:t>
          </w:r>
          <w:r>
            <w:rPr>
              <w:rFonts w:hint="eastAsia" w:ascii="仿宋" w:hAnsi="仿宋" w:cs="Times New Roman"/>
              <w:szCs w:val="32"/>
            </w:rPr>
            <w:t>”</w:t>
          </w:r>
          <w:r>
            <w:rPr>
              <w:rFonts w:ascii="Times New Roman" w:hAnsi="Times New Roman" w:cs="Times New Roman"/>
              <w:szCs w:val="32"/>
            </w:rPr>
            <w:t>时期奠定的坚实基础</w:t>
          </w:r>
          <w:r>
            <w:tab/>
          </w:r>
          <w:r>
            <w:fldChar w:fldCharType="begin"/>
          </w:r>
          <w:r>
            <w:instrText xml:space="preserve"> PAGEREF _Toc5651 </w:instrText>
          </w:r>
          <w:r>
            <w:fldChar w:fldCharType="separate"/>
          </w:r>
          <w:r>
            <w:t>1</w:t>
          </w:r>
          <w:r>
            <w:fldChar w:fldCharType="end"/>
          </w:r>
          <w:r>
            <w:fldChar w:fldCharType="end"/>
          </w:r>
        </w:p>
        <w:p>
          <w:pPr>
            <w:pStyle w:val="12"/>
            <w:tabs>
              <w:tab w:val="right" w:leader="dot" w:pos="8844"/>
            </w:tabs>
            <w:spacing w:line="240" w:lineRule="auto"/>
            <w:ind w:left="560"/>
            <w:rPr>
              <w:rFonts w:ascii="Times New Roman" w:hAnsi="Times New Roman" w:eastAsia="仿宋_GB2312" w:cs="Times New Roman"/>
              <w:color w:val="000000" w:themeColor="text1"/>
              <w:szCs w:val="28"/>
              <w14:textFill>
                <w14:solidFill>
                  <w14:schemeClr w14:val="tx1"/>
                </w14:solidFill>
              </w14:textFill>
            </w:rPr>
          </w:pPr>
          <w:r>
            <w:fldChar w:fldCharType="begin"/>
          </w:r>
          <w:r>
            <w:instrText xml:space="preserve"> HYPERLINK \l "_Toc22125" </w:instrText>
          </w:r>
          <w:r>
            <w:fldChar w:fldCharType="separate"/>
          </w:r>
          <w:r>
            <w:rPr>
              <w:rFonts w:ascii="Times New Roman" w:hAnsi="Times New Roman" w:eastAsia="仿宋_GB2312" w:cs="Times New Roman"/>
              <w:color w:val="000000" w:themeColor="text1"/>
              <w:szCs w:val="28"/>
              <w14:textFill>
                <w14:solidFill>
                  <w14:schemeClr w14:val="tx1"/>
                </w14:solidFill>
              </w14:textFill>
            </w:rPr>
            <w:t>第二节“十四五”时期面临机遇与挑战</w:t>
          </w:r>
          <w:r>
            <w:rPr>
              <w:rFonts w:ascii="Times New Roman" w:hAnsi="Times New Roman" w:eastAsia="仿宋_GB2312" w:cs="Times New Roman"/>
              <w:color w:val="000000" w:themeColor="text1"/>
              <w:szCs w:val="28"/>
              <w14:textFill>
                <w14:solidFill>
                  <w14:schemeClr w14:val="tx1"/>
                </w14:solidFill>
              </w14:textFill>
            </w:rPr>
            <w:tab/>
          </w:r>
          <w:r>
            <w:rPr>
              <w:rFonts w:ascii="Times New Roman" w:hAnsi="Times New Roman" w:eastAsia="仿宋_GB2312" w:cs="Times New Roman"/>
              <w:color w:val="000000" w:themeColor="text1"/>
              <w:szCs w:val="28"/>
              <w14:textFill>
                <w14:solidFill>
                  <w14:schemeClr w14:val="tx1"/>
                </w14:solidFill>
              </w14:textFill>
            </w:rPr>
            <w:fldChar w:fldCharType="begin"/>
          </w:r>
          <w:r>
            <w:rPr>
              <w:rFonts w:ascii="Times New Roman" w:hAnsi="Times New Roman" w:eastAsia="仿宋_GB2312" w:cs="Times New Roman"/>
              <w:color w:val="000000" w:themeColor="text1"/>
              <w:szCs w:val="28"/>
              <w14:textFill>
                <w14:solidFill>
                  <w14:schemeClr w14:val="tx1"/>
                </w14:solidFill>
              </w14:textFill>
            </w:rPr>
            <w:instrText xml:space="preserve"> PAGEREF _Toc22125 </w:instrText>
          </w:r>
          <w:r>
            <w:rPr>
              <w:rFonts w:ascii="Times New Roman" w:hAnsi="Times New Roman" w:eastAsia="仿宋_GB2312" w:cs="Times New Roman"/>
              <w:color w:val="000000" w:themeColor="text1"/>
              <w:szCs w:val="28"/>
              <w14:textFill>
                <w14:solidFill>
                  <w14:schemeClr w14:val="tx1"/>
                </w14:solidFill>
              </w14:textFill>
            </w:rPr>
            <w:fldChar w:fldCharType="separate"/>
          </w:r>
          <w:r>
            <w:rPr>
              <w:rFonts w:ascii="Times New Roman" w:hAnsi="Times New Roman" w:eastAsia="仿宋_GB2312" w:cs="Times New Roman"/>
              <w:color w:val="000000" w:themeColor="text1"/>
              <w:szCs w:val="28"/>
              <w14:textFill>
                <w14:solidFill>
                  <w14:schemeClr w14:val="tx1"/>
                </w14:solidFill>
              </w14:textFill>
            </w:rPr>
            <w:t>11</w:t>
          </w:r>
          <w:r>
            <w:rPr>
              <w:rFonts w:ascii="Times New Roman" w:hAnsi="Times New Roman" w:eastAsia="仿宋_GB2312" w:cs="Times New Roman"/>
              <w:color w:val="000000" w:themeColor="text1"/>
              <w:szCs w:val="28"/>
              <w14:textFill>
                <w14:solidFill>
                  <w14:schemeClr w14:val="tx1"/>
                </w14:solidFill>
              </w14:textFill>
            </w:rPr>
            <w:fldChar w:fldCharType="end"/>
          </w:r>
          <w:r>
            <w:rPr>
              <w:rFonts w:ascii="Times New Roman" w:hAnsi="Times New Roman" w:eastAsia="仿宋_GB2312" w:cs="Times New Roman"/>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"_Toc5611" </w:instrText>
          </w:r>
          <w:r>
            <w:fldChar w:fldCharType="separate"/>
          </w:r>
          <w:r>
            <w:rPr>
              <w:rFonts w:ascii="Times New Roman" w:hAnsi="Times New Roman" w:cs="Times New Roman"/>
              <w:szCs w:val="32"/>
            </w:rPr>
            <w:t>第三节 基本实现社会主义现代化远景目标</w:t>
          </w:r>
          <w:r>
            <w:tab/>
          </w:r>
          <w:r>
            <w:fldChar w:fldCharType="begin"/>
          </w:r>
          <w:r>
            <w:instrText xml:space="preserve"> PAGEREF _Toc5611 </w:instrText>
          </w:r>
          <w:r>
            <w:fldChar w:fldCharType="separate"/>
          </w:r>
          <w:r>
            <w:t>16</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"_Toc12160"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第二章 坚持以人为本 奋力谱写邵阳“十四五”发展新篇章</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_Toc12160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17</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"_Toc3458" </w:instrText>
          </w:r>
          <w:r>
            <w:fldChar w:fldCharType="separate"/>
          </w:r>
          <w:r>
            <w:rPr>
              <w:rFonts w:ascii="Times New Roman" w:hAnsi="Times New Roman" w:cs="Times New Roman"/>
              <w:szCs w:val="32"/>
            </w:rPr>
            <w:t>第一节 指导思想</w:t>
          </w:r>
          <w:r>
            <w:tab/>
          </w:r>
          <w:r>
            <w:fldChar w:fldCharType="begin"/>
          </w:r>
          <w:r>
            <w:instrText xml:space="preserve"> PAGEREF _Toc3458 </w:instrText>
          </w:r>
          <w:r>
            <w:fldChar w:fldCharType="separate"/>
          </w:r>
          <w:r>
            <w:t>17</w:t>
          </w:r>
          <w:r>
            <w:fldChar w:fldCharType="end"/>
          </w:r>
          <w:r>
            <w:fldChar w:fldCharType="end"/>
          </w:r>
        </w:p>
        <w:p>
          <w:pPr>
            <w:pStyle w:val="12"/>
            <w:tabs>
              <w:tab w:val="right" w:leader="dot" w:pos="8844"/>
            </w:tabs>
            <w:spacing w:line="240" w:lineRule="auto"/>
            <w:ind w:left="560"/>
          </w:pPr>
          <w:r>
            <w:fldChar w:fldCharType="begin"/>
          </w:r>
          <w:r>
            <w:instrText xml:space="preserve"> HYPERLINK \l "_Toc6764" </w:instrText>
          </w:r>
          <w:r>
            <w:fldChar w:fldCharType="separate"/>
          </w:r>
          <w:r>
            <w:rPr>
              <w:rFonts w:ascii="Times New Roman" w:hAnsi="Times New Roman" w:cs="Times New Roman"/>
              <w:szCs w:val="32"/>
            </w:rPr>
            <w:t>第二节 发展原则</w:t>
          </w:r>
          <w:r>
            <w:tab/>
          </w:r>
          <w:r>
            <w:fldChar w:fldCharType="begin"/>
          </w:r>
          <w:r>
            <w:instrText xml:space="preserve"> PAGEREF _Toc6764 </w:instrText>
          </w:r>
          <w:r>
            <w:fldChar w:fldCharType="separate"/>
          </w:r>
          <w:r>
            <w:t>18</w:t>
          </w:r>
          <w:r>
            <w:fldChar w:fldCharType="end"/>
          </w:r>
          <w:r>
            <w:fldChar w:fldCharType="end"/>
          </w:r>
        </w:p>
        <w:p>
          <w:pPr>
            <w:pStyle w:val="12"/>
            <w:tabs>
              <w:tab w:val="right" w:leader="dot" w:pos="8844"/>
            </w:tabs>
            <w:spacing w:line="240" w:lineRule="auto"/>
            <w:ind w:left="560"/>
          </w:pPr>
          <w:r>
            <w:fldChar w:fldCharType="begin"/>
          </w:r>
          <w:r>
            <w:instrText xml:space="preserve"> HYPERLINK \l "_Toc18766" </w:instrText>
          </w:r>
          <w:r>
            <w:fldChar w:fldCharType="separate"/>
          </w:r>
          <w:r>
            <w:rPr>
              <w:rFonts w:ascii="Times New Roman" w:hAnsi="Times New Roman" w:cs="Times New Roman"/>
              <w:szCs w:val="32"/>
            </w:rPr>
            <w:t>第三节 战略定位</w:t>
          </w:r>
          <w:r>
            <w:tab/>
          </w:r>
          <w:r>
            <w:fldChar w:fldCharType="begin"/>
          </w:r>
          <w:r>
            <w:instrText xml:space="preserve"> PAGEREF _Toc18766 </w:instrText>
          </w:r>
          <w:r>
            <w:fldChar w:fldCharType="separate"/>
          </w:r>
          <w:r>
            <w:t>20</w:t>
          </w:r>
          <w:r>
            <w:fldChar w:fldCharType="end"/>
          </w:r>
          <w:r>
            <w:fldChar w:fldCharType="end"/>
          </w:r>
        </w:p>
        <w:p>
          <w:pPr>
            <w:pStyle w:val="12"/>
            <w:tabs>
              <w:tab w:val="right" w:leader="dot" w:pos="8844"/>
            </w:tabs>
            <w:spacing w:line="240" w:lineRule="auto"/>
            <w:ind w:left="560"/>
          </w:pPr>
          <w:r>
            <w:fldChar w:fldCharType="begin"/>
          </w:r>
          <w:r>
            <w:instrText xml:space="preserve"> HYPERLINK \l "_Toc7287" </w:instrText>
          </w:r>
          <w:r>
            <w:fldChar w:fldCharType="separate"/>
          </w:r>
          <w:r>
            <w:rPr>
              <w:rFonts w:ascii="Times New Roman" w:hAnsi="Times New Roman" w:cs="Times New Roman"/>
              <w:szCs w:val="32"/>
            </w:rPr>
            <w:t>第四节 发展目标</w:t>
          </w:r>
          <w:r>
            <w:tab/>
          </w:r>
          <w:r>
            <w:fldChar w:fldCharType="begin"/>
          </w:r>
          <w:r>
            <w:instrText xml:space="preserve"> PAGEREF _Toc7287 </w:instrText>
          </w:r>
          <w:r>
            <w:fldChar w:fldCharType="separate"/>
          </w:r>
          <w:r>
            <w:t>21</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"_Toc8575"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第三章 坚持协调联动 构建协同梯度发展新格局</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_Toc8575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25</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"_Toc32012" </w:instrText>
          </w:r>
          <w:r>
            <w:fldChar w:fldCharType="separate"/>
          </w:r>
          <w:r>
            <w:rPr>
              <w:rFonts w:ascii="Times New Roman" w:hAnsi="Times New Roman" w:cs="Times New Roman"/>
              <w:szCs w:val="32"/>
            </w:rPr>
            <w:t>第一节 构建</w:t>
          </w:r>
          <w:r>
            <w:rPr>
              <w:rFonts w:hint="eastAsia" w:ascii="仿宋" w:hAnsi="仿宋" w:cs="Times New Roman"/>
              <w:szCs w:val="32"/>
            </w:rPr>
            <w:t>“</w:t>
          </w:r>
          <w:r>
            <w:rPr>
              <w:rFonts w:ascii="Times New Roman" w:hAnsi="Times New Roman" w:cs="Times New Roman"/>
              <w:szCs w:val="32"/>
            </w:rPr>
            <w:t>一群一圈</w:t>
          </w:r>
          <w:r>
            <w:rPr>
              <w:rFonts w:hint="eastAsia" w:ascii="仿宋" w:hAnsi="仿宋" w:cs="Times New Roman"/>
              <w:szCs w:val="32"/>
            </w:rPr>
            <w:t>”</w:t>
          </w:r>
          <w:r>
            <w:rPr>
              <w:rFonts w:ascii="Times New Roman" w:hAnsi="Times New Roman" w:cs="Times New Roman"/>
              <w:szCs w:val="32"/>
            </w:rPr>
            <w:t>市域空间格局</w:t>
          </w:r>
          <w:r>
            <w:tab/>
          </w:r>
          <w:r>
            <w:fldChar w:fldCharType="begin"/>
          </w:r>
          <w:r>
            <w:instrText xml:space="preserve"> PAGEREF _Toc32012 </w:instrText>
          </w:r>
          <w:r>
            <w:fldChar w:fldCharType="separate"/>
          </w:r>
          <w:r>
            <w:t>25</w:t>
          </w:r>
          <w:r>
            <w:fldChar w:fldCharType="end"/>
          </w:r>
          <w:r>
            <w:fldChar w:fldCharType="end"/>
          </w:r>
        </w:p>
        <w:p>
          <w:pPr>
            <w:pStyle w:val="12"/>
            <w:tabs>
              <w:tab w:val="right" w:leader="dot" w:pos="8844"/>
            </w:tabs>
            <w:spacing w:line="240" w:lineRule="auto"/>
            <w:ind w:left="560"/>
          </w:pPr>
          <w:r>
            <w:fldChar w:fldCharType="begin"/>
          </w:r>
          <w:r>
            <w:instrText xml:space="preserve"> HYPERLINK \l "_Toc9766" </w:instrText>
          </w:r>
          <w:r>
            <w:fldChar w:fldCharType="separate"/>
          </w:r>
          <w:r>
            <w:rPr>
              <w:rFonts w:ascii="Times New Roman" w:hAnsi="Times New Roman" w:cs="Times New Roman"/>
              <w:szCs w:val="32"/>
            </w:rPr>
            <w:t>第二节 构建</w:t>
          </w:r>
          <w:r>
            <w:rPr>
              <w:rFonts w:hint="eastAsia" w:ascii="仿宋" w:hAnsi="仿宋" w:cs="Times New Roman"/>
              <w:szCs w:val="32"/>
            </w:rPr>
            <w:t>“</w:t>
          </w:r>
          <w:r>
            <w:rPr>
              <w:rFonts w:ascii="Times New Roman" w:hAnsi="Times New Roman" w:cs="Times New Roman"/>
              <w:szCs w:val="32"/>
            </w:rPr>
            <w:t>一核一带多点</w:t>
          </w:r>
          <w:r>
            <w:rPr>
              <w:rFonts w:hint="eastAsia" w:ascii="仿宋" w:hAnsi="仿宋" w:cs="Times New Roman"/>
              <w:szCs w:val="32"/>
            </w:rPr>
            <w:t>”</w:t>
          </w:r>
          <w:r>
            <w:rPr>
              <w:rFonts w:ascii="Times New Roman" w:hAnsi="Times New Roman" w:cs="Times New Roman"/>
              <w:szCs w:val="32"/>
            </w:rPr>
            <w:t>产业发展格局</w:t>
          </w:r>
          <w:r>
            <w:tab/>
          </w:r>
          <w:r>
            <w:fldChar w:fldCharType="begin"/>
          </w:r>
          <w:r>
            <w:instrText xml:space="preserve"> PAGEREF _Toc9766 </w:instrText>
          </w:r>
          <w:r>
            <w:fldChar w:fldCharType="separate"/>
          </w:r>
          <w:r>
            <w:t>29</w:t>
          </w:r>
          <w:r>
            <w:fldChar w:fldCharType="end"/>
          </w:r>
          <w:r>
            <w:fldChar w:fldCharType="end"/>
          </w:r>
        </w:p>
        <w:p>
          <w:pPr>
            <w:pStyle w:val="12"/>
            <w:tabs>
              <w:tab w:val="right" w:leader="dot" w:pos="8844"/>
            </w:tabs>
            <w:spacing w:line="240" w:lineRule="auto"/>
            <w:ind w:left="560"/>
          </w:pPr>
          <w:r>
            <w:fldChar w:fldCharType="begin"/>
          </w:r>
          <w:r>
            <w:instrText xml:space="preserve"> HYPERLINK \l "_Toc27149" </w:instrText>
          </w:r>
          <w:r>
            <w:fldChar w:fldCharType="separate"/>
          </w:r>
          <w:r>
            <w:rPr>
              <w:rFonts w:ascii="Times New Roman" w:hAnsi="Times New Roman" w:cs="Times New Roman"/>
              <w:szCs w:val="32"/>
            </w:rPr>
            <w:t>第三节 构建</w:t>
          </w:r>
          <w:r>
            <w:rPr>
              <w:rFonts w:hint="eastAsia" w:ascii="仿宋" w:hAnsi="仿宋" w:cs="Times New Roman"/>
              <w:szCs w:val="32"/>
            </w:rPr>
            <w:t>“</w:t>
          </w:r>
          <w:r>
            <w:rPr>
              <w:rFonts w:ascii="Times New Roman" w:hAnsi="Times New Roman" w:cs="Times New Roman"/>
              <w:szCs w:val="32"/>
            </w:rPr>
            <w:t>一体两翼多点</w:t>
          </w:r>
          <w:r>
            <w:rPr>
              <w:rFonts w:hint="eastAsia" w:ascii="仿宋" w:hAnsi="仿宋" w:cs="Times New Roman"/>
              <w:szCs w:val="32"/>
            </w:rPr>
            <w:t>”</w:t>
          </w:r>
          <w:r>
            <w:rPr>
              <w:rFonts w:ascii="Times New Roman" w:hAnsi="Times New Roman" w:cs="Times New Roman"/>
              <w:szCs w:val="32"/>
            </w:rPr>
            <w:t>物流发展格局</w:t>
          </w:r>
          <w:r>
            <w:tab/>
          </w:r>
          <w:r>
            <w:fldChar w:fldCharType="begin"/>
          </w:r>
          <w:r>
            <w:instrText xml:space="preserve"> PAGEREF _Toc27149 </w:instrText>
          </w:r>
          <w:r>
            <w:fldChar w:fldCharType="separate"/>
          </w:r>
          <w:r>
            <w:t>31</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"_Toc9798"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第四章 承接产业转移 打造国家重要先进制造业高地</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_Toc9798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33</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"_Toc22651" </w:instrText>
          </w:r>
          <w:r>
            <w:fldChar w:fldCharType="separate"/>
          </w:r>
          <w:r>
            <w:rPr>
              <w:rFonts w:ascii="Times New Roman" w:hAnsi="Times New Roman" w:cs="Times New Roman"/>
              <w:szCs w:val="32"/>
            </w:rPr>
            <w:t>第一节 提升产业链供应链现代化水平</w:t>
          </w:r>
          <w:r>
            <w:tab/>
          </w:r>
          <w:r>
            <w:fldChar w:fldCharType="begin"/>
          </w:r>
          <w:r>
            <w:instrText xml:space="preserve"> PAGEREF _Toc22651 </w:instrText>
          </w:r>
          <w:r>
            <w:fldChar w:fldCharType="separate"/>
          </w:r>
          <w:r>
            <w:t>33</w:t>
          </w:r>
          <w:r>
            <w:fldChar w:fldCharType="end"/>
          </w:r>
          <w:r>
            <w:fldChar w:fldCharType="end"/>
          </w:r>
        </w:p>
        <w:p>
          <w:pPr>
            <w:pStyle w:val="12"/>
            <w:tabs>
              <w:tab w:val="right" w:leader="dot" w:pos="8844"/>
            </w:tabs>
            <w:spacing w:line="240" w:lineRule="auto"/>
            <w:ind w:left="560"/>
          </w:pPr>
          <w:r>
            <w:fldChar w:fldCharType="begin"/>
          </w:r>
          <w:r>
            <w:instrText xml:space="preserve"> HYPERLINK \l "_Toc20782" </w:instrText>
          </w:r>
          <w:r>
            <w:fldChar w:fldCharType="separate"/>
          </w:r>
          <w:r>
            <w:rPr>
              <w:rFonts w:ascii="Times New Roman" w:hAnsi="Times New Roman" w:cs="Times New Roman"/>
              <w:szCs w:val="32"/>
            </w:rPr>
            <w:t>第二节 培育壮大新兴优势产业</w:t>
          </w:r>
          <w:r>
            <w:tab/>
          </w:r>
          <w:r>
            <w:fldChar w:fldCharType="begin"/>
          </w:r>
          <w:r>
            <w:instrText xml:space="preserve"> PAGEREF _Toc20782 </w:instrText>
          </w:r>
          <w:r>
            <w:fldChar w:fldCharType="separate"/>
          </w:r>
          <w:r>
            <w:t>35</w:t>
          </w:r>
          <w:r>
            <w:fldChar w:fldCharType="end"/>
          </w:r>
          <w:r>
            <w:fldChar w:fldCharType="end"/>
          </w:r>
        </w:p>
        <w:p>
          <w:pPr>
            <w:pStyle w:val="12"/>
            <w:tabs>
              <w:tab w:val="right" w:leader="dot" w:pos="8844"/>
            </w:tabs>
            <w:spacing w:line="240" w:lineRule="auto"/>
            <w:ind w:left="560"/>
          </w:pPr>
          <w:r>
            <w:fldChar w:fldCharType="begin"/>
          </w:r>
          <w:r>
            <w:instrText xml:space="preserve"> HYPERLINK \l "_Toc11607" </w:instrText>
          </w:r>
          <w:r>
            <w:fldChar w:fldCharType="separate"/>
          </w:r>
          <w:r>
            <w:rPr>
              <w:rFonts w:ascii="Times New Roman" w:hAnsi="Times New Roman" w:cs="Times New Roman"/>
              <w:szCs w:val="32"/>
            </w:rPr>
            <w:t>第三节 促进传统产业转型升级</w:t>
          </w:r>
          <w:r>
            <w:tab/>
          </w:r>
          <w:r>
            <w:fldChar w:fldCharType="begin"/>
          </w:r>
          <w:r>
            <w:instrText xml:space="preserve"> PAGEREF _Toc11607 </w:instrText>
          </w:r>
          <w:r>
            <w:fldChar w:fldCharType="separate"/>
          </w:r>
          <w:r>
            <w:t>39</w:t>
          </w:r>
          <w:r>
            <w:fldChar w:fldCharType="end"/>
          </w:r>
          <w:r>
            <w:fldChar w:fldCharType="end"/>
          </w:r>
        </w:p>
        <w:p>
          <w:pPr>
            <w:pStyle w:val="12"/>
            <w:tabs>
              <w:tab w:val="right" w:leader="dot" w:pos="8844"/>
            </w:tabs>
            <w:spacing w:line="240" w:lineRule="auto"/>
            <w:ind w:left="560"/>
          </w:pPr>
          <w:r>
            <w:fldChar w:fldCharType="begin"/>
          </w:r>
          <w:r>
            <w:instrText xml:space="preserve"> HYPERLINK \l "_Toc10629" </w:instrText>
          </w:r>
          <w:r>
            <w:fldChar w:fldCharType="separate"/>
          </w:r>
          <w:r>
            <w:rPr>
              <w:rFonts w:ascii="Times New Roman" w:hAnsi="Times New Roman" w:cs="Times New Roman"/>
              <w:szCs w:val="32"/>
            </w:rPr>
            <w:t>第四节 大力推动数字经济发展</w:t>
          </w:r>
          <w:r>
            <w:tab/>
          </w:r>
          <w:r>
            <w:fldChar w:fldCharType="begin"/>
          </w:r>
          <w:r>
            <w:instrText xml:space="preserve"> PAGEREF _Toc10629 </w:instrText>
          </w:r>
          <w:r>
            <w:fldChar w:fldCharType="separate"/>
          </w:r>
          <w:r>
            <w:t>43</w:t>
          </w:r>
          <w:r>
            <w:fldChar w:fldCharType="end"/>
          </w:r>
          <w:r>
            <w:fldChar w:fldCharType="end"/>
          </w:r>
        </w:p>
        <w:p>
          <w:pPr>
            <w:pStyle w:val="12"/>
            <w:tabs>
              <w:tab w:val="right" w:leader="dot" w:pos="8844"/>
            </w:tabs>
            <w:spacing w:line="240" w:lineRule="auto"/>
            <w:ind w:left="560"/>
          </w:pPr>
          <w:r>
            <w:fldChar w:fldCharType="begin"/>
          </w:r>
          <w:r>
            <w:instrText xml:space="preserve"> HYPERLINK \l "_Toc6316" </w:instrText>
          </w:r>
          <w:r>
            <w:fldChar w:fldCharType="separate"/>
          </w:r>
          <w:r>
            <w:rPr>
              <w:rFonts w:ascii="Times New Roman" w:hAnsi="Times New Roman" w:cs="Times New Roman"/>
              <w:szCs w:val="32"/>
            </w:rPr>
            <w:t>第五节 推动先进制造业和现代服务业深度融合发展</w:t>
          </w:r>
          <w:r>
            <w:tab/>
          </w:r>
          <w:r>
            <w:fldChar w:fldCharType="begin"/>
          </w:r>
          <w:r>
            <w:instrText xml:space="preserve"> PAGEREF _Toc6316 </w:instrText>
          </w:r>
          <w:r>
            <w:fldChar w:fldCharType="separate"/>
          </w:r>
          <w:r>
            <w:t>45</w:t>
          </w:r>
          <w:r>
            <w:fldChar w:fldCharType="end"/>
          </w:r>
          <w:r>
            <w:fldChar w:fldCharType="end"/>
          </w:r>
        </w:p>
        <w:p>
          <w:pPr>
            <w:pStyle w:val="12"/>
            <w:tabs>
              <w:tab w:val="right" w:leader="dot" w:pos="8844"/>
            </w:tabs>
            <w:spacing w:line="240" w:lineRule="auto"/>
            <w:ind w:left="560"/>
          </w:pPr>
          <w:r>
            <w:fldChar w:fldCharType="begin"/>
          </w:r>
          <w:r>
            <w:instrText xml:space="preserve"> HYPERLINK \l "_Toc7952" </w:instrText>
          </w:r>
          <w:r>
            <w:fldChar w:fldCharType="separate"/>
          </w:r>
          <w:r>
            <w:rPr>
              <w:rFonts w:ascii="Times New Roman" w:hAnsi="Times New Roman" w:cs="Times New Roman"/>
              <w:szCs w:val="32"/>
            </w:rPr>
            <w:t>第六节 着力提升产业承载能力</w:t>
          </w:r>
          <w:r>
            <w:tab/>
          </w:r>
          <w:r>
            <w:fldChar w:fldCharType="begin"/>
          </w:r>
          <w:r>
            <w:instrText xml:space="preserve"> PAGEREF _Toc7952 </w:instrText>
          </w:r>
          <w:r>
            <w:fldChar w:fldCharType="separate"/>
          </w:r>
          <w:r>
            <w:t>49</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"_Toc21389"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第五章 坚持创新驱动 打造具有核心竞争力的科技创新高地</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_Toc21389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53</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"_Toc21895" </w:instrText>
          </w:r>
          <w:r>
            <w:fldChar w:fldCharType="separate"/>
          </w:r>
          <w:r>
            <w:rPr>
              <w:rFonts w:ascii="Times New Roman" w:hAnsi="Times New Roman" w:cs="Times New Roman"/>
              <w:szCs w:val="32"/>
            </w:rPr>
            <w:t>第一节 培育一流创新企业</w:t>
          </w:r>
          <w:r>
            <w:tab/>
          </w:r>
          <w:r>
            <w:fldChar w:fldCharType="begin"/>
          </w:r>
          <w:r>
            <w:instrText xml:space="preserve"> PAGEREF _Toc21895 </w:instrText>
          </w:r>
          <w:r>
            <w:fldChar w:fldCharType="separate"/>
          </w:r>
          <w:r>
            <w:t>53</w:t>
          </w:r>
          <w:r>
            <w:fldChar w:fldCharType="end"/>
          </w:r>
          <w:r>
            <w:fldChar w:fldCharType="end"/>
          </w:r>
        </w:p>
        <w:p>
          <w:pPr>
            <w:pStyle w:val="12"/>
            <w:tabs>
              <w:tab w:val="right" w:leader="dot" w:pos="8844"/>
            </w:tabs>
            <w:spacing w:line="240" w:lineRule="auto"/>
            <w:ind w:left="560"/>
          </w:pPr>
          <w:r>
            <w:fldChar w:fldCharType="begin"/>
          </w:r>
          <w:r>
            <w:instrText xml:space="preserve"> HYPERLINK \l "_Toc19962" </w:instrText>
          </w:r>
          <w:r>
            <w:fldChar w:fldCharType="separate"/>
          </w:r>
          <w:r>
            <w:rPr>
              <w:rFonts w:ascii="Times New Roman" w:hAnsi="Times New Roman" w:cs="Times New Roman"/>
              <w:szCs w:val="32"/>
            </w:rPr>
            <w:t>第二节 集聚高端创新人才</w:t>
          </w:r>
          <w:r>
            <w:tab/>
          </w:r>
          <w:r>
            <w:fldChar w:fldCharType="begin"/>
          </w:r>
          <w:r>
            <w:instrText xml:space="preserve"> PAGEREF _Toc19962 </w:instrText>
          </w:r>
          <w:r>
            <w:fldChar w:fldCharType="separate"/>
          </w:r>
          <w:r>
            <w:t>55</w:t>
          </w:r>
          <w:r>
            <w:fldChar w:fldCharType="end"/>
          </w:r>
          <w:r>
            <w:fldChar w:fldCharType="end"/>
          </w:r>
        </w:p>
        <w:p>
          <w:pPr>
            <w:pStyle w:val="12"/>
            <w:tabs>
              <w:tab w:val="right" w:leader="dot" w:pos="8844"/>
            </w:tabs>
            <w:spacing w:line="240" w:lineRule="auto"/>
            <w:ind w:left="560"/>
          </w:pPr>
          <w:r>
            <w:fldChar w:fldCharType="begin"/>
          </w:r>
          <w:r>
            <w:instrText xml:space="preserve"> HYPERLINK \l "_Toc4972" </w:instrText>
          </w:r>
          <w:r>
            <w:fldChar w:fldCharType="separate"/>
          </w:r>
          <w:r>
            <w:rPr>
              <w:rFonts w:ascii="Times New Roman" w:hAnsi="Times New Roman" w:cs="Times New Roman"/>
              <w:szCs w:val="32"/>
            </w:rPr>
            <w:t>第三节 搭建优质创新载体</w:t>
          </w:r>
          <w:r>
            <w:tab/>
          </w:r>
          <w:r>
            <w:fldChar w:fldCharType="begin"/>
          </w:r>
          <w:r>
            <w:instrText xml:space="preserve"> PAGEREF _Toc4972 </w:instrText>
          </w:r>
          <w:r>
            <w:fldChar w:fldCharType="separate"/>
          </w:r>
          <w:r>
            <w:t>55</w:t>
          </w:r>
          <w:r>
            <w:fldChar w:fldCharType="end"/>
          </w:r>
          <w:r>
            <w:fldChar w:fldCharType="end"/>
          </w:r>
        </w:p>
        <w:p>
          <w:pPr>
            <w:pStyle w:val="12"/>
            <w:tabs>
              <w:tab w:val="right" w:leader="dot" w:pos="8844"/>
            </w:tabs>
            <w:spacing w:line="240" w:lineRule="auto"/>
            <w:ind w:left="560"/>
          </w:pPr>
          <w:r>
            <w:fldChar w:fldCharType="begin"/>
          </w:r>
          <w:r>
            <w:instrText xml:space="preserve"> HYPERLINK \l "_Toc30948" </w:instrText>
          </w:r>
          <w:r>
            <w:fldChar w:fldCharType="separate"/>
          </w:r>
          <w:r>
            <w:rPr>
              <w:rFonts w:ascii="Times New Roman" w:hAnsi="Times New Roman" w:cs="Times New Roman"/>
              <w:szCs w:val="32"/>
            </w:rPr>
            <w:t>第四节 完善创新创业生态</w:t>
          </w:r>
          <w:r>
            <w:tab/>
          </w:r>
          <w:r>
            <w:fldChar w:fldCharType="begin"/>
          </w:r>
          <w:r>
            <w:instrText xml:space="preserve"> PAGEREF _Toc30948 </w:instrText>
          </w:r>
          <w:r>
            <w:fldChar w:fldCharType="separate"/>
          </w:r>
          <w:r>
            <w:t>56</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"_Toc8318"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第六章 深化改革开放 打造内陆地区改革开放高地</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_Toc8318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59</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"_Toc30045" </w:instrText>
          </w:r>
          <w:r>
            <w:fldChar w:fldCharType="separate"/>
          </w:r>
          <w:r>
            <w:rPr>
              <w:rFonts w:ascii="Times New Roman" w:hAnsi="Times New Roman" w:cs="Times New Roman"/>
              <w:szCs w:val="32"/>
            </w:rPr>
            <w:t>第一节 构建</w:t>
          </w:r>
          <w:r>
            <w:rPr>
              <w:rFonts w:hint="eastAsia" w:ascii="仿宋" w:hAnsi="仿宋" w:cs="Times New Roman"/>
              <w:szCs w:val="32"/>
            </w:rPr>
            <w:t>“</w:t>
          </w:r>
          <w:r>
            <w:rPr>
              <w:rFonts w:ascii="Times New Roman" w:hAnsi="Times New Roman" w:cs="Times New Roman"/>
              <w:szCs w:val="32"/>
            </w:rPr>
            <w:t>高水平、开放型</w:t>
          </w:r>
          <w:r>
            <w:rPr>
              <w:rFonts w:hint="eastAsia" w:ascii="仿宋" w:hAnsi="仿宋" w:cs="Times New Roman"/>
              <w:szCs w:val="32"/>
            </w:rPr>
            <w:t>”</w:t>
          </w:r>
          <w:r>
            <w:rPr>
              <w:rFonts w:ascii="Times New Roman" w:hAnsi="Times New Roman" w:cs="Times New Roman"/>
              <w:szCs w:val="32"/>
            </w:rPr>
            <w:t>经济体制</w:t>
          </w:r>
          <w:r>
            <w:tab/>
          </w:r>
          <w:r>
            <w:fldChar w:fldCharType="begin"/>
          </w:r>
          <w:r>
            <w:instrText xml:space="preserve"> PAGEREF _Toc30045 </w:instrText>
          </w:r>
          <w:r>
            <w:fldChar w:fldCharType="separate"/>
          </w:r>
          <w:r>
            <w:t>59</w:t>
          </w:r>
          <w:r>
            <w:fldChar w:fldCharType="end"/>
          </w:r>
          <w:r>
            <w:fldChar w:fldCharType="end"/>
          </w:r>
        </w:p>
        <w:p>
          <w:pPr>
            <w:pStyle w:val="12"/>
            <w:tabs>
              <w:tab w:val="right" w:leader="dot" w:pos="8844"/>
            </w:tabs>
            <w:spacing w:line="240" w:lineRule="auto"/>
            <w:ind w:left="560"/>
          </w:pPr>
          <w:r>
            <w:fldChar w:fldCharType="begin"/>
          </w:r>
          <w:r>
            <w:instrText xml:space="preserve"> HYPERLINK \l "_Toc22697" </w:instrText>
          </w:r>
          <w:r>
            <w:fldChar w:fldCharType="separate"/>
          </w:r>
          <w:r>
            <w:rPr>
              <w:rFonts w:ascii="Times New Roman" w:hAnsi="Times New Roman" w:cs="Times New Roman"/>
              <w:szCs w:val="32"/>
            </w:rPr>
            <w:t>第二节 构建</w:t>
          </w:r>
          <w:r>
            <w:rPr>
              <w:rFonts w:hint="eastAsia" w:ascii="仿宋" w:hAnsi="仿宋" w:cs="Times New Roman"/>
              <w:szCs w:val="32"/>
            </w:rPr>
            <w:t>“</w:t>
          </w:r>
          <w:r>
            <w:rPr>
              <w:rFonts w:ascii="Times New Roman" w:hAnsi="Times New Roman" w:cs="Times New Roman"/>
              <w:szCs w:val="32"/>
            </w:rPr>
            <w:t>一体化、无障碍</w:t>
          </w:r>
          <w:r>
            <w:rPr>
              <w:rFonts w:hint="eastAsia" w:ascii="仿宋" w:hAnsi="仿宋" w:cs="Times New Roman"/>
              <w:szCs w:val="32"/>
            </w:rPr>
            <w:t>”</w:t>
          </w:r>
          <w:r>
            <w:rPr>
              <w:rFonts w:ascii="Times New Roman" w:hAnsi="Times New Roman" w:cs="Times New Roman"/>
              <w:szCs w:val="32"/>
            </w:rPr>
            <w:t>合作机制</w:t>
          </w:r>
          <w:r>
            <w:tab/>
          </w:r>
          <w:r>
            <w:fldChar w:fldCharType="begin"/>
          </w:r>
          <w:r>
            <w:instrText xml:space="preserve"> PAGEREF _Toc22697 </w:instrText>
          </w:r>
          <w:r>
            <w:fldChar w:fldCharType="separate"/>
          </w:r>
          <w:r>
            <w:t>62</w:t>
          </w:r>
          <w:r>
            <w:fldChar w:fldCharType="end"/>
          </w:r>
          <w:r>
            <w:fldChar w:fldCharType="end"/>
          </w:r>
        </w:p>
        <w:p>
          <w:pPr>
            <w:pStyle w:val="12"/>
            <w:tabs>
              <w:tab w:val="right" w:leader="dot" w:pos="8844"/>
            </w:tabs>
            <w:spacing w:line="240" w:lineRule="auto"/>
            <w:ind w:left="560"/>
          </w:pPr>
          <w:r>
            <w:fldChar w:fldCharType="begin"/>
          </w:r>
          <w:r>
            <w:instrText xml:space="preserve"> HYPERLINK \l "_Toc31286" </w:instrText>
          </w:r>
          <w:r>
            <w:fldChar w:fldCharType="separate"/>
          </w:r>
          <w:r>
            <w:rPr>
              <w:rFonts w:ascii="Times New Roman" w:hAnsi="Times New Roman" w:cs="Times New Roman"/>
              <w:szCs w:val="32"/>
            </w:rPr>
            <w:t>第三节 打造</w:t>
          </w:r>
          <w:r>
            <w:rPr>
              <w:rFonts w:hint="eastAsia" w:ascii="仿宋" w:hAnsi="仿宋" w:cs="Times New Roman"/>
              <w:szCs w:val="32"/>
            </w:rPr>
            <w:t>“</w:t>
          </w:r>
          <w:r>
            <w:rPr>
              <w:rFonts w:ascii="Times New Roman" w:hAnsi="Times New Roman" w:cs="Times New Roman"/>
              <w:szCs w:val="32"/>
            </w:rPr>
            <w:t>国际化、多层次</w:t>
          </w:r>
          <w:r>
            <w:rPr>
              <w:rFonts w:hint="eastAsia" w:ascii="仿宋" w:hAnsi="仿宋" w:cs="Times New Roman"/>
              <w:szCs w:val="32"/>
            </w:rPr>
            <w:t>”</w:t>
          </w:r>
          <w:r>
            <w:rPr>
              <w:rFonts w:ascii="Times New Roman" w:hAnsi="Times New Roman" w:cs="Times New Roman"/>
              <w:szCs w:val="32"/>
            </w:rPr>
            <w:t>开放平台</w:t>
          </w:r>
          <w:r>
            <w:tab/>
          </w:r>
          <w:r>
            <w:fldChar w:fldCharType="begin"/>
          </w:r>
          <w:r>
            <w:instrText xml:space="preserve"> PAGEREF _Toc31286 </w:instrText>
          </w:r>
          <w:r>
            <w:fldChar w:fldCharType="separate"/>
          </w:r>
          <w:r>
            <w:t>63</w:t>
          </w:r>
          <w:r>
            <w:fldChar w:fldCharType="end"/>
          </w:r>
          <w:r>
            <w:fldChar w:fldCharType="end"/>
          </w:r>
        </w:p>
        <w:p>
          <w:pPr>
            <w:pStyle w:val="12"/>
            <w:tabs>
              <w:tab w:val="right" w:leader="dot" w:pos="8844"/>
            </w:tabs>
            <w:spacing w:line="240" w:lineRule="auto"/>
            <w:ind w:left="560"/>
          </w:pPr>
          <w:r>
            <w:fldChar w:fldCharType="begin"/>
          </w:r>
          <w:r>
            <w:instrText xml:space="preserve"> HYPERLINK \l "_Toc8112" </w:instrText>
          </w:r>
          <w:r>
            <w:fldChar w:fldCharType="separate"/>
          </w:r>
          <w:r>
            <w:rPr>
              <w:rFonts w:ascii="Times New Roman" w:hAnsi="Times New Roman" w:cs="Times New Roman"/>
              <w:szCs w:val="32"/>
            </w:rPr>
            <w:t>第四节 建设</w:t>
          </w:r>
          <w:r>
            <w:rPr>
              <w:rFonts w:hint="eastAsia" w:ascii="仿宋" w:hAnsi="仿宋" w:cs="Times New Roman"/>
              <w:szCs w:val="32"/>
            </w:rPr>
            <w:t>“</w:t>
          </w:r>
          <w:r>
            <w:rPr>
              <w:rFonts w:ascii="Times New Roman" w:hAnsi="Times New Roman" w:cs="Times New Roman"/>
              <w:szCs w:val="32"/>
            </w:rPr>
            <w:t>法治化、可预期</w:t>
          </w:r>
          <w:r>
            <w:rPr>
              <w:rFonts w:hint="eastAsia" w:ascii="仿宋" w:hAnsi="仿宋" w:cs="Times New Roman"/>
              <w:szCs w:val="32"/>
            </w:rPr>
            <w:t>”</w:t>
          </w:r>
          <w:r>
            <w:rPr>
              <w:rFonts w:ascii="Times New Roman" w:hAnsi="Times New Roman" w:cs="Times New Roman"/>
              <w:szCs w:val="32"/>
            </w:rPr>
            <w:t>营商环境</w:t>
          </w:r>
          <w:r>
            <w:tab/>
          </w:r>
          <w:r>
            <w:fldChar w:fldCharType="begin"/>
          </w:r>
          <w:r>
            <w:instrText xml:space="preserve"> PAGEREF _Toc8112 </w:instrText>
          </w:r>
          <w:r>
            <w:fldChar w:fldCharType="separate"/>
          </w:r>
          <w:r>
            <w:t>65</w:t>
          </w:r>
          <w:r>
            <w:fldChar w:fldCharType="end"/>
          </w:r>
          <w:r>
            <w:fldChar w:fldCharType="end"/>
          </w:r>
        </w:p>
        <w:p>
          <w:pPr>
            <w:pStyle w:val="12"/>
            <w:tabs>
              <w:tab w:val="right" w:leader="dot" w:pos="8844"/>
            </w:tabs>
            <w:spacing w:line="240" w:lineRule="auto"/>
            <w:ind w:left="560"/>
          </w:pPr>
          <w:r>
            <w:fldChar w:fldCharType="begin"/>
          </w:r>
          <w:r>
            <w:instrText xml:space="preserve"> HYPERLINK \l "_Toc2965" </w:instrText>
          </w:r>
          <w:r>
            <w:fldChar w:fldCharType="separate"/>
          </w:r>
          <w:r>
            <w:rPr>
              <w:rFonts w:ascii="Times New Roman" w:hAnsi="Times New Roman" w:cs="Times New Roman"/>
              <w:szCs w:val="32"/>
            </w:rPr>
            <w:t>第五节 推进</w:t>
          </w:r>
          <w:r>
            <w:rPr>
              <w:rFonts w:hint="eastAsia" w:ascii="仿宋" w:hAnsi="仿宋" w:cs="Times New Roman"/>
              <w:szCs w:val="32"/>
            </w:rPr>
            <w:t>“</w:t>
          </w:r>
          <w:r>
            <w:rPr>
              <w:rFonts w:ascii="Times New Roman" w:hAnsi="Times New Roman" w:cs="Times New Roman"/>
              <w:szCs w:val="32"/>
            </w:rPr>
            <w:t>多领域、专业化</w:t>
          </w:r>
          <w:r>
            <w:rPr>
              <w:rFonts w:hint="eastAsia" w:ascii="仿宋" w:hAnsi="仿宋" w:cs="Times New Roman"/>
              <w:szCs w:val="32"/>
            </w:rPr>
            <w:t>”</w:t>
          </w:r>
          <w:r>
            <w:rPr>
              <w:rFonts w:ascii="Times New Roman" w:hAnsi="Times New Roman" w:cs="Times New Roman"/>
              <w:szCs w:val="32"/>
            </w:rPr>
            <w:t>招商引资</w:t>
          </w:r>
          <w:r>
            <w:tab/>
          </w:r>
          <w:r>
            <w:fldChar w:fldCharType="begin"/>
          </w:r>
          <w:r>
            <w:instrText xml:space="preserve"> PAGEREF _Toc2965 </w:instrText>
          </w:r>
          <w:r>
            <w:fldChar w:fldCharType="separate"/>
          </w:r>
          <w:r>
            <w:t>67</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"_Toc733"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第七章 促进服务消费 推动形成强大内需市场</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_Toc733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70</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"_Toc15442" </w:instrText>
          </w:r>
          <w:r>
            <w:fldChar w:fldCharType="separate"/>
          </w:r>
          <w:r>
            <w:rPr>
              <w:rFonts w:ascii="Times New Roman" w:hAnsi="Times New Roman" w:cs="Times New Roman"/>
              <w:szCs w:val="32"/>
            </w:rPr>
            <w:t>第一节 主动融入国内大循环和国内国际双循环</w:t>
          </w:r>
          <w:r>
            <w:tab/>
          </w:r>
          <w:r>
            <w:fldChar w:fldCharType="begin"/>
          </w:r>
          <w:r>
            <w:instrText xml:space="preserve"> PAGEREF _Toc15442 </w:instrText>
          </w:r>
          <w:r>
            <w:fldChar w:fldCharType="separate"/>
          </w:r>
          <w:r>
            <w:t>70</w:t>
          </w:r>
          <w:r>
            <w:fldChar w:fldCharType="end"/>
          </w:r>
          <w:r>
            <w:fldChar w:fldCharType="end"/>
          </w:r>
        </w:p>
        <w:p>
          <w:pPr>
            <w:pStyle w:val="12"/>
            <w:tabs>
              <w:tab w:val="right" w:leader="dot" w:pos="8844"/>
            </w:tabs>
            <w:spacing w:line="240" w:lineRule="auto"/>
            <w:ind w:left="560"/>
          </w:pPr>
          <w:r>
            <w:fldChar w:fldCharType="begin"/>
          </w:r>
          <w:r>
            <w:instrText xml:space="preserve"> HYPERLINK \l "_Toc378" </w:instrText>
          </w:r>
          <w:r>
            <w:fldChar w:fldCharType="separate"/>
          </w:r>
          <w:r>
            <w:rPr>
              <w:rFonts w:ascii="Times New Roman" w:hAnsi="Times New Roman" w:cs="Times New Roman"/>
              <w:szCs w:val="32"/>
            </w:rPr>
            <w:t>第二节 培育消费服务新模式</w:t>
          </w:r>
          <w:r>
            <w:tab/>
          </w:r>
          <w:r>
            <w:fldChar w:fldCharType="begin"/>
          </w:r>
          <w:r>
            <w:instrText xml:space="preserve"> PAGEREF _Toc378 </w:instrText>
          </w:r>
          <w:r>
            <w:fldChar w:fldCharType="separate"/>
          </w:r>
          <w:r>
            <w:t>72</w:t>
          </w:r>
          <w:r>
            <w:fldChar w:fldCharType="end"/>
          </w:r>
          <w:r>
            <w:fldChar w:fldCharType="end"/>
          </w:r>
        </w:p>
        <w:p>
          <w:pPr>
            <w:pStyle w:val="12"/>
            <w:tabs>
              <w:tab w:val="right" w:leader="dot" w:pos="8844"/>
            </w:tabs>
            <w:spacing w:line="240" w:lineRule="auto"/>
            <w:ind w:left="560"/>
          </w:pPr>
          <w:r>
            <w:fldChar w:fldCharType="begin"/>
          </w:r>
          <w:r>
            <w:instrText xml:space="preserve"> HYPERLINK \l "_Toc12056" </w:instrText>
          </w:r>
          <w:r>
            <w:fldChar w:fldCharType="separate"/>
          </w:r>
          <w:r>
            <w:rPr>
              <w:rFonts w:ascii="Times New Roman" w:hAnsi="Times New Roman" w:cs="Times New Roman"/>
              <w:szCs w:val="32"/>
            </w:rPr>
            <w:t>第三节 转变生活服务新理念</w:t>
          </w:r>
          <w:r>
            <w:tab/>
          </w:r>
          <w:r>
            <w:fldChar w:fldCharType="begin"/>
          </w:r>
          <w:r>
            <w:instrText xml:space="preserve"> PAGEREF _Toc12056 </w:instrText>
          </w:r>
          <w:r>
            <w:fldChar w:fldCharType="separate"/>
          </w:r>
          <w:r>
            <w:t>74</w:t>
          </w:r>
          <w:r>
            <w:fldChar w:fldCharType="end"/>
          </w:r>
          <w:r>
            <w:fldChar w:fldCharType="end"/>
          </w:r>
        </w:p>
        <w:p>
          <w:pPr>
            <w:pStyle w:val="12"/>
            <w:tabs>
              <w:tab w:val="right" w:leader="dot" w:pos="8844"/>
            </w:tabs>
            <w:spacing w:line="240" w:lineRule="auto"/>
            <w:ind w:left="560"/>
          </w:pPr>
          <w:r>
            <w:fldChar w:fldCharType="begin"/>
          </w:r>
          <w:r>
            <w:instrText xml:space="preserve"> HYPERLINK \l "_Toc31212" </w:instrText>
          </w:r>
          <w:r>
            <w:fldChar w:fldCharType="separate"/>
          </w:r>
          <w:r>
            <w:rPr>
              <w:rFonts w:ascii="Times New Roman" w:hAnsi="Times New Roman" w:cs="Times New Roman"/>
              <w:szCs w:val="32"/>
            </w:rPr>
            <w:t>第四节 拓展现代服务新业态</w:t>
          </w:r>
          <w:r>
            <w:tab/>
          </w:r>
          <w:r>
            <w:fldChar w:fldCharType="begin"/>
          </w:r>
          <w:r>
            <w:instrText xml:space="preserve"> PAGEREF _Toc31212 </w:instrText>
          </w:r>
          <w:r>
            <w:fldChar w:fldCharType="separate"/>
          </w:r>
          <w:r>
            <w:t>76</w:t>
          </w:r>
          <w:r>
            <w:fldChar w:fldCharType="end"/>
          </w:r>
          <w:r>
            <w:fldChar w:fldCharType="end"/>
          </w:r>
        </w:p>
        <w:p>
          <w:pPr>
            <w:pStyle w:val="12"/>
            <w:tabs>
              <w:tab w:val="right" w:leader="dot" w:pos="8844"/>
            </w:tabs>
            <w:spacing w:line="240" w:lineRule="auto"/>
            <w:ind w:left="560"/>
          </w:pPr>
          <w:r>
            <w:fldChar w:fldCharType="begin"/>
          </w:r>
          <w:r>
            <w:instrText xml:space="preserve"> HYPERLINK \l "_Toc32151" </w:instrText>
          </w:r>
          <w:r>
            <w:fldChar w:fldCharType="separate"/>
          </w:r>
          <w:r>
            <w:rPr>
              <w:rFonts w:ascii="Times New Roman" w:hAnsi="Times New Roman" w:cs="Times New Roman"/>
              <w:szCs w:val="32"/>
            </w:rPr>
            <w:t>第五节 扩大有效投资新举措</w:t>
          </w:r>
          <w:r>
            <w:tab/>
          </w:r>
          <w:r>
            <w:fldChar w:fldCharType="begin"/>
          </w:r>
          <w:r>
            <w:instrText xml:space="preserve"> PAGEREF _Toc32151 </w:instrText>
          </w:r>
          <w:r>
            <w:fldChar w:fldCharType="separate"/>
          </w:r>
          <w:r>
            <w:t>79</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"_Toc26773"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第八章 推进乡村振兴 加快农业农村现代化</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_Toc26773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82</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"_Toc7759" </w:instrText>
          </w:r>
          <w:r>
            <w:fldChar w:fldCharType="separate"/>
          </w:r>
          <w:r>
            <w:rPr>
              <w:rFonts w:ascii="Times New Roman" w:hAnsi="Times New Roman" w:cs="Times New Roman"/>
              <w:szCs w:val="32"/>
            </w:rPr>
            <w:t>第一节 做强乡村振兴产业支撑</w:t>
          </w:r>
          <w:r>
            <w:tab/>
          </w:r>
          <w:r>
            <w:fldChar w:fldCharType="begin"/>
          </w:r>
          <w:r>
            <w:instrText xml:space="preserve"> PAGEREF _Toc7759 </w:instrText>
          </w:r>
          <w:r>
            <w:fldChar w:fldCharType="separate"/>
          </w:r>
          <w:r>
            <w:t>82</w:t>
          </w:r>
          <w:r>
            <w:fldChar w:fldCharType="end"/>
          </w:r>
          <w:r>
            <w:fldChar w:fldCharType="end"/>
          </w:r>
        </w:p>
        <w:p>
          <w:pPr>
            <w:pStyle w:val="12"/>
            <w:tabs>
              <w:tab w:val="right" w:leader="dot" w:pos="8844"/>
            </w:tabs>
            <w:spacing w:line="240" w:lineRule="auto"/>
            <w:ind w:left="560"/>
          </w:pPr>
          <w:r>
            <w:fldChar w:fldCharType="begin"/>
          </w:r>
          <w:r>
            <w:instrText xml:space="preserve"> HYPERLINK \l "_Toc20211" </w:instrText>
          </w:r>
          <w:r>
            <w:fldChar w:fldCharType="separate"/>
          </w:r>
          <w:r>
            <w:rPr>
              <w:rFonts w:ascii="Times New Roman" w:hAnsi="Times New Roman" w:cs="Times New Roman"/>
              <w:szCs w:val="32"/>
            </w:rPr>
            <w:t>第二节 完善乡村振兴基础保障</w:t>
          </w:r>
          <w:r>
            <w:tab/>
          </w:r>
          <w:r>
            <w:fldChar w:fldCharType="begin"/>
          </w:r>
          <w:r>
            <w:instrText xml:space="preserve"> PAGEREF _Toc20211 </w:instrText>
          </w:r>
          <w:r>
            <w:fldChar w:fldCharType="separate"/>
          </w:r>
          <w:r>
            <w:t>86</w:t>
          </w:r>
          <w:r>
            <w:fldChar w:fldCharType="end"/>
          </w:r>
          <w:r>
            <w:fldChar w:fldCharType="end"/>
          </w:r>
        </w:p>
        <w:p>
          <w:pPr>
            <w:pStyle w:val="12"/>
            <w:tabs>
              <w:tab w:val="right" w:leader="dot" w:pos="8844"/>
            </w:tabs>
            <w:spacing w:line="240" w:lineRule="auto"/>
            <w:ind w:left="560"/>
          </w:pPr>
          <w:r>
            <w:fldChar w:fldCharType="begin"/>
          </w:r>
          <w:r>
            <w:instrText xml:space="preserve"> HYPERLINK \l "_Toc26049" </w:instrText>
          </w:r>
          <w:r>
            <w:fldChar w:fldCharType="separate"/>
          </w:r>
          <w:r>
            <w:rPr>
              <w:rFonts w:ascii="Times New Roman" w:hAnsi="Times New Roman" w:cs="Times New Roman"/>
              <w:szCs w:val="32"/>
            </w:rPr>
            <w:t>第三节 提升乡村振兴服务体系</w:t>
          </w:r>
          <w:r>
            <w:tab/>
          </w:r>
          <w:r>
            <w:fldChar w:fldCharType="begin"/>
          </w:r>
          <w:r>
            <w:instrText xml:space="preserve"> PAGEREF _Toc26049 </w:instrText>
          </w:r>
          <w:r>
            <w:fldChar w:fldCharType="separate"/>
          </w:r>
          <w:r>
            <w:t>88</w:t>
          </w:r>
          <w:r>
            <w:fldChar w:fldCharType="end"/>
          </w:r>
          <w:r>
            <w:fldChar w:fldCharType="end"/>
          </w:r>
        </w:p>
        <w:p>
          <w:pPr>
            <w:pStyle w:val="12"/>
            <w:tabs>
              <w:tab w:val="right" w:leader="dot" w:pos="8844"/>
            </w:tabs>
            <w:spacing w:line="240" w:lineRule="auto"/>
            <w:ind w:left="560"/>
          </w:pPr>
          <w:r>
            <w:fldChar w:fldCharType="begin"/>
          </w:r>
          <w:r>
            <w:instrText xml:space="preserve"> HYPERLINK \l "_Toc3224" </w:instrText>
          </w:r>
          <w:r>
            <w:fldChar w:fldCharType="separate"/>
          </w:r>
          <w:r>
            <w:rPr>
              <w:rFonts w:ascii="Times New Roman" w:hAnsi="Times New Roman" w:cs="Times New Roman"/>
              <w:szCs w:val="32"/>
            </w:rPr>
            <w:t>第四节 提高乡村治理现代化水平</w:t>
          </w:r>
          <w:r>
            <w:tab/>
          </w:r>
          <w:r>
            <w:fldChar w:fldCharType="begin"/>
          </w:r>
          <w:r>
            <w:instrText xml:space="preserve"> PAGEREF _Toc3224 </w:instrText>
          </w:r>
          <w:r>
            <w:fldChar w:fldCharType="separate"/>
          </w:r>
          <w:r>
            <w:t>92</w:t>
          </w:r>
          <w:r>
            <w:fldChar w:fldCharType="end"/>
          </w:r>
          <w:r>
            <w:fldChar w:fldCharType="end"/>
          </w:r>
        </w:p>
        <w:p>
          <w:pPr>
            <w:pStyle w:val="12"/>
            <w:tabs>
              <w:tab w:val="right" w:leader="dot" w:pos="8844"/>
            </w:tabs>
            <w:spacing w:line="240" w:lineRule="auto"/>
            <w:ind w:left="560"/>
            <w:rPr>
              <w:rFonts w:ascii="Times New Roman" w:hAnsi="Times New Roman" w:eastAsia="仿宋_GB2312" w:cs="Times New Roman"/>
              <w:color w:val="000000" w:themeColor="text1"/>
              <w:szCs w:val="28"/>
              <w14:textFill>
                <w14:solidFill>
                  <w14:schemeClr w14:val="tx1"/>
                </w14:solidFill>
              </w14:textFill>
            </w:rPr>
          </w:pPr>
          <w:r>
            <w:fldChar w:fldCharType="begin"/>
          </w:r>
          <w:r>
            <w:instrText xml:space="preserve"> HYPERLINK \l "_Toc26113" </w:instrText>
          </w:r>
          <w:r>
            <w:fldChar w:fldCharType="separate"/>
          </w:r>
          <w:r>
            <w:rPr>
              <w:rFonts w:ascii="Times New Roman" w:hAnsi="Times New Roman" w:eastAsia="仿宋_GB2312" w:cs="Times New Roman"/>
              <w:color w:val="000000" w:themeColor="text1"/>
              <w:szCs w:val="28"/>
              <w14:textFill>
                <w14:solidFill>
                  <w14:schemeClr w14:val="tx1"/>
                </w14:solidFill>
              </w14:textFill>
            </w:rPr>
            <w:t>第五节 助力打好种业翻身仗</w:t>
          </w:r>
          <w:r>
            <w:rPr>
              <w:rFonts w:ascii="Times New Roman" w:hAnsi="Times New Roman" w:eastAsia="仿宋_GB2312" w:cs="Times New Roman"/>
              <w:color w:val="000000" w:themeColor="text1"/>
              <w:szCs w:val="28"/>
              <w14:textFill>
                <w14:solidFill>
                  <w14:schemeClr w14:val="tx1"/>
                </w14:solidFill>
              </w14:textFill>
            </w:rPr>
            <w:tab/>
          </w:r>
          <w:r>
            <w:rPr>
              <w:rFonts w:ascii="Times New Roman" w:hAnsi="Times New Roman" w:eastAsia="仿宋_GB2312" w:cs="Times New Roman"/>
              <w:color w:val="000000" w:themeColor="text1"/>
              <w:szCs w:val="28"/>
              <w14:textFill>
                <w14:solidFill>
                  <w14:schemeClr w14:val="tx1"/>
                </w14:solidFill>
              </w14:textFill>
            </w:rPr>
            <w:fldChar w:fldCharType="begin"/>
          </w:r>
          <w:r>
            <w:rPr>
              <w:rFonts w:ascii="Times New Roman" w:hAnsi="Times New Roman" w:eastAsia="仿宋_GB2312" w:cs="Times New Roman"/>
              <w:color w:val="000000" w:themeColor="text1"/>
              <w:szCs w:val="28"/>
              <w14:textFill>
                <w14:solidFill>
                  <w14:schemeClr w14:val="tx1"/>
                </w14:solidFill>
              </w14:textFill>
            </w:rPr>
            <w:instrText xml:space="preserve"> PAGEREF _Toc26113 </w:instrText>
          </w:r>
          <w:r>
            <w:rPr>
              <w:rFonts w:ascii="Times New Roman" w:hAnsi="Times New Roman" w:eastAsia="仿宋_GB2312" w:cs="Times New Roman"/>
              <w:color w:val="000000" w:themeColor="text1"/>
              <w:szCs w:val="28"/>
              <w14:textFill>
                <w14:solidFill>
                  <w14:schemeClr w14:val="tx1"/>
                </w14:solidFill>
              </w14:textFill>
            </w:rPr>
            <w:fldChar w:fldCharType="separate"/>
          </w:r>
          <w:r>
            <w:rPr>
              <w:rFonts w:ascii="Times New Roman" w:hAnsi="Times New Roman" w:eastAsia="仿宋_GB2312" w:cs="Times New Roman"/>
              <w:color w:val="000000" w:themeColor="text1"/>
              <w:szCs w:val="28"/>
              <w14:textFill>
                <w14:solidFill>
                  <w14:schemeClr w14:val="tx1"/>
                </w14:solidFill>
              </w14:textFill>
            </w:rPr>
            <w:t>94</w:t>
          </w:r>
          <w:r>
            <w:rPr>
              <w:rFonts w:ascii="Times New Roman" w:hAnsi="Times New Roman" w:eastAsia="仿宋_GB2312" w:cs="Times New Roman"/>
              <w:color w:val="000000" w:themeColor="text1"/>
              <w:szCs w:val="28"/>
              <w14:textFill>
                <w14:solidFill>
                  <w14:schemeClr w14:val="tx1"/>
                </w14:solidFill>
              </w14:textFill>
            </w:rPr>
            <w:fldChar w:fldCharType="end"/>
          </w:r>
          <w:r>
            <w:rPr>
              <w:rFonts w:ascii="Times New Roman" w:hAnsi="Times New Roman" w:eastAsia="仿宋_GB2312" w:cs="Times New Roman"/>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"_Toc231" </w:instrText>
          </w:r>
          <w:r>
            <w:fldChar w:fldCharType="separate"/>
          </w:r>
          <w:r>
            <w:rPr>
              <w:rFonts w:ascii="Times New Roman" w:hAnsi="Times New Roman" w:cs="Times New Roman"/>
              <w:szCs w:val="32"/>
            </w:rPr>
            <w:t>第六节 推进</w:t>
          </w:r>
          <w:r>
            <w:rPr>
              <w:rFonts w:hint="eastAsia" w:ascii="仿宋" w:hAnsi="仿宋" w:cs="Times New Roman"/>
              <w:szCs w:val="32"/>
            </w:rPr>
            <w:t>“</w:t>
          </w:r>
          <w:r>
            <w:rPr>
              <w:rFonts w:ascii="Times New Roman" w:hAnsi="Times New Roman" w:cs="Times New Roman"/>
              <w:szCs w:val="32"/>
            </w:rPr>
            <w:t>以工补农、以城带乡</w:t>
          </w:r>
          <w:r>
            <w:rPr>
              <w:rFonts w:hint="eastAsia" w:ascii="仿宋" w:hAnsi="仿宋" w:cs="Times New Roman"/>
              <w:szCs w:val="32"/>
            </w:rPr>
            <w:t>”</w:t>
          </w:r>
          <w:r>
            <w:rPr>
              <w:rFonts w:ascii="Times New Roman" w:hAnsi="Times New Roman" w:cs="Times New Roman"/>
              <w:szCs w:val="32"/>
            </w:rPr>
            <w:t>试点创新</w:t>
          </w:r>
          <w:r>
            <w:tab/>
          </w:r>
          <w:r>
            <w:fldChar w:fldCharType="begin"/>
          </w:r>
          <w:r>
            <w:instrText xml:space="preserve"> PAGEREF _Toc231 </w:instrText>
          </w:r>
          <w:r>
            <w:fldChar w:fldCharType="separate"/>
          </w:r>
          <w:r>
            <w:t>98</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"_Toc18434"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第九章 优化区域布局 加快推进新型城镇化</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_Toc18434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100</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"_Toc17342" </w:instrText>
          </w:r>
          <w:r>
            <w:fldChar w:fldCharType="separate"/>
          </w:r>
          <w:r>
            <w:rPr>
              <w:rFonts w:ascii="Times New Roman" w:hAnsi="Times New Roman" w:cs="Times New Roman"/>
              <w:szCs w:val="32"/>
            </w:rPr>
            <w:t>第一节 建立空间规划体系</w:t>
          </w:r>
          <w:r>
            <w:tab/>
          </w:r>
          <w:r>
            <w:fldChar w:fldCharType="begin"/>
          </w:r>
          <w:r>
            <w:instrText xml:space="preserve"> PAGEREF _Toc17342 </w:instrText>
          </w:r>
          <w:r>
            <w:fldChar w:fldCharType="separate"/>
          </w:r>
          <w:r>
            <w:t>100</w:t>
          </w:r>
          <w:r>
            <w:fldChar w:fldCharType="end"/>
          </w:r>
          <w:r>
            <w:fldChar w:fldCharType="end"/>
          </w:r>
        </w:p>
        <w:p>
          <w:pPr>
            <w:pStyle w:val="12"/>
            <w:tabs>
              <w:tab w:val="right" w:leader="dot" w:pos="8844"/>
            </w:tabs>
            <w:spacing w:line="240" w:lineRule="auto"/>
            <w:ind w:left="560"/>
          </w:pPr>
          <w:r>
            <w:fldChar w:fldCharType="begin"/>
          </w:r>
          <w:r>
            <w:instrText xml:space="preserve"> HYPERLINK \l "_Toc21520" </w:instrText>
          </w:r>
          <w:r>
            <w:fldChar w:fldCharType="separate"/>
          </w:r>
          <w:r>
            <w:rPr>
              <w:rFonts w:ascii="Times New Roman" w:hAnsi="Times New Roman" w:cs="Times New Roman"/>
              <w:szCs w:val="32"/>
            </w:rPr>
            <w:t>第二节 建设宜居宜业省域副中心城市</w:t>
          </w:r>
          <w:r>
            <w:tab/>
          </w:r>
          <w:r>
            <w:fldChar w:fldCharType="begin"/>
          </w:r>
          <w:r>
            <w:instrText xml:space="preserve"> PAGEREF _Toc21520 </w:instrText>
          </w:r>
          <w:r>
            <w:fldChar w:fldCharType="separate"/>
          </w:r>
          <w:r>
            <w:t>101</w:t>
          </w:r>
          <w:r>
            <w:fldChar w:fldCharType="end"/>
          </w:r>
          <w:r>
            <w:fldChar w:fldCharType="end"/>
          </w:r>
        </w:p>
        <w:p>
          <w:pPr>
            <w:pStyle w:val="12"/>
            <w:tabs>
              <w:tab w:val="right" w:leader="dot" w:pos="8844"/>
            </w:tabs>
            <w:spacing w:line="240" w:lineRule="auto"/>
            <w:ind w:left="560"/>
          </w:pPr>
          <w:r>
            <w:fldChar w:fldCharType="begin"/>
          </w:r>
          <w:r>
            <w:instrText xml:space="preserve"> HYPERLINK \l "_Toc29817" </w:instrText>
          </w:r>
          <w:r>
            <w:fldChar w:fldCharType="separate"/>
          </w:r>
          <w:r>
            <w:rPr>
              <w:rFonts w:ascii="Times New Roman" w:hAnsi="Times New Roman" w:cs="Times New Roman"/>
              <w:szCs w:val="32"/>
            </w:rPr>
            <w:t>第三节 推动县域经济高质量发展</w:t>
          </w:r>
          <w:r>
            <w:tab/>
          </w:r>
          <w:r>
            <w:fldChar w:fldCharType="begin"/>
          </w:r>
          <w:r>
            <w:instrText xml:space="preserve"> PAGEREF _Toc29817 </w:instrText>
          </w:r>
          <w:r>
            <w:fldChar w:fldCharType="separate"/>
          </w:r>
          <w:r>
            <w:t>104</w:t>
          </w:r>
          <w:r>
            <w:fldChar w:fldCharType="end"/>
          </w:r>
          <w:r>
            <w:fldChar w:fldCharType="end"/>
          </w:r>
        </w:p>
        <w:p>
          <w:pPr>
            <w:pStyle w:val="12"/>
            <w:tabs>
              <w:tab w:val="right" w:leader="dot" w:pos="8844"/>
            </w:tabs>
            <w:spacing w:line="240" w:lineRule="auto"/>
            <w:ind w:left="560"/>
          </w:pPr>
          <w:r>
            <w:fldChar w:fldCharType="begin"/>
          </w:r>
          <w:r>
            <w:instrText xml:space="preserve"> HYPERLINK \l "_Toc19285" </w:instrText>
          </w:r>
          <w:r>
            <w:fldChar w:fldCharType="separate"/>
          </w:r>
          <w:r>
            <w:rPr>
              <w:rFonts w:ascii="Times New Roman" w:hAnsi="Times New Roman" w:cs="Times New Roman"/>
              <w:szCs w:val="32"/>
            </w:rPr>
            <w:t>第四节 加快推进城乡一体化发展进程</w:t>
          </w:r>
          <w:r>
            <w:tab/>
          </w:r>
          <w:r>
            <w:fldChar w:fldCharType="begin"/>
          </w:r>
          <w:r>
            <w:instrText xml:space="preserve"> PAGEREF _Toc19285 </w:instrText>
          </w:r>
          <w:r>
            <w:fldChar w:fldCharType="separate"/>
          </w:r>
          <w:r>
            <w:t>107</w:t>
          </w:r>
          <w:r>
            <w:fldChar w:fldCharType="end"/>
          </w:r>
          <w:r>
            <w:fldChar w:fldCharType="end"/>
          </w:r>
        </w:p>
        <w:p>
          <w:pPr>
            <w:pStyle w:val="12"/>
            <w:tabs>
              <w:tab w:val="right" w:leader="dot" w:pos="8844"/>
            </w:tabs>
            <w:spacing w:line="240" w:lineRule="auto"/>
            <w:ind w:left="560"/>
          </w:pPr>
          <w:r>
            <w:fldChar w:fldCharType="begin"/>
          </w:r>
          <w:r>
            <w:instrText xml:space="preserve"> HYPERLINK \l "_Toc23018" </w:instrText>
          </w:r>
          <w:r>
            <w:fldChar w:fldCharType="separate"/>
          </w:r>
          <w:r>
            <w:t>第五节 促进特色小镇规范健康发展</w:t>
          </w:r>
          <w:r>
            <w:tab/>
          </w:r>
          <w:r>
            <w:rPr>
              <w:rFonts w:hint="eastAsia"/>
            </w:rPr>
            <w:t>1</w:t>
          </w:r>
          <w:r>
            <w:rPr>
              <w:rFonts w:hint="eastAsia"/>
            </w:rPr>
            <w:fldChar w:fldCharType="end"/>
          </w:r>
          <w:r>
            <w:rPr>
              <w:rFonts w:hint="eastAsia"/>
            </w:rPr>
            <w:t>08</w:t>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"_Toc611"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第十章 完善综合交通网 构建现代流通体系</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_Toc611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112</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"_Toc9021" </w:instrText>
          </w:r>
          <w:r>
            <w:fldChar w:fldCharType="separate"/>
          </w:r>
          <w:r>
            <w:rPr>
              <w:rFonts w:ascii="Times New Roman" w:hAnsi="Times New Roman" w:cs="Times New Roman"/>
              <w:szCs w:val="32"/>
            </w:rPr>
            <w:t>第一节 完善交通主骨架</w:t>
          </w:r>
          <w:r>
            <w:tab/>
          </w:r>
          <w:r>
            <w:fldChar w:fldCharType="begin"/>
          </w:r>
          <w:r>
            <w:instrText xml:space="preserve"> PAGEREF _Toc9021 </w:instrText>
          </w:r>
          <w:r>
            <w:fldChar w:fldCharType="separate"/>
          </w:r>
          <w:r>
            <w:t>112</w:t>
          </w:r>
          <w:r>
            <w:fldChar w:fldCharType="end"/>
          </w:r>
          <w:r>
            <w:fldChar w:fldCharType="end"/>
          </w:r>
        </w:p>
        <w:p>
          <w:pPr>
            <w:pStyle w:val="12"/>
            <w:tabs>
              <w:tab w:val="right" w:leader="dot" w:pos="8844"/>
            </w:tabs>
            <w:spacing w:line="240" w:lineRule="auto"/>
            <w:ind w:left="560"/>
          </w:pPr>
          <w:r>
            <w:fldChar w:fldCharType="begin"/>
          </w:r>
          <w:r>
            <w:instrText xml:space="preserve"> HYPERLINK \l "_Toc27919" </w:instrText>
          </w:r>
          <w:r>
            <w:fldChar w:fldCharType="separate"/>
          </w:r>
          <w:r>
            <w:rPr>
              <w:rFonts w:ascii="Times New Roman" w:hAnsi="Times New Roman" w:cs="Times New Roman"/>
              <w:szCs w:val="32"/>
            </w:rPr>
            <w:t>第二节 畅通交通内循环</w:t>
          </w:r>
          <w:r>
            <w:tab/>
          </w:r>
          <w:r>
            <w:fldChar w:fldCharType="begin"/>
          </w:r>
          <w:r>
            <w:instrText xml:space="preserve"> PAGEREF _Toc27919 </w:instrText>
          </w:r>
          <w:r>
            <w:fldChar w:fldCharType="separate"/>
          </w:r>
          <w:r>
            <w:t>117</w:t>
          </w:r>
          <w:r>
            <w:fldChar w:fldCharType="end"/>
          </w:r>
          <w:r>
            <w:fldChar w:fldCharType="end"/>
          </w:r>
        </w:p>
        <w:p>
          <w:pPr>
            <w:pStyle w:val="12"/>
            <w:tabs>
              <w:tab w:val="right" w:leader="dot" w:pos="8844"/>
            </w:tabs>
            <w:spacing w:line="240" w:lineRule="auto"/>
            <w:ind w:left="560"/>
          </w:pPr>
          <w:r>
            <w:fldChar w:fldCharType="begin"/>
          </w:r>
          <w:r>
            <w:instrText xml:space="preserve"> HYPERLINK \l "_Toc3619" </w:instrText>
          </w:r>
          <w:r>
            <w:fldChar w:fldCharType="separate"/>
          </w:r>
          <w:r>
            <w:rPr>
              <w:rFonts w:ascii="Times New Roman" w:hAnsi="Times New Roman" w:cs="Times New Roman"/>
              <w:szCs w:val="32"/>
            </w:rPr>
            <w:t>第三节 促进物流大联通</w:t>
          </w:r>
          <w:r>
            <w:tab/>
          </w:r>
          <w:r>
            <w:fldChar w:fldCharType="begin"/>
          </w:r>
          <w:r>
            <w:instrText xml:space="preserve"> PAGEREF _Toc3619 </w:instrText>
          </w:r>
          <w:r>
            <w:fldChar w:fldCharType="separate"/>
          </w:r>
          <w:r>
            <w:t>119</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"_Toc17932"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第十一章 强化基础配套 夯实高质量发展新支撑</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_Toc17932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122</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"_Toc4534" </w:instrText>
          </w:r>
          <w:r>
            <w:fldChar w:fldCharType="separate"/>
          </w:r>
          <w:r>
            <w:rPr>
              <w:rFonts w:ascii="Times New Roman" w:hAnsi="Times New Roman" w:cs="Times New Roman"/>
              <w:szCs w:val="32"/>
            </w:rPr>
            <w:t>第一节 夯实能源保障网</w:t>
          </w:r>
          <w:r>
            <w:tab/>
          </w:r>
          <w:r>
            <w:fldChar w:fldCharType="begin"/>
          </w:r>
          <w:r>
            <w:instrText xml:space="preserve"> PAGEREF _Toc4534 </w:instrText>
          </w:r>
          <w:r>
            <w:fldChar w:fldCharType="separate"/>
          </w:r>
          <w:r>
            <w:t>122</w:t>
          </w:r>
          <w:r>
            <w:fldChar w:fldCharType="end"/>
          </w:r>
          <w:r>
            <w:fldChar w:fldCharType="end"/>
          </w:r>
        </w:p>
        <w:p>
          <w:pPr>
            <w:pStyle w:val="12"/>
            <w:tabs>
              <w:tab w:val="right" w:leader="dot" w:pos="8844"/>
            </w:tabs>
            <w:spacing w:line="240" w:lineRule="auto"/>
            <w:ind w:left="560"/>
          </w:pPr>
          <w:r>
            <w:fldChar w:fldCharType="begin"/>
          </w:r>
          <w:r>
            <w:instrText xml:space="preserve"> HYPERLINK \l "_Toc9718" </w:instrText>
          </w:r>
          <w:r>
            <w:fldChar w:fldCharType="separate"/>
          </w:r>
          <w:r>
            <w:rPr>
              <w:rFonts w:ascii="Times New Roman" w:hAnsi="Times New Roman" w:cs="Times New Roman"/>
              <w:szCs w:val="32"/>
            </w:rPr>
            <w:t>第二节 推进水利网建设</w:t>
          </w:r>
          <w:r>
            <w:tab/>
          </w:r>
          <w:r>
            <w:fldChar w:fldCharType="begin"/>
          </w:r>
          <w:r>
            <w:instrText xml:space="preserve"> PAGEREF _Toc9718 </w:instrText>
          </w:r>
          <w:r>
            <w:fldChar w:fldCharType="separate"/>
          </w:r>
          <w:r>
            <w:t>124</w:t>
          </w:r>
          <w:r>
            <w:fldChar w:fldCharType="end"/>
          </w:r>
          <w:r>
            <w:fldChar w:fldCharType="end"/>
          </w:r>
        </w:p>
        <w:p>
          <w:pPr>
            <w:pStyle w:val="12"/>
            <w:tabs>
              <w:tab w:val="right" w:leader="dot" w:pos="8844"/>
            </w:tabs>
            <w:spacing w:line="240" w:lineRule="auto"/>
            <w:ind w:left="560"/>
            <w:rPr>
              <w:rFonts w:ascii="Times New Roman" w:hAnsi="Times New Roman" w:eastAsia="仿宋_GB2312" w:cs="Times New Roman"/>
              <w:color w:val="000000" w:themeColor="text1"/>
              <w:szCs w:val="28"/>
              <w14:textFill>
                <w14:solidFill>
                  <w14:schemeClr w14:val="tx1"/>
                </w14:solidFill>
              </w14:textFill>
            </w:rPr>
          </w:pPr>
          <w:r>
            <w:fldChar w:fldCharType="begin"/>
          </w:r>
          <w:r>
            <w:instrText xml:space="preserve"> HYPERLINK \l "_Toc20266" </w:instrText>
          </w:r>
          <w:r>
            <w:fldChar w:fldCharType="separate"/>
          </w:r>
          <w:r>
            <w:rPr>
              <w:rFonts w:ascii="Times New Roman" w:hAnsi="Times New Roman" w:eastAsia="仿宋_GB2312" w:cs="Times New Roman"/>
              <w:color w:val="000000" w:themeColor="text1"/>
              <w:szCs w:val="28"/>
              <w14:textFill>
                <w14:solidFill>
                  <w14:schemeClr w14:val="tx1"/>
                </w14:solidFill>
              </w14:textFill>
            </w:rPr>
            <w:t>第三节 推进互联网建设</w:t>
          </w:r>
          <w:r>
            <w:rPr>
              <w:rFonts w:ascii="Times New Roman" w:hAnsi="Times New Roman" w:eastAsia="仿宋_GB2312" w:cs="Times New Roman"/>
              <w:color w:val="000000" w:themeColor="text1"/>
              <w:szCs w:val="28"/>
              <w14:textFill>
                <w14:solidFill>
                  <w14:schemeClr w14:val="tx1"/>
                </w14:solidFill>
              </w14:textFill>
            </w:rPr>
            <w:tab/>
          </w:r>
          <w:r>
            <w:rPr>
              <w:rFonts w:ascii="Times New Roman" w:hAnsi="Times New Roman" w:eastAsia="仿宋_GB2312" w:cs="Times New Roman"/>
              <w:color w:val="000000" w:themeColor="text1"/>
              <w:szCs w:val="28"/>
              <w14:textFill>
                <w14:solidFill>
                  <w14:schemeClr w14:val="tx1"/>
                </w14:solidFill>
              </w14:textFill>
            </w:rPr>
            <w:fldChar w:fldCharType="begin"/>
          </w:r>
          <w:r>
            <w:rPr>
              <w:rFonts w:ascii="Times New Roman" w:hAnsi="Times New Roman" w:eastAsia="仿宋_GB2312" w:cs="Times New Roman"/>
              <w:color w:val="000000" w:themeColor="text1"/>
              <w:szCs w:val="28"/>
              <w14:textFill>
                <w14:solidFill>
                  <w14:schemeClr w14:val="tx1"/>
                </w14:solidFill>
              </w14:textFill>
            </w:rPr>
            <w:instrText xml:space="preserve"> PAGEREF _Toc20266 </w:instrText>
          </w:r>
          <w:r>
            <w:rPr>
              <w:rFonts w:ascii="Times New Roman" w:hAnsi="Times New Roman" w:eastAsia="仿宋_GB2312" w:cs="Times New Roman"/>
              <w:color w:val="000000" w:themeColor="text1"/>
              <w:szCs w:val="28"/>
              <w14:textFill>
                <w14:solidFill>
                  <w14:schemeClr w14:val="tx1"/>
                </w14:solidFill>
              </w14:textFill>
            </w:rPr>
            <w:fldChar w:fldCharType="separate"/>
          </w:r>
          <w:r>
            <w:rPr>
              <w:rFonts w:ascii="Times New Roman" w:hAnsi="Times New Roman" w:eastAsia="仿宋_GB2312" w:cs="Times New Roman"/>
              <w:color w:val="000000" w:themeColor="text1"/>
              <w:szCs w:val="28"/>
              <w14:textFill>
                <w14:solidFill>
                  <w14:schemeClr w14:val="tx1"/>
                </w14:solidFill>
              </w14:textFill>
            </w:rPr>
            <w:t>126</w:t>
          </w:r>
          <w:r>
            <w:rPr>
              <w:rFonts w:ascii="Times New Roman" w:hAnsi="Times New Roman" w:eastAsia="仿宋_GB2312" w:cs="Times New Roman"/>
              <w:color w:val="000000" w:themeColor="text1"/>
              <w:szCs w:val="28"/>
              <w14:textFill>
                <w14:solidFill>
                  <w14:schemeClr w14:val="tx1"/>
                </w14:solidFill>
              </w14:textFill>
            </w:rPr>
            <w:fldChar w:fldCharType="end"/>
          </w:r>
          <w:r>
            <w:rPr>
              <w:rFonts w:ascii="Times New Roman" w:hAnsi="Times New Roman" w:eastAsia="仿宋_GB2312" w:cs="Times New Roman"/>
              <w:color w:val="000000" w:themeColor="text1"/>
              <w:szCs w:val="28"/>
              <w14:textFill>
                <w14:solidFill>
                  <w14:schemeClr w14:val="tx1"/>
                </w14:solidFill>
              </w14:textFill>
            </w:rP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"_Toc32423"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第十二章 坚持共享发展 着力推动改善民生民利</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_Toc32423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129</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"_Toc6167" </w:instrText>
          </w:r>
          <w:r>
            <w:fldChar w:fldCharType="separate"/>
          </w:r>
          <w:r>
            <w:rPr>
              <w:rFonts w:ascii="Times New Roman" w:hAnsi="Times New Roman" w:cs="Times New Roman"/>
              <w:szCs w:val="32"/>
            </w:rPr>
            <w:t>第一节 织密织牢教育网</w:t>
          </w:r>
          <w:r>
            <w:tab/>
          </w:r>
          <w:r>
            <w:fldChar w:fldCharType="begin"/>
          </w:r>
          <w:r>
            <w:instrText xml:space="preserve"> PAGEREF _Toc6167 </w:instrText>
          </w:r>
          <w:r>
            <w:fldChar w:fldCharType="separate"/>
          </w:r>
          <w:r>
            <w:t>129</w:t>
          </w:r>
          <w:r>
            <w:fldChar w:fldCharType="end"/>
          </w:r>
          <w:r>
            <w:fldChar w:fldCharType="end"/>
          </w:r>
        </w:p>
        <w:p>
          <w:pPr>
            <w:pStyle w:val="12"/>
            <w:tabs>
              <w:tab w:val="right" w:leader="dot" w:pos="8844"/>
            </w:tabs>
            <w:spacing w:line="240" w:lineRule="auto"/>
            <w:ind w:left="560"/>
          </w:pPr>
          <w:r>
            <w:fldChar w:fldCharType="begin"/>
          </w:r>
          <w:r>
            <w:instrText xml:space="preserve"> HYPERLINK \l "_Toc6275" </w:instrText>
          </w:r>
          <w:r>
            <w:fldChar w:fldCharType="separate"/>
          </w:r>
          <w:r>
            <w:rPr>
              <w:rFonts w:ascii="Times New Roman" w:hAnsi="Times New Roman" w:cs="Times New Roman"/>
              <w:szCs w:val="32"/>
            </w:rPr>
            <w:t>第二节 健全社会保障体系</w:t>
          </w:r>
          <w:r>
            <w:tab/>
          </w:r>
          <w:r>
            <w:fldChar w:fldCharType="begin"/>
          </w:r>
          <w:r>
            <w:instrText xml:space="preserve"> PAGEREF _Toc6275 </w:instrText>
          </w:r>
          <w:r>
            <w:fldChar w:fldCharType="separate"/>
          </w:r>
          <w:r>
            <w:t>133</w:t>
          </w:r>
          <w:r>
            <w:fldChar w:fldCharType="end"/>
          </w:r>
          <w:r>
            <w:fldChar w:fldCharType="end"/>
          </w:r>
        </w:p>
        <w:p>
          <w:pPr>
            <w:pStyle w:val="12"/>
            <w:tabs>
              <w:tab w:val="right" w:leader="dot" w:pos="8844"/>
            </w:tabs>
            <w:spacing w:line="240" w:lineRule="auto"/>
            <w:ind w:left="560"/>
          </w:pPr>
          <w:r>
            <w:fldChar w:fldCharType="begin"/>
          </w:r>
          <w:r>
            <w:instrText xml:space="preserve"> HYPERLINK \l "_Toc9144" </w:instrText>
          </w:r>
          <w:r>
            <w:fldChar w:fldCharType="separate"/>
          </w:r>
          <w:r>
            <w:rPr>
              <w:rFonts w:ascii="Times New Roman" w:hAnsi="Times New Roman" w:cs="Times New Roman"/>
              <w:szCs w:val="32"/>
            </w:rPr>
            <w:t>第三节 提高人民收入水平</w:t>
          </w:r>
          <w:r>
            <w:tab/>
          </w:r>
          <w:r>
            <w:fldChar w:fldCharType="begin"/>
          </w:r>
          <w:r>
            <w:instrText xml:space="preserve"> PAGEREF _Toc9144 </w:instrText>
          </w:r>
          <w:r>
            <w:fldChar w:fldCharType="separate"/>
          </w:r>
          <w:r>
            <w:t>136</w:t>
          </w:r>
          <w:r>
            <w:fldChar w:fldCharType="end"/>
          </w:r>
          <w:r>
            <w:fldChar w:fldCharType="end"/>
          </w:r>
        </w:p>
        <w:p>
          <w:pPr>
            <w:pStyle w:val="12"/>
            <w:tabs>
              <w:tab w:val="right" w:leader="dot" w:pos="8844"/>
            </w:tabs>
            <w:spacing w:line="240" w:lineRule="auto"/>
            <w:ind w:left="560"/>
          </w:pPr>
          <w:r>
            <w:fldChar w:fldCharType="begin"/>
          </w:r>
          <w:r>
            <w:instrText xml:space="preserve"> HYPERLINK \l "_Toc17564" </w:instrText>
          </w:r>
          <w:r>
            <w:fldChar w:fldCharType="separate"/>
          </w:r>
          <w:r>
            <w:rPr>
              <w:rFonts w:ascii="Times New Roman" w:hAnsi="Times New Roman" w:cs="Times New Roman"/>
              <w:szCs w:val="32"/>
            </w:rPr>
            <w:t>第四节 推进健康邵阳建设</w:t>
          </w:r>
          <w:r>
            <w:tab/>
          </w:r>
          <w:r>
            <w:fldChar w:fldCharType="begin"/>
          </w:r>
          <w:r>
            <w:instrText xml:space="preserve"> PAGEREF _Toc17564 </w:instrText>
          </w:r>
          <w:r>
            <w:fldChar w:fldCharType="separate"/>
          </w:r>
          <w:r>
            <w:t>139</w:t>
          </w:r>
          <w:r>
            <w:fldChar w:fldCharType="end"/>
          </w:r>
          <w:r>
            <w:fldChar w:fldCharType="end"/>
          </w:r>
        </w:p>
        <w:p>
          <w:pPr>
            <w:pStyle w:val="12"/>
            <w:tabs>
              <w:tab w:val="right" w:leader="dot" w:pos="8844"/>
            </w:tabs>
            <w:spacing w:line="240" w:lineRule="auto"/>
            <w:ind w:left="560"/>
          </w:pPr>
          <w:r>
            <w:fldChar w:fldCharType="begin"/>
          </w:r>
          <w:r>
            <w:instrText xml:space="preserve"> HYPERLINK \l "_Toc8851" </w:instrText>
          </w:r>
          <w:r>
            <w:fldChar w:fldCharType="separate"/>
          </w:r>
          <w:r>
            <w:rPr>
              <w:rFonts w:ascii="Times New Roman" w:hAnsi="Times New Roman" w:cs="Times New Roman"/>
              <w:szCs w:val="32"/>
            </w:rPr>
            <w:t>第五节 促进人口均衡发展</w:t>
          </w:r>
          <w:r>
            <w:tab/>
          </w:r>
          <w:r>
            <w:fldChar w:fldCharType="begin"/>
          </w:r>
          <w:r>
            <w:instrText xml:space="preserve"> PAGEREF _Toc8851 </w:instrText>
          </w:r>
          <w:r>
            <w:fldChar w:fldCharType="separate"/>
          </w:r>
          <w:r>
            <w:t>142</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"_Toc28214"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第十三章 坚定文化自信 打造湘中湘西南文化体育中心</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_Toc28214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147</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"_Toc9320" </w:instrText>
          </w:r>
          <w:r>
            <w:fldChar w:fldCharType="separate"/>
          </w:r>
          <w:r>
            <w:rPr>
              <w:rFonts w:ascii="Times New Roman" w:hAnsi="Times New Roman" w:cs="Times New Roman"/>
              <w:szCs w:val="32"/>
            </w:rPr>
            <w:t>第一节 弘扬社会主义核心价值观</w:t>
          </w:r>
          <w:r>
            <w:tab/>
          </w:r>
          <w:r>
            <w:fldChar w:fldCharType="begin"/>
          </w:r>
          <w:r>
            <w:instrText xml:space="preserve"> PAGEREF _Toc9320 </w:instrText>
          </w:r>
          <w:r>
            <w:fldChar w:fldCharType="separate"/>
          </w:r>
          <w:r>
            <w:t>147</w:t>
          </w:r>
          <w:r>
            <w:fldChar w:fldCharType="end"/>
          </w:r>
          <w:r>
            <w:fldChar w:fldCharType="end"/>
          </w:r>
        </w:p>
        <w:p>
          <w:pPr>
            <w:pStyle w:val="12"/>
            <w:tabs>
              <w:tab w:val="right" w:leader="dot" w:pos="8844"/>
            </w:tabs>
            <w:spacing w:line="240" w:lineRule="auto"/>
            <w:ind w:left="560"/>
          </w:pPr>
          <w:r>
            <w:fldChar w:fldCharType="begin"/>
          </w:r>
          <w:r>
            <w:instrText xml:space="preserve"> HYPERLINK \l "_Toc6510" </w:instrText>
          </w:r>
          <w:r>
            <w:fldChar w:fldCharType="separate"/>
          </w:r>
          <w:r>
            <w:rPr>
              <w:rFonts w:ascii="Times New Roman" w:hAnsi="Times New Roman" w:cs="Times New Roman"/>
              <w:szCs w:val="32"/>
            </w:rPr>
            <w:t>第二节 繁荣公共文化事业</w:t>
          </w:r>
          <w:r>
            <w:tab/>
          </w:r>
          <w:r>
            <w:fldChar w:fldCharType="begin"/>
          </w:r>
          <w:r>
            <w:instrText xml:space="preserve"> PAGEREF _Toc6510 </w:instrText>
          </w:r>
          <w:r>
            <w:fldChar w:fldCharType="separate"/>
          </w:r>
          <w:r>
            <w:t>148</w:t>
          </w:r>
          <w:r>
            <w:fldChar w:fldCharType="end"/>
          </w:r>
          <w:r>
            <w:fldChar w:fldCharType="end"/>
          </w:r>
        </w:p>
        <w:p>
          <w:pPr>
            <w:pStyle w:val="12"/>
            <w:tabs>
              <w:tab w:val="right" w:leader="dot" w:pos="8844"/>
            </w:tabs>
            <w:spacing w:line="240" w:lineRule="auto"/>
            <w:ind w:left="560"/>
          </w:pPr>
          <w:r>
            <w:fldChar w:fldCharType="begin"/>
          </w:r>
          <w:r>
            <w:instrText xml:space="preserve"> HYPERLINK \l "_Toc2746" </w:instrText>
          </w:r>
          <w:r>
            <w:fldChar w:fldCharType="separate"/>
          </w:r>
          <w:r>
            <w:rPr>
              <w:rFonts w:ascii="Times New Roman" w:hAnsi="Times New Roman" w:cs="Times New Roman"/>
              <w:szCs w:val="32"/>
            </w:rPr>
            <w:t>第三节 发展壮大现代文化产业</w:t>
          </w:r>
          <w:r>
            <w:tab/>
          </w:r>
          <w:r>
            <w:fldChar w:fldCharType="begin"/>
          </w:r>
          <w:r>
            <w:instrText xml:space="preserve"> PAGEREF _Toc2746 </w:instrText>
          </w:r>
          <w:r>
            <w:fldChar w:fldCharType="separate"/>
          </w:r>
          <w:r>
            <w:t>153</w:t>
          </w:r>
          <w:r>
            <w:fldChar w:fldCharType="end"/>
          </w:r>
          <w:r>
            <w:fldChar w:fldCharType="end"/>
          </w:r>
        </w:p>
        <w:p>
          <w:pPr>
            <w:pStyle w:val="12"/>
            <w:tabs>
              <w:tab w:val="right" w:leader="dot" w:pos="8844"/>
            </w:tabs>
            <w:spacing w:line="240" w:lineRule="auto"/>
            <w:ind w:left="560"/>
          </w:pPr>
          <w:r>
            <w:fldChar w:fldCharType="begin"/>
          </w:r>
          <w:r>
            <w:instrText xml:space="preserve"> HYPERLINK \l "_Toc16434" </w:instrText>
          </w:r>
          <w:r>
            <w:fldChar w:fldCharType="separate"/>
          </w:r>
          <w:r>
            <w:rPr>
              <w:rFonts w:ascii="Times New Roman" w:hAnsi="Times New Roman" w:cs="Times New Roman"/>
              <w:szCs w:val="32"/>
            </w:rPr>
            <w:t>第四节 创新文旅广体融合发展</w:t>
          </w:r>
          <w:r>
            <w:tab/>
          </w:r>
          <w:r>
            <w:fldChar w:fldCharType="begin"/>
          </w:r>
          <w:r>
            <w:instrText xml:space="preserve"> PAGEREF _Toc16434 </w:instrText>
          </w:r>
          <w:r>
            <w:fldChar w:fldCharType="separate"/>
          </w:r>
          <w:r>
            <w:t>155</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"_Toc21603"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第十四章 坚持绿色发展 打造生态文明建设新样板</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_Toc21603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161</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"_Toc18416" </w:instrText>
          </w:r>
          <w:r>
            <w:fldChar w:fldCharType="separate"/>
          </w:r>
          <w:r>
            <w:rPr>
              <w:rFonts w:ascii="Times New Roman" w:hAnsi="Times New Roman" w:cs="Times New Roman"/>
              <w:szCs w:val="32"/>
            </w:rPr>
            <w:t>第一节 集约节约利用资源</w:t>
          </w:r>
          <w:r>
            <w:tab/>
          </w:r>
          <w:r>
            <w:fldChar w:fldCharType="begin"/>
          </w:r>
          <w:r>
            <w:instrText xml:space="preserve"> PAGEREF _Toc18416 </w:instrText>
          </w:r>
          <w:r>
            <w:fldChar w:fldCharType="separate"/>
          </w:r>
          <w:r>
            <w:t>161</w:t>
          </w:r>
          <w:r>
            <w:fldChar w:fldCharType="end"/>
          </w:r>
          <w:r>
            <w:fldChar w:fldCharType="end"/>
          </w:r>
        </w:p>
        <w:p>
          <w:pPr>
            <w:pStyle w:val="12"/>
            <w:tabs>
              <w:tab w:val="right" w:leader="dot" w:pos="8844"/>
            </w:tabs>
            <w:spacing w:line="240" w:lineRule="auto"/>
            <w:ind w:left="560"/>
          </w:pPr>
          <w:r>
            <w:fldChar w:fldCharType="begin"/>
          </w:r>
          <w:r>
            <w:instrText xml:space="preserve"> HYPERLINK \l "_Toc13083" </w:instrText>
          </w:r>
          <w:r>
            <w:fldChar w:fldCharType="separate"/>
          </w:r>
          <w:r>
            <w:rPr>
              <w:rFonts w:ascii="Times New Roman" w:hAnsi="Times New Roman" w:cs="Times New Roman"/>
              <w:szCs w:val="32"/>
            </w:rPr>
            <w:t>第二节 加强生态保护修复</w:t>
          </w:r>
          <w:r>
            <w:tab/>
          </w:r>
          <w:r>
            <w:fldChar w:fldCharType="begin"/>
          </w:r>
          <w:r>
            <w:instrText xml:space="preserve"> PAGEREF _Toc13083 </w:instrText>
          </w:r>
          <w:r>
            <w:fldChar w:fldCharType="separate"/>
          </w:r>
          <w:r>
            <w:t>162</w:t>
          </w:r>
          <w:r>
            <w:fldChar w:fldCharType="end"/>
          </w:r>
          <w:r>
            <w:fldChar w:fldCharType="end"/>
          </w:r>
        </w:p>
        <w:p>
          <w:pPr>
            <w:pStyle w:val="12"/>
            <w:tabs>
              <w:tab w:val="right" w:leader="dot" w:pos="8844"/>
            </w:tabs>
            <w:spacing w:line="240" w:lineRule="auto"/>
            <w:ind w:left="560"/>
            <w:rPr>
              <w:rFonts w:ascii="Times New Roman" w:hAnsi="Times New Roman" w:eastAsia="仿宋_GB2312" w:cs="Times New Roman"/>
              <w:color w:val="000000" w:themeColor="text1"/>
              <w:szCs w:val="28"/>
              <w14:textFill>
                <w14:solidFill>
                  <w14:schemeClr w14:val="tx1"/>
                </w14:solidFill>
              </w14:textFill>
            </w:rPr>
          </w:pPr>
          <w:r>
            <w:fldChar w:fldCharType="begin"/>
          </w:r>
          <w:r>
            <w:instrText xml:space="preserve"> HYPERLINK \l "_Toc23961" </w:instrText>
          </w:r>
          <w:r>
            <w:fldChar w:fldCharType="separate"/>
          </w:r>
          <w:r>
            <w:rPr>
              <w:rFonts w:ascii="Times New Roman" w:hAnsi="Times New Roman" w:eastAsia="仿宋_GB2312" w:cs="Times New Roman"/>
              <w:color w:val="000000" w:themeColor="text1"/>
              <w:szCs w:val="28"/>
              <w14:textFill>
                <w14:solidFill>
                  <w14:schemeClr w14:val="tx1"/>
                </w14:solidFill>
              </w14:textFill>
            </w:rPr>
            <w:t>第三节 推动南山国家公园保护建设</w:t>
          </w:r>
          <w:r>
            <w:rPr>
              <w:rFonts w:ascii="Times New Roman" w:hAnsi="Times New Roman" w:eastAsia="仿宋_GB2312" w:cs="Times New Roman"/>
              <w:color w:val="000000" w:themeColor="text1"/>
              <w:szCs w:val="28"/>
              <w14:textFill>
                <w14:solidFill>
                  <w14:schemeClr w14:val="tx1"/>
                </w14:solidFill>
              </w14:textFill>
            </w:rPr>
            <w:tab/>
          </w:r>
          <w:r>
            <w:rPr>
              <w:rFonts w:ascii="Times New Roman" w:hAnsi="Times New Roman" w:eastAsia="仿宋_GB2312" w:cs="Times New Roman"/>
              <w:color w:val="000000" w:themeColor="text1"/>
              <w:szCs w:val="28"/>
              <w14:textFill>
                <w14:solidFill>
                  <w14:schemeClr w14:val="tx1"/>
                </w14:solidFill>
              </w14:textFill>
            </w:rPr>
            <w:fldChar w:fldCharType="begin"/>
          </w:r>
          <w:r>
            <w:rPr>
              <w:rFonts w:ascii="Times New Roman" w:hAnsi="Times New Roman" w:eastAsia="仿宋_GB2312" w:cs="Times New Roman"/>
              <w:color w:val="000000" w:themeColor="text1"/>
              <w:szCs w:val="28"/>
              <w14:textFill>
                <w14:solidFill>
                  <w14:schemeClr w14:val="tx1"/>
                </w14:solidFill>
              </w14:textFill>
            </w:rPr>
            <w:instrText xml:space="preserve"> PAGEREF _Toc23961 </w:instrText>
          </w:r>
          <w:r>
            <w:rPr>
              <w:rFonts w:ascii="Times New Roman" w:hAnsi="Times New Roman" w:eastAsia="仿宋_GB2312" w:cs="Times New Roman"/>
              <w:color w:val="000000" w:themeColor="text1"/>
              <w:szCs w:val="28"/>
              <w14:textFill>
                <w14:solidFill>
                  <w14:schemeClr w14:val="tx1"/>
                </w14:solidFill>
              </w14:textFill>
            </w:rPr>
            <w:fldChar w:fldCharType="separate"/>
          </w:r>
          <w:r>
            <w:rPr>
              <w:rFonts w:ascii="Times New Roman" w:hAnsi="Times New Roman" w:eastAsia="仿宋_GB2312" w:cs="Times New Roman"/>
              <w:color w:val="000000" w:themeColor="text1"/>
              <w:szCs w:val="28"/>
              <w14:textFill>
                <w14:solidFill>
                  <w14:schemeClr w14:val="tx1"/>
                </w14:solidFill>
              </w14:textFill>
            </w:rPr>
            <w:t>165</w:t>
          </w:r>
          <w:r>
            <w:rPr>
              <w:rFonts w:ascii="Times New Roman" w:hAnsi="Times New Roman" w:eastAsia="仿宋_GB2312" w:cs="Times New Roman"/>
              <w:color w:val="000000" w:themeColor="text1"/>
              <w:szCs w:val="28"/>
              <w14:textFill>
                <w14:solidFill>
                  <w14:schemeClr w14:val="tx1"/>
                </w14:solidFill>
              </w14:textFill>
            </w:rPr>
            <w:fldChar w:fldCharType="end"/>
          </w:r>
          <w:r>
            <w:rPr>
              <w:rFonts w:ascii="Times New Roman" w:hAnsi="Times New Roman" w:eastAsia="仿宋_GB2312" w:cs="Times New Roman"/>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"_Toc8660" </w:instrText>
          </w:r>
          <w:r>
            <w:fldChar w:fldCharType="separate"/>
          </w:r>
          <w:r>
            <w:rPr>
              <w:rFonts w:ascii="Times New Roman" w:hAnsi="Times New Roman" w:cs="Times New Roman"/>
              <w:szCs w:val="32"/>
            </w:rPr>
            <w:t>第</w:t>
          </w:r>
          <w:r>
            <w:rPr>
              <w:rFonts w:hint="eastAsia" w:ascii="Times New Roman" w:hAnsi="Times New Roman" w:cs="Times New Roman"/>
              <w:szCs w:val="32"/>
            </w:rPr>
            <w:t>四</w:t>
          </w:r>
          <w:r>
            <w:rPr>
              <w:rFonts w:ascii="Times New Roman" w:hAnsi="Times New Roman" w:cs="Times New Roman"/>
              <w:szCs w:val="32"/>
            </w:rPr>
            <w:t>节 推进绿色清洁生产</w:t>
          </w:r>
          <w:r>
            <w:tab/>
          </w:r>
          <w:r>
            <w:fldChar w:fldCharType="begin"/>
          </w:r>
          <w:r>
            <w:instrText xml:space="preserve"> PAGEREF _Toc8660 </w:instrText>
          </w:r>
          <w:r>
            <w:fldChar w:fldCharType="separate"/>
          </w:r>
          <w:r>
            <w:t>167</w:t>
          </w:r>
          <w:r>
            <w:fldChar w:fldCharType="end"/>
          </w:r>
          <w:r>
            <w:fldChar w:fldCharType="end"/>
          </w:r>
        </w:p>
        <w:p>
          <w:pPr>
            <w:pStyle w:val="12"/>
            <w:tabs>
              <w:tab w:val="right" w:leader="dot" w:pos="8844"/>
            </w:tabs>
            <w:spacing w:line="240" w:lineRule="auto"/>
            <w:ind w:left="560"/>
          </w:pPr>
          <w:r>
            <w:fldChar w:fldCharType="begin"/>
          </w:r>
          <w:r>
            <w:instrText xml:space="preserve"> HYPERLINK \l "_Toc13042" </w:instrText>
          </w:r>
          <w:r>
            <w:fldChar w:fldCharType="separate"/>
          </w:r>
          <w:r>
            <w:rPr>
              <w:rFonts w:ascii="Times New Roman" w:hAnsi="Times New Roman" w:cs="Times New Roman"/>
              <w:szCs w:val="32"/>
            </w:rPr>
            <w:t>第</w:t>
          </w:r>
          <w:r>
            <w:rPr>
              <w:rFonts w:hint="eastAsia" w:ascii="Times New Roman" w:hAnsi="Times New Roman" w:cs="Times New Roman"/>
              <w:szCs w:val="32"/>
            </w:rPr>
            <w:t>五</w:t>
          </w:r>
          <w:r>
            <w:rPr>
              <w:rFonts w:ascii="Times New Roman" w:hAnsi="Times New Roman" w:cs="Times New Roman"/>
              <w:szCs w:val="32"/>
            </w:rPr>
            <w:t>节 加强环境监管能力建设</w:t>
          </w:r>
          <w:r>
            <w:tab/>
          </w:r>
          <w:r>
            <w:fldChar w:fldCharType="begin"/>
          </w:r>
          <w:r>
            <w:instrText xml:space="preserve"> PAGEREF _Toc13042 </w:instrText>
          </w:r>
          <w:r>
            <w:fldChar w:fldCharType="separate"/>
          </w:r>
          <w:r>
            <w:t>169</w:t>
          </w:r>
          <w:r>
            <w:fldChar w:fldCharType="end"/>
          </w:r>
          <w:r>
            <w:fldChar w:fldCharType="end"/>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"_Toc11097"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第十五章 推进和谐发展 加强和创新社会治理</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_Toc11097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171</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"_Toc19100" </w:instrText>
          </w:r>
          <w:r>
            <w:fldChar w:fldCharType="separate"/>
          </w:r>
          <w:r>
            <w:rPr>
              <w:rFonts w:ascii="Times New Roman" w:hAnsi="Times New Roman" w:cs="Times New Roman"/>
              <w:szCs w:val="32"/>
            </w:rPr>
            <w:t>第一节 建设法治邵阳</w:t>
          </w:r>
          <w:r>
            <w:tab/>
          </w:r>
          <w:r>
            <w:fldChar w:fldCharType="begin"/>
          </w:r>
          <w:r>
            <w:instrText xml:space="preserve"> PAGEREF _Toc19100 </w:instrText>
          </w:r>
          <w:r>
            <w:fldChar w:fldCharType="separate"/>
          </w:r>
          <w:r>
            <w:t>171</w:t>
          </w:r>
          <w:r>
            <w:fldChar w:fldCharType="end"/>
          </w:r>
          <w:r>
            <w:fldChar w:fldCharType="end"/>
          </w:r>
        </w:p>
        <w:p>
          <w:pPr>
            <w:pStyle w:val="12"/>
            <w:tabs>
              <w:tab w:val="right" w:leader="dot" w:pos="8844"/>
            </w:tabs>
            <w:spacing w:line="240" w:lineRule="auto"/>
            <w:ind w:left="560"/>
          </w:pPr>
          <w:r>
            <w:fldChar w:fldCharType="begin"/>
          </w:r>
          <w:r>
            <w:instrText xml:space="preserve"> HYPERLINK \l "_Toc30495" </w:instrText>
          </w:r>
          <w:r>
            <w:fldChar w:fldCharType="separate"/>
          </w:r>
          <w:r>
            <w:rPr>
              <w:rFonts w:ascii="Times New Roman" w:hAnsi="Times New Roman" w:cs="Times New Roman"/>
              <w:szCs w:val="32"/>
            </w:rPr>
            <w:t>第二节 完善社会治理</w:t>
          </w:r>
          <w:r>
            <w:tab/>
          </w:r>
          <w:r>
            <w:fldChar w:fldCharType="begin"/>
          </w:r>
          <w:r>
            <w:instrText xml:space="preserve"> PAGEREF _Toc30495 </w:instrText>
          </w:r>
          <w:r>
            <w:fldChar w:fldCharType="separate"/>
          </w:r>
          <w:r>
            <w:t>174</w:t>
          </w:r>
          <w:r>
            <w:fldChar w:fldCharType="end"/>
          </w:r>
          <w:r>
            <w:fldChar w:fldCharType="end"/>
          </w:r>
        </w:p>
        <w:p>
          <w:pPr>
            <w:pStyle w:val="12"/>
            <w:tabs>
              <w:tab w:val="right" w:leader="dot" w:pos="8844"/>
            </w:tabs>
            <w:spacing w:line="240" w:lineRule="auto"/>
            <w:ind w:left="560"/>
            <w:rPr>
              <w:rFonts w:eastAsia="仿宋_GB2312"/>
            </w:rPr>
          </w:pPr>
          <w:r>
            <w:fldChar w:fldCharType="begin"/>
          </w:r>
          <w:r>
            <w:instrText xml:space="preserve"> HYPERLINK \l "_Toc23170" </w:instrText>
          </w:r>
          <w:r>
            <w:fldChar w:fldCharType="separate"/>
          </w:r>
          <w:r>
            <w:rPr>
              <w:rFonts w:ascii="Times New Roman" w:hAnsi="Times New Roman" w:eastAsia="仿宋_GB2312" w:cs="Times New Roman"/>
              <w:color w:val="000000" w:themeColor="text1"/>
              <w:szCs w:val="28"/>
              <w14:textFill>
                <w14:solidFill>
                  <w14:schemeClr w14:val="tx1"/>
                </w14:solidFill>
              </w14:textFill>
            </w:rPr>
            <w:t xml:space="preserve">第三节 </w:t>
          </w:r>
          <w:r>
            <w:rPr>
              <w:rFonts w:ascii="Times New Roman" w:hAnsi="Times New Roman" w:eastAsia="仿宋_GB2312" w:cs="Times New Roman"/>
              <w:color w:val="000000" w:themeColor="text1"/>
              <w:szCs w:val="28"/>
              <w14:textFill>
                <w14:solidFill>
                  <w14:schemeClr w14:val="tx1"/>
                </w14:solidFill>
              </w14:textFill>
            </w:rPr>
            <w:fldChar w:fldCharType="end"/>
          </w:r>
          <w:r>
            <w:fldChar w:fldCharType="begin"/>
          </w:r>
          <w:r>
            <w:instrText xml:space="preserve"> HYPERLINK \l "_Toc2304" </w:instrText>
          </w:r>
          <w:r>
            <w:fldChar w:fldCharType="separate"/>
          </w:r>
          <w:r>
            <w:rPr>
              <w:rFonts w:ascii="Times New Roman" w:hAnsi="Times New Roman" w:cs="Times New Roman"/>
              <w:szCs w:val="32"/>
            </w:rPr>
            <w:t xml:space="preserve"> </w:t>
          </w:r>
          <w:r>
            <w:rPr>
              <w:rFonts w:hint="eastAsia" w:ascii="Times New Roman" w:hAnsi="Times New Roman" w:cs="Times New Roman"/>
              <w:szCs w:val="32"/>
            </w:rPr>
            <w:t>深化平安邵阳建设</w:t>
          </w:r>
          <w:r>
            <w:tab/>
          </w:r>
          <w:r>
            <w:fldChar w:fldCharType="begin"/>
          </w:r>
          <w:r>
            <w:instrText xml:space="preserve"> PAGEREF _Toc2304 </w:instrText>
          </w:r>
          <w:r>
            <w:fldChar w:fldCharType="separate"/>
          </w:r>
          <w:r>
            <w:t>178</w:t>
          </w:r>
          <w:r>
            <w:fldChar w:fldCharType="end"/>
          </w:r>
          <w:r>
            <w:fldChar w:fldCharType="end"/>
          </w:r>
          <w:r>
            <w:rPr>
              <w:rFonts w:hint="eastAsia" w:ascii="Times New Roman" w:hAnsi="Times New Roman" w:eastAsia="仿宋_GB2312" w:cs="Times New Roman"/>
              <w:color w:val="000000" w:themeColor="text1"/>
              <w:szCs w:val="28"/>
              <w14:textFill>
                <w14:solidFill>
                  <w14:schemeClr w14:val="tx1"/>
                </w14:solidFill>
              </w14:textFill>
            </w:rPr>
            <w:t>1</w:t>
          </w:r>
        </w:p>
        <w:p>
          <w:pPr>
            <w:pStyle w:val="11"/>
            <w:tabs>
              <w:tab w:val="right" w:leader="dot" w:pos="8844"/>
            </w:tabs>
            <w:spacing w:line="240" w:lineRule="auto"/>
            <w:rPr>
              <w:rFonts w:ascii="微软雅黑" w:hAnsi="微软雅黑" w:eastAsia="微软雅黑" w:cs="微软雅黑"/>
              <w:b/>
              <w:bCs/>
              <w:color w:val="000000" w:themeColor="text1"/>
              <w:szCs w:val="28"/>
              <w14:textFill>
                <w14:solidFill>
                  <w14:schemeClr w14:val="tx1"/>
                </w14:solidFill>
              </w14:textFill>
            </w:rPr>
          </w:pPr>
          <w:r>
            <w:fldChar w:fldCharType="begin"/>
          </w:r>
          <w:r>
            <w:instrText xml:space="preserve"> HYPERLINK \l "_Toc31046" </w:instrText>
          </w:r>
          <w:r>
            <w:fldChar w:fldCharType="separate"/>
          </w:r>
          <w:r>
            <w:rPr>
              <w:rFonts w:hint="eastAsia" w:ascii="微软雅黑" w:hAnsi="微软雅黑" w:eastAsia="微软雅黑" w:cs="微软雅黑"/>
              <w:b/>
              <w:bCs/>
              <w:color w:val="000000" w:themeColor="text1"/>
              <w:szCs w:val="28"/>
              <w14:textFill>
                <w14:solidFill>
                  <w14:schemeClr w14:val="tx1"/>
                </w14:solidFill>
              </w14:textFill>
            </w:rPr>
            <w:t>第十六章 强化保障机制 推进规划组织实施</w:t>
          </w:r>
          <w:r>
            <w:rPr>
              <w:rFonts w:hint="eastAsia" w:ascii="微软雅黑" w:hAnsi="微软雅黑" w:eastAsia="微软雅黑" w:cs="微软雅黑"/>
              <w:b/>
              <w:bCs/>
              <w:color w:val="000000" w:themeColor="text1"/>
              <w:szCs w:val="28"/>
              <w14:textFill>
                <w14:solidFill>
                  <w14:schemeClr w14:val="tx1"/>
                </w14:solidFill>
              </w14:textFill>
            </w:rPr>
            <w:tab/>
          </w:r>
          <w:r>
            <w:rPr>
              <w:rFonts w:hint="eastAsia" w:ascii="微软雅黑" w:hAnsi="微软雅黑" w:eastAsia="微软雅黑" w:cs="微软雅黑"/>
              <w:b/>
              <w:bCs/>
              <w:color w:val="000000" w:themeColor="text1"/>
              <w:szCs w:val="28"/>
              <w14:textFill>
                <w14:solidFill>
                  <w14:schemeClr w14:val="tx1"/>
                </w14:solidFill>
              </w14:textFill>
            </w:rPr>
            <w:fldChar w:fldCharType="begin"/>
          </w:r>
          <w:r>
            <w:rPr>
              <w:rFonts w:hint="eastAsia" w:ascii="微软雅黑" w:hAnsi="微软雅黑" w:eastAsia="微软雅黑" w:cs="微软雅黑"/>
              <w:b/>
              <w:bCs/>
              <w:color w:val="000000" w:themeColor="text1"/>
              <w:szCs w:val="28"/>
              <w14:textFill>
                <w14:solidFill>
                  <w14:schemeClr w14:val="tx1"/>
                </w14:solidFill>
              </w14:textFill>
            </w:rPr>
            <w:instrText xml:space="preserve"> PAGEREF _Toc31046 </w:instrText>
          </w:r>
          <w:r>
            <w:rPr>
              <w:rFonts w:hint="eastAsia" w:ascii="微软雅黑" w:hAnsi="微软雅黑" w:eastAsia="微软雅黑" w:cs="微软雅黑"/>
              <w:b/>
              <w:bCs/>
              <w:color w:val="000000" w:themeColor="text1"/>
              <w:szCs w:val="28"/>
              <w14:textFill>
                <w14:solidFill>
                  <w14:schemeClr w14:val="tx1"/>
                </w14:solidFill>
              </w14:textFill>
            </w:rPr>
            <w:fldChar w:fldCharType="separate"/>
          </w:r>
          <w:r>
            <w:rPr>
              <w:rFonts w:hint="eastAsia" w:ascii="微软雅黑" w:hAnsi="微软雅黑" w:eastAsia="微软雅黑" w:cs="微软雅黑"/>
              <w:b/>
              <w:bCs/>
              <w:color w:val="000000" w:themeColor="text1"/>
              <w:szCs w:val="28"/>
              <w14:textFill>
                <w14:solidFill>
                  <w14:schemeClr w14:val="tx1"/>
                </w14:solidFill>
              </w14:textFill>
            </w:rPr>
            <w:t>182</w:t>
          </w:r>
          <w:r>
            <w:rPr>
              <w:rFonts w:hint="eastAsia" w:ascii="微软雅黑" w:hAnsi="微软雅黑" w:eastAsia="微软雅黑" w:cs="微软雅黑"/>
              <w:b/>
              <w:bCs/>
              <w:color w:val="000000" w:themeColor="text1"/>
              <w:szCs w:val="28"/>
              <w14:textFill>
                <w14:solidFill>
                  <w14:schemeClr w14:val="tx1"/>
                </w14:solidFill>
              </w14:textFill>
            </w:rPr>
            <w:fldChar w:fldCharType="end"/>
          </w:r>
          <w:r>
            <w:rPr>
              <w:rFonts w:hint="eastAsia" w:ascii="微软雅黑" w:hAnsi="微软雅黑" w:eastAsia="微软雅黑" w:cs="微软雅黑"/>
              <w:b/>
              <w:bCs/>
              <w:color w:val="000000" w:themeColor="text1"/>
              <w:szCs w:val="28"/>
              <w14:textFill>
                <w14:solidFill>
                  <w14:schemeClr w14:val="tx1"/>
                </w14:solidFill>
              </w14:textFill>
            </w:rPr>
            <w:fldChar w:fldCharType="end"/>
          </w:r>
        </w:p>
        <w:p>
          <w:pPr>
            <w:pStyle w:val="12"/>
            <w:tabs>
              <w:tab w:val="right" w:leader="dot" w:pos="8844"/>
            </w:tabs>
            <w:spacing w:line="240" w:lineRule="auto"/>
            <w:ind w:left="560"/>
          </w:pPr>
          <w:r>
            <w:fldChar w:fldCharType="begin"/>
          </w:r>
          <w:r>
            <w:instrText xml:space="preserve"> HYPERLINK \l "_Toc25638" </w:instrText>
          </w:r>
          <w:r>
            <w:fldChar w:fldCharType="separate"/>
          </w:r>
          <w:r>
            <w:rPr>
              <w:rFonts w:ascii="Times New Roman" w:hAnsi="Times New Roman" w:cs="Times New Roman"/>
              <w:szCs w:val="32"/>
            </w:rPr>
            <w:t>第一节 发挥党的领导核心作用</w:t>
          </w:r>
          <w:r>
            <w:tab/>
          </w:r>
          <w:r>
            <w:fldChar w:fldCharType="begin"/>
          </w:r>
          <w:r>
            <w:instrText xml:space="preserve"> PAGEREF _Toc25638 </w:instrText>
          </w:r>
          <w:r>
            <w:fldChar w:fldCharType="separate"/>
          </w:r>
          <w:r>
            <w:t>182</w:t>
          </w:r>
          <w:r>
            <w:fldChar w:fldCharType="end"/>
          </w:r>
          <w:r>
            <w:fldChar w:fldCharType="end"/>
          </w:r>
        </w:p>
        <w:p>
          <w:pPr>
            <w:pStyle w:val="12"/>
            <w:tabs>
              <w:tab w:val="right" w:leader="dot" w:pos="8844"/>
            </w:tabs>
            <w:spacing w:line="240" w:lineRule="auto"/>
            <w:ind w:left="560"/>
            <w:rPr>
              <w:rFonts w:ascii="Times New Roman" w:hAnsi="Times New Roman" w:eastAsia="仿宋_GB2312" w:cs="Times New Roman"/>
              <w:color w:val="000000" w:themeColor="text1"/>
              <w:szCs w:val="28"/>
              <w14:textFill>
                <w14:solidFill>
                  <w14:schemeClr w14:val="tx1"/>
                </w14:solidFill>
              </w14:textFill>
            </w:rPr>
          </w:pPr>
          <w:r>
            <w:rPr>
              <w:rFonts w:hint="eastAsia" w:ascii="Times New Roman" w:hAnsi="Times New Roman" w:cs="Times New Roman"/>
              <w:color w:val="000000" w:themeColor="text1"/>
              <w:szCs w:val="32"/>
              <w14:textFill>
                <w14:solidFill>
                  <w14:schemeClr w14:val="tx1"/>
                </w14:solidFill>
              </w14:textFill>
            </w:rPr>
            <w:t>第二节 推进清廉邵阳建设</w:t>
          </w:r>
          <w:r>
            <w:tab/>
          </w:r>
          <w:r>
            <w:fldChar w:fldCharType="begin"/>
          </w:r>
          <w:r>
            <w:instrText xml:space="preserve"> PAGEREF _Toc25638 </w:instrText>
          </w:r>
          <w:r>
            <w:fldChar w:fldCharType="separate"/>
          </w:r>
          <w:r>
            <w:t>182</w:t>
          </w:r>
          <w:r>
            <w:fldChar w:fldCharType="end"/>
          </w:r>
        </w:p>
        <w:p>
          <w:pPr>
            <w:pStyle w:val="12"/>
            <w:tabs>
              <w:tab w:val="right" w:leader="dot" w:pos="8844"/>
            </w:tabs>
            <w:spacing w:line="240" w:lineRule="auto"/>
            <w:ind w:left="560"/>
          </w:pPr>
          <w:r>
            <w:fldChar w:fldCharType="begin"/>
          </w:r>
          <w:r>
            <w:instrText xml:space="preserve"> HYPERLINK \l "_Toc9117" </w:instrText>
          </w:r>
          <w:r>
            <w:fldChar w:fldCharType="separate"/>
          </w:r>
          <w:r>
            <w:rPr>
              <w:rFonts w:ascii="Times New Roman" w:hAnsi="Times New Roman" w:cs="Times New Roman"/>
              <w:szCs w:val="32"/>
            </w:rPr>
            <w:t>第</w:t>
          </w:r>
          <w:r>
            <w:rPr>
              <w:rFonts w:hint="eastAsia" w:ascii="Times New Roman" w:hAnsi="Times New Roman" w:cs="Times New Roman"/>
              <w:szCs w:val="32"/>
            </w:rPr>
            <w:t>三</w:t>
          </w:r>
          <w:r>
            <w:rPr>
              <w:rFonts w:ascii="Times New Roman" w:hAnsi="Times New Roman" w:cs="Times New Roman"/>
              <w:szCs w:val="32"/>
            </w:rPr>
            <w:t>节 加强组织实施</w:t>
          </w:r>
          <w:r>
            <w:tab/>
          </w:r>
          <w:r>
            <w:fldChar w:fldCharType="begin"/>
          </w:r>
          <w:r>
            <w:instrText xml:space="preserve"> PAGEREF _Toc9117 </w:instrText>
          </w:r>
          <w:r>
            <w:fldChar w:fldCharType="separate"/>
          </w:r>
          <w:r>
            <w:t>184</w:t>
          </w:r>
          <w:r>
            <w:fldChar w:fldCharType="end"/>
          </w:r>
          <w:r>
            <w:fldChar w:fldCharType="end"/>
          </w:r>
        </w:p>
        <w:p>
          <w:pPr>
            <w:pStyle w:val="12"/>
            <w:tabs>
              <w:tab w:val="right" w:leader="dot" w:pos="8844"/>
            </w:tabs>
            <w:spacing w:line="240" w:lineRule="auto"/>
            <w:ind w:left="560"/>
          </w:pPr>
          <w:r>
            <w:fldChar w:fldCharType="begin"/>
          </w:r>
          <w:r>
            <w:instrText xml:space="preserve"> HYPERLINK \l "_Toc2916" </w:instrText>
          </w:r>
          <w:r>
            <w:fldChar w:fldCharType="separate"/>
          </w:r>
          <w:r>
            <w:rPr>
              <w:rFonts w:ascii="Times New Roman" w:hAnsi="Times New Roman" w:cs="Times New Roman"/>
              <w:szCs w:val="32"/>
            </w:rPr>
            <w:t>第</w:t>
          </w:r>
          <w:r>
            <w:rPr>
              <w:rFonts w:hint="eastAsia" w:ascii="Times New Roman" w:hAnsi="Times New Roman" w:cs="Times New Roman"/>
              <w:szCs w:val="32"/>
            </w:rPr>
            <w:t>四</w:t>
          </w:r>
          <w:r>
            <w:rPr>
              <w:rFonts w:ascii="Times New Roman" w:hAnsi="Times New Roman" w:cs="Times New Roman"/>
              <w:szCs w:val="32"/>
            </w:rPr>
            <w:t>节 强化项目支撑</w:t>
          </w:r>
          <w:r>
            <w:tab/>
          </w:r>
          <w:r>
            <w:fldChar w:fldCharType="begin"/>
          </w:r>
          <w:r>
            <w:instrText xml:space="preserve"> PAGEREF _Toc2916 </w:instrText>
          </w:r>
          <w:r>
            <w:fldChar w:fldCharType="separate"/>
          </w:r>
          <w:r>
            <w:t>185</w:t>
          </w:r>
          <w:r>
            <w:fldChar w:fldCharType="end"/>
          </w:r>
          <w:r>
            <w:fldChar w:fldCharType="end"/>
          </w:r>
        </w:p>
        <w:p>
          <w:pPr>
            <w:pStyle w:val="12"/>
            <w:tabs>
              <w:tab w:val="right" w:leader="dot" w:pos="8844"/>
            </w:tabs>
            <w:spacing w:line="240" w:lineRule="auto"/>
            <w:ind w:left="560"/>
            <w:rPr>
              <w:rFonts w:eastAsia="仿宋_GB2312"/>
            </w:rPr>
          </w:pPr>
          <w:r>
            <w:fldChar w:fldCharType="begin"/>
          </w:r>
          <w:r>
            <w:instrText xml:space="preserve"> HYPERLINK \l "_Toc11837" </w:instrText>
          </w:r>
          <w:r>
            <w:fldChar w:fldCharType="separate"/>
          </w:r>
          <w:r>
            <w:rPr>
              <w:rFonts w:ascii="Times New Roman" w:hAnsi="Times New Roman" w:cs="Times New Roman"/>
              <w:szCs w:val="32"/>
            </w:rPr>
            <w:t>第</w:t>
          </w:r>
          <w:r>
            <w:rPr>
              <w:rFonts w:hint="eastAsia" w:ascii="Times New Roman" w:hAnsi="Times New Roman" w:cs="Times New Roman"/>
              <w:szCs w:val="32"/>
            </w:rPr>
            <w:t>五</w:t>
          </w:r>
          <w:r>
            <w:rPr>
              <w:rFonts w:ascii="Times New Roman" w:hAnsi="Times New Roman" w:cs="Times New Roman"/>
              <w:szCs w:val="32"/>
            </w:rPr>
            <w:t>节 严格监督评估</w:t>
          </w:r>
          <w:r>
            <w:tab/>
          </w:r>
          <w:r>
            <w:fldChar w:fldCharType="begin"/>
          </w:r>
          <w:r>
            <w:instrText xml:space="preserve"> PAGEREF _Toc11837 </w:instrText>
          </w:r>
          <w:r>
            <w:fldChar w:fldCharType="separate"/>
          </w:r>
          <w:r>
            <w:t>187</w:t>
          </w:r>
          <w:r>
            <w:fldChar w:fldCharType="end"/>
          </w:r>
          <w:r>
            <w:fldChar w:fldCharType="end"/>
          </w:r>
        </w:p>
        <w:p>
          <w:pPr>
            <w:pStyle w:val="11"/>
            <w:tabs>
              <w:tab w:val="right" w:leader="dot" w:pos="8844"/>
            </w:tabs>
            <w:spacing w:before="0" w:after="0"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color w:val="000000" w:themeColor="text1"/>
              <w:szCs w:val="28"/>
              <w14:textFill>
                <w14:solidFill>
                  <w14:schemeClr w14:val="tx1"/>
                </w14:solidFill>
              </w14:textFill>
            </w:rPr>
            <w:fldChar w:fldCharType="end"/>
          </w:r>
        </w:p>
      </w:sdtContent>
    </w:sdt>
    <w:p>
      <w:pPr>
        <w:widowControl w:val="0"/>
        <w:adjustRightInd/>
        <w:snapToGrid/>
        <w:spacing w:before="0" w:after="0" w:line="579"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rPr>
          <w:rFonts w:ascii="Times New Roman" w:hAnsi="Times New Roman" w:eastAsia="方正小标宋简体" w:cs="Times New Roman"/>
          <w:color w:val="000000" w:themeColor="text1"/>
          <w:sz w:val="44"/>
          <w:szCs w:val="44"/>
          <w14:textFill>
            <w14:solidFill>
              <w14:schemeClr w14:val="tx1"/>
            </w14:solidFill>
          </w14:textFill>
        </w:rPr>
      </w:pPr>
      <w:bookmarkStart w:id="0" w:name="_Toc12498"/>
      <w:r>
        <w:rPr>
          <w:rFonts w:ascii="Times New Roman" w:hAnsi="Times New Roman" w:eastAsia="方正小标宋简体" w:cs="Times New Roman"/>
          <w:color w:val="000000" w:themeColor="text1"/>
          <w:sz w:val="44"/>
          <w:szCs w:val="44"/>
          <w14:textFill>
            <w14:solidFill>
              <w14:schemeClr w14:val="tx1"/>
            </w14:solidFill>
          </w14:textFill>
        </w:rPr>
        <w:br w:type="page"/>
      </w:r>
    </w:p>
    <w:p>
      <w:pPr>
        <w:pStyle w:val="13"/>
        <w:spacing w:before="0" w:beforeAutospacing="0" w:after="0" w:afterAutospacing="0" w:line="72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bookmarkStart w:id="1" w:name="_Toc30322"/>
    </w:p>
    <w:p>
      <w:pPr>
        <w:pStyle w:val="13"/>
        <w:spacing w:before="0" w:beforeAutospacing="0" w:after="0" w:afterAutospacing="0" w:line="72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p>
    <w:p>
      <w:pPr>
        <w:pStyle w:val="13"/>
        <w:spacing w:before="0" w:beforeAutospacing="0" w:after="0" w:afterAutospacing="0" w:line="72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r>
        <w:rPr>
          <w:rFonts w:ascii="Times New Roman" w:hAnsi="Times New Roman" w:eastAsia="方正小标宋简体" w:cs="Times New Roman"/>
          <w:color w:val="000000" w:themeColor="text1"/>
          <w:sz w:val="44"/>
          <w:szCs w:val="44"/>
          <w14:textFill>
            <w14:solidFill>
              <w14:schemeClr w14:val="tx1"/>
            </w14:solidFill>
          </w14:textFill>
        </w:rPr>
        <w:t>邵阳市国民经济和社会发展第十四个</w:t>
      </w:r>
      <w:bookmarkEnd w:id="0"/>
      <w:bookmarkStart w:id="2" w:name="_Toc18845"/>
      <w:r>
        <w:rPr>
          <w:rFonts w:ascii="Times New Roman" w:hAnsi="Times New Roman" w:eastAsia="方正小标宋简体" w:cs="Times New Roman"/>
          <w:color w:val="000000" w:themeColor="text1"/>
          <w:sz w:val="44"/>
          <w:szCs w:val="44"/>
          <w14:textFill>
            <w14:solidFill>
              <w14:schemeClr w14:val="tx1"/>
            </w14:solidFill>
          </w14:textFill>
        </w:rPr>
        <w:t>五年</w:t>
      </w:r>
      <w:bookmarkEnd w:id="1"/>
      <w:bookmarkStart w:id="3" w:name="_Toc2115"/>
      <w:r>
        <w:rPr>
          <w:rFonts w:ascii="Times New Roman" w:hAnsi="Times New Roman" w:eastAsia="方正小标宋简体" w:cs="Times New Roman"/>
          <w:color w:val="000000" w:themeColor="text1"/>
          <w:sz w:val="44"/>
          <w:szCs w:val="44"/>
          <w14:textFill>
            <w14:solidFill>
              <w14:schemeClr w14:val="tx1"/>
            </w14:solidFill>
          </w14:textFill>
        </w:rPr>
        <w:t>规划和二〇三五年远景目标纲要</w:t>
      </w:r>
      <w:bookmarkEnd w:id="2"/>
      <w:bookmarkEnd w:id="3"/>
      <w:r>
        <w:rPr>
          <w:rFonts w:hint="eastAsia" w:ascii="Times New Roman" w:hAnsi="Times New Roman" w:eastAsia="方正小标宋简体" w:cs="Times New Roman"/>
          <w:color w:val="000000" w:themeColor="text1"/>
          <w:sz w:val="44"/>
          <w:szCs w:val="44"/>
          <w14:textFill>
            <w14:solidFill>
              <w14:schemeClr w14:val="tx1"/>
            </w14:solidFill>
          </w14:textFill>
        </w:rPr>
        <w:t xml:space="preserve"> </w:t>
      </w:r>
    </w:p>
    <w:p>
      <w:pPr>
        <w:widowControl w:val="0"/>
        <w:adjustRightInd/>
        <w:snapToGrid/>
        <w:spacing w:before="0" w:after="0" w:line="560" w:lineRule="exact"/>
        <w:jc w:val="center"/>
        <w:rPr>
          <w:rFonts w:ascii="楷体_GB2312" w:eastAsia="楷体_GB2312"/>
          <w:b/>
          <w:sz w:val="32"/>
          <w:szCs w:val="32"/>
        </w:rPr>
      </w:pPr>
    </w:p>
    <w:p>
      <w:pPr>
        <w:widowControl w:val="0"/>
        <w:adjustRightInd/>
        <w:snapToGrid/>
        <w:spacing w:before="0" w:after="0" w:line="560" w:lineRule="exact"/>
        <w:jc w:val="center"/>
        <w:rPr>
          <w:rFonts w:ascii="楷体_GB2312" w:eastAsia="楷体_GB2312"/>
          <w:b/>
          <w:sz w:val="32"/>
          <w:szCs w:val="32"/>
        </w:rPr>
      </w:pPr>
      <w:r>
        <w:rPr>
          <w:rFonts w:hint="eastAsia" w:ascii="楷体_GB2312" w:eastAsia="楷体_GB2312"/>
          <w:b/>
          <w:sz w:val="32"/>
          <w:szCs w:val="32"/>
        </w:rPr>
        <w:t>（</w:t>
      </w:r>
      <w:r>
        <w:rPr>
          <w:rFonts w:ascii="Times New Roman" w:hAnsi="Times New Roman" w:eastAsia="楷体_GB2312" w:cs="Times New Roman"/>
          <w:b/>
          <w:sz w:val="32"/>
          <w:szCs w:val="32"/>
        </w:rPr>
        <w:t>2021</w:t>
      </w:r>
      <w:r>
        <w:rPr>
          <w:rFonts w:hint="eastAsia" w:ascii="楷体_GB2312" w:eastAsia="楷体_GB2312"/>
          <w:b/>
          <w:sz w:val="32"/>
          <w:szCs w:val="32"/>
        </w:rPr>
        <w:t>年</w:t>
      </w:r>
      <w:r>
        <w:rPr>
          <w:rFonts w:hint="eastAsia" w:ascii="Times New Roman" w:hAnsi="Times New Roman" w:eastAsia="楷体_GB2312" w:cs="Times New Roman"/>
          <w:b/>
          <w:sz w:val="32"/>
          <w:szCs w:val="32"/>
        </w:rPr>
        <w:t>1</w:t>
      </w:r>
      <w:r>
        <w:rPr>
          <w:rFonts w:hint="eastAsia" w:ascii="楷体_GB2312" w:eastAsia="楷体_GB2312"/>
          <w:b/>
          <w:sz w:val="32"/>
          <w:szCs w:val="32"/>
        </w:rPr>
        <w:t>月</w:t>
      </w:r>
      <w:r>
        <w:rPr>
          <w:rFonts w:hint="eastAsia" w:ascii="Times New Roman" w:hAnsi="Times New Roman" w:eastAsia="楷体_GB2312" w:cs="Times New Roman"/>
          <w:b/>
          <w:sz w:val="32"/>
          <w:szCs w:val="32"/>
        </w:rPr>
        <w:t>8</w:t>
      </w:r>
      <w:r>
        <w:rPr>
          <w:rFonts w:hint="eastAsia" w:ascii="楷体_GB2312" w:eastAsia="楷体_GB2312"/>
          <w:b/>
          <w:sz w:val="32"/>
          <w:szCs w:val="32"/>
        </w:rPr>
        <w:t>日邵阳市第十六届人民代表大会</w:t>
      </w:r>
    </w:p>
    <w:p>
      <w:pPr>
        <w:widowControl w:val="0"/>
        <w:adjustRightInd/>
        <w:snapToGrid/>
        <w:spacing w:before="0" w:after="0" w:line="560" w:lineRule="exact"/>
        <w:jc w:val="center"/>
        <w:rPr>
          <w:rFonts w:ascii="Times New Roman" w:hAnsi="Times New Roman" w:eastAsia="方正小标宋简体" w:cs="Times New Roman"/>
          <w:color w:val="000000" w:themeColor="text1"/>
          <w:sz w:val="44"/>
          <w:szCs w:val="44"/>
          <w14:textFill>
            <w14:solidFill>
              <w14:schemeClr w14:val="tx1"/>
            </w14:solidFill>
          </w14:textFill>
        </w:rPr>
      </w:pPr>
      <w:r>
        <w:rPr>
          <w:rFonts w:hint="eastAsia" w:ascii="楷体_GB2312" w:eastAsia="楷体_GB2312"/>
          <w:b/>
          <w:sz w:val="32"/>
          <w:szCs w:val="32"/>
        </w:rPr>
        <w:t>第七次会议批准）</w:t>
      </w: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sectPr>
          <w:footerReference r:id="rId5" w:type="default"/>
          <w:pgSz w:w="11906" w:h="16838"/>
          <w:pgMar w:top="2098" w:right="1531" w:bottom="1984" w:left="1531" w:header="708" w:footer="1474" w:gutter="0"/>
          <w:pgNumType w:start="1"/>
          <w:cols w:space="0" w:num="1"/>
          <w:docGrid w:type="lines" w:linePitch="386" w:charSpace="0"/>
        </w:sectPr>
      </w:pPr>
      <w:r>
        <w:rPr>
          <w:rFonts w:ascii="Times New Roman" w:hAnsi="Times New Roman" w:eastAsia="仿宋_GB2312" w:cs="Times New Roman"/>
          <w:color w:val="000000" w:themeColor="text1"/>
          <w:sz w:val="32"/>
          <w:szCs w:val="32"/>
          <w14:textFill>
            <w14:solidFill>
              <w14:schemeClr w14:val="tx1"/>
            </w14:solidFill>
          </w14:textFill>
        </w:rPr>
        <w:t>《邵阳市国民经济和社会发展第十四个五年（2021-2025年）规划和二〇三五年远景目标纲要》根据《中共邵阳市委关于制定邵阳市国民经济和社会发展第十四个五年规划和二〇三五年远景目标的建议》编制，主要阐明全市战略意图，明确经济社会发展宏伟目标、主要任务和重大举措，是市场主体的行为导向，是政府履职的重要依据，是全市人民共同奋斗的行动纲领。</w:t>
      </w:r>
    </w:p>
    <w:p>
      <w:pPr>
        <w:widowControl w:val="0"/>
        <w:adjustRightInd/>
        <w:snapToGrid/>
        <w:spacing w:before="0" w:after="0" w:line="520" w:lineRule="exact"/>
        <w:ind w:firstLine="640" w:firstLineChars="200"/>
        <w:jc w:val="both"/>
        <w:rPr>
          <w:rFonts w:ascii="仿宋" w:hAnsi="仿宋" w:cs="Times New Roman"/>
          <w:color w:val="000000" w:themeColor="text1"/>
          <w:sz w:val="32"/>
          <w:szCs w:val="32"/>
          <w14:textFill>
            <w14:solidFill>
              <w14:schemeClr w14:val="tx1"/>
            </w14:solidFill>
          </w14:textFill>
        </w:rPr>
      </w:pPr>
    </w:p>
    <w:p>
      <w:pPr>
        <w:widowControl w:val="0"/>
        <w:adjustRightInd/>
        <w:snapToGrid/>
        <w:spacing w:before="0" w:after="0" w:line="52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时期（2021-2025年）</w:t>
      </w:r>
      <w:bookmarkStart w:id="4" w:name="_Toc7654"/>
      <w:r>
        <w:rPr>
          <w:rFonts w:ascii="Times New Roman" w:hAnsi="Times New Roman" w:eastAsia="仿宋_GB2312" w:cs="Times New Roman"/>
          <w:color w:val="000000" w:themeColor="text1"/>
          <w:sz w:val="32"/>
          <w:szCs w:val="32"/>
          <w14:textFill>
            <w14:solidFill>
              <w14:schemeClr w14:val="tx1"/>
            </w14:solidFill>
          </w14:textFill>
        </w:rPr>
        <w:t>是全面建成小康社会、实现第一个百年奋斗目标之后，乘势而上开启</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全面建设社会主义现代化国家新征程</w:t>
      </w:r>
      <w:r>
        <w:rPr>
          <w:rFonts w:ascii="Times New Roman" w:hAnsi="Times New Roman" w:eastAsia="仿宋_GB2312" w:cs="Times New Roman"/>
          <w:color w:val="000000" w:themeColor="text1"/>
          <w:sz w:val="32"/>
          <w:szCs w:val="32"/>
          <w14:textFill>
            <w14:solidFill>
              <w14:schemeClr w14:val="tx1"/>
            </w14:solidFill>
          </w14:textFill>
        </w:rPr>
        <w:t>、向第二个百年奋斗目标进军的第一个五年。必须深入分析国内外发展环境的深刻变化，准确把握邵阳发展的阶段性特征，充分挖掘新优势，全面促进高质量发展，确保社会主义现代化建设取得重要进展。</w:t>
      </w:r>
    </w:p>
    <w:p>
      <w:pPr>
        <w:widowControl w:val="0"/>
        <w:adjustRightInd/>
        <w:snapToGrid/>
        <w:spacing w:before="0" w:after="0" w:line="52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pStyle w:val="3"/>
        <w:widowControl w:val="0"/>
        <w:spacing w:before="0" w:after="0" w:line="520" w:lineRule="exact"/>
        <w:rPr>
          <w:rFonts w:ascii="Times New Roman" w:hAnsi="Times New Roman" w:cs="Times New Roman"/>
          <w:color w:val="000000" w:themeColor="text1"/>
          <w14:textFill>
            <w14:solidFill>
              <w14:schemeClr w14:val="tx1"/>
            </w14:solidFill>
          </w14:textFill>
        </w:rPr>
      </w:pPr>
      <w:bookmarkStart w:id="5" w:name="_Toc18350"/>
      <w:bookmarkStart w:id="6" w:name="_Toc10199"/>
      <w:bookmarkStart w:id="7" w:name="_Toc16323"/>
      <w:bookmarkStart w:id="8" w:name="_Toc25135"/>
      <w:bookmarkStart w:id="9" w:name="_Toc22298"/>
      <w:bookmarkStart w:id="10" w:name="_Toc5104"/>
      <w:bookmarkStart w:id="11" w:name="_Toc4973"/>
      <w:bookmarkStart w:id="12" w:name="_Toc11920"/>
      <w:bookmarkStart w:id="13" w:name="_Toc19691"/>
      <w:bookmarkStart w:id="14" w:name="_Toc6106"/>
      <w:bookmarkStart w:id="15" w:name="_Toc15103"/>
      <w:bookmarkStart w:id="16" w:name="_Toc23679"/>
      <w:bookmarkStart w:id="17" w:name="_Toc9159"/>
      <w:bookmarkStart w:id="18" w:name="_Toc227"/>
      <w:bookmarkStart w:id="19" w:name="_Toc4550"/>
      <w:bookmarkStart w:id="20" w:name="_Toc22669"/>
      <w:bookmarkStart w:id="21" w:name="_Toc1298"/>
      <w:bookmarkStart w:id="22" w:name="_Toc21326"/>
      <w:bookmarkStart w:id="23" w:name="_Toc2006"/>
      <w:bookmarkStart w:id="24" w:name="_Toc30488"/>
      <w:bookmarkStart w:id="25" w:name="_Toc29629"/>
      <w:bookmarkStart w:id="26" w:name="_Toc24089"/>
      <w:bookmarkStart w:id="27" w:name="_Toc5326"/>
      <w:bookmarkStart w:id="28" w:name="_Toc17425"/>
      <w:bookmarkStart w:id="29" w:name="_Toc10097"/>
      <w:bookmarkStart w:id="30" w:name="_Toc4994"/>
      <w:bookmarkStart w:id="31" w:name="_Toc21135"/>
      <w:bookmarkStart w:id="32" w:name="_Toc30062"/>
      <w:bookmarkStart w:id="33" w:name="_Toc32015"/>
      <w:bookmarkStart w:id="34" w:name="_Toc22324"/>
      <w:bookmarkStart w:id="35" w:name="_Toc1809"/>
      <w:bookmarkStart w:id="36" w:name="_Toc16041"/>
      <w:bookmarkStart w:id="37" w:name="_Toc1732"/>
      <w:bookmarkStart w:id="38" w:name="_Toc25404"/>
      <w:bookmarkStart w:id="39" w:name="_Toc17330"/>
      <w:bookmarkStart w:id="40" w:name="_Toc3315"/>
      <w:bookmarkStart w:id="41" w:name="_Toc24483"/>
      <w:r>
        <w:rPr>
          <w:rFonts w:ascii="Times New Roman" w:hAnsi="Times New Roman" w:cs="Times New Roman"/>
          <w:color w:val="000000" w:themeColor="text1"/>
          <w14:textFill>
            <w14:solidFill>
              <w14:schemeClr w14:val="tx1"/>
            </w14:solidFill>
          </w14:textFill>
        </w:rPr>
        <w:t>第一章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w:t>
      </w:r>
      <w:bookmarkEnd w:id="4"/>
      <w:r>
        <w:rPr>
          <w:rFonts w:ascii="Times New Roman" w:hAnsi="Times New Roman" w:cs="Times New Roman"/>
          <w:color w:val="000000" w:themeColor="text1"/>
          <w14:textFill>
            <w14:solidFill>
              <w14:schemeClr w14:val="tx1"/>
            </w14:solidFill>
          </w14:textFill>
        </w:rPr>
        <w:t>全面建成小康社会 开启现代化建设新征程</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widowControl w:val="0"/>
        <w:adjustRightInd/>
        <w:snapToGrid/>
        <w:spacing w:before="0" w:after="0" w:line="52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2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面向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，我市要充分总结</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十三五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经济社会发展重大成就，全面分析机遇挑战，厚植发展优势，补齐发展短板，破解发展难题，为基本实现社会主义现代化远景目标打下坚实基础。</w:t>
      </w:r>
    </w:p>
    <w:p>
      <w:pPr>
        <w:pStyle w:val="4"/>
        <w:keepNext w:val="0"/>
        <w:keepLines w:val="0"/>
        <w:widowControl w:val="0"/>
        <w:spacing w:before="386" w:beforeLines="100" w:after="386" w:afterLines="100" w:line="520" w:lineRule="exact"/>
        <w:rPr>
          <w:rFonts w:ascii="Times New Roman" w:hAnsi="Times New Roman" w:cs="Times New Roman"/>
          <w:color w:val="000000" w:themeColor="text1"/>
          <w:szCs w:val="32"/>
          <w14:textFill>
            <w14:solidFill>
              <w14:schemeClr w14:val="tx1"/>
            </w14:solidFill>
          </w14:textFill>
        </w:rPr>
      </w:pPr>
      <w:bookmarkStart w:id="42" w:name="_Toc17113"/>
      <w:bookmarkStart w:id="43" w:name="_Toc32676"/>
      <w:bookmarkStart w:id="44" w:name="_Toc17070"/>
      <w:bookmarkStart w:id="45" w:name="_Toc1200"/>
      <w:bookmarkStart w:id="46" w:name="_Toc23359"/>
      <w:bookmarkStart w:id="47" w:name="_Toc22211"/>
      <w:bookmarkStart w:id="48" w:name="_Toc31283"/>
      <w:bookmarkStart w:id="49" w:name="_Toc11950"/>
      <w:bookmarkStart w:id="50" w:name="_Toc5651"/>
      <w:bookmarkStart w:id="51" w:name="_Toc2630"/>
      <w:bookmarkStart w:id="52" w:name="_Toc27240"/>
      <w:bookmarkStart w:id="53" w:name="_Toc3733"/>
      <w:bookmarkStart w:id="54" w:name="_Toc17956"/>
      <w:bookmarkStart w:id="55" w:name="_Toc13799"/>
      <w:bookmarkStart w:id="56" w:name="_Toc17231"/>
      <w:bookmarkStart w:id="57" w:name="_Toc874"/>
      <w:bookmarkStart w:id="58" w:name="_Toc2347"/>
      <w:bookmarkStart w:id="59" w:name="_Toc26002"/>
      <w:bookmarkStart w:id="60" w:name="_Toc25632"/>
      <w:bookmarkStart w:id="61" w:name="_Toc10914"/>
      <w:bookmarkStart w:id="62" w:name="_Toc16648"/>
      <w:bookmarkStart w:id="63" w:name="_Toc668"/>
      <w:bookmarkStart w:id="64" w:name="_Toc19128"/>
      <w:bookmarkStart w:id="65" w:name="_Toc481"/>
      <w:bookmarkStart w:id="66" w:name="_Toc3938"/>
      <w:bookmarkStart w:id="67" w:name="_Toc22301"/>
      <w:bookmarkStart w:id="68" w:name="_Toc14748"/>
      <w:bookmarkStart w:id="69" w:name="_Toc8036"/>
      <w:bookmarkStart w:id="70" w:name="_Toc726"/>
      <w:bookmarkStart w:id="71" w:name="_Toc29325"/>
      <w:bookmarkStart w:id="72" w:name="_Toc26747"/>
      <w:bookmarkStart w:id="73" w:name="_Toc2293"/>
      <w:bookmarkStart w:id="74" w:name="_Toc11877"/>
      <w:bookmarkStart w:id="75" w:name="_Toc7080"/>
      <w:bookmarkStart w:id="76" w:name="_Toc293"/>
      <w:bookmarkStart w:id="77" w:name="_Toc13006"/>
      <w:bookmarkStart w:id="78" w:name="_Toc30004"/>
      <w:r>
        <w:rPr>
          <w:rFonts w:ascii="Times New Roman" w:hAnsi="Times New Roman" w:cs="Times New Roman"/>
          <w:color w:val="000000" w:themeColor="text1"/>
          <w:szCs w:val="32"/>
          <w14:textFill>
            <w14:solidFill>
              <w14:schemeClr w14:val="tx1"/>
            </w14:solidFill>
          </w14:textFill>
        </w:rPr>
        <w:t>第一节</w:t>
      </w:r>
      <w:r>
        <w:rPr>
          <w:rFonts w:hint="eastAsia" w:ascii="Times New Roman" w:hAnsi="Times New Roman" w:cs="Times New Roman"/>
          <w:color w:val="000000" w:themeColor="text1"/>
          <w:szCs w:val="32"/>
          <w14:textFill>
            <w14:solidFill>
              <w14:schemeClr w14:val="tx1"/>
            </w14:solidFill>
          </w14:textFill>
        </w:rPr>
        <w:t xml:space="preserve">  </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十三五</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时期奠定的坚实基础</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widowControl w:val="0"/>
        <w:adjustRightInd/>
        <w:snapToGrid/>
        <w:spacing w:before="0" w:after="0" w:line="52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十三五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时期是我市发展砥砺奋进、极不平凡的五年。面对错综复杂的国内外环境和艰难繁重的改革发展任务，市委、市政府团结带领全市人民紧紧围绕建设</w:t>
      </w:r>
      <w:bookmarkStart w:id="79" w:name="_Hlk59179218"/>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二中心一枢纽</w:t>
      </w:r>
      <w:bookmarkEnd w:id="79"/>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战略目标，团结拼搏、扎实工作，积极应对各种风险挑战，全面建成小康社会取得决定性成就。</w:t>
      </w:r>
    </w:p>
    <w:p>
      <w:pPr>
        <w:widowControl w:val="0"/>
        <w:adjustRightInd/>
        <w:snapToGrid/>
        <w:spacing w:before="0" w:after="0" w:line="52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1.经济实力迈上新台阶。</w:t>
      </w:r>
      <w:r>
        <w:rPr>
          <w:rFonts w:ascii="Times New Roman" w:hAnsi="Times New Roman" w:eastAsia="仿宋_GB2312" w:cs="Times New Roman"/>
          <w:color w:val="000000" w:themeColor="text1"/>
          <w:sz w:val="32"/>
          <w:szCs w:val="32"/>
          <w14:textFill>
            <w14:solidFill>
              <w14:schemeClr w14:val="tx1"/>
            </w14:solidFill>
          </w14:textFill>
        </w:rPr>
        <w:t>经济总量越过2000亿元台阶，2020年达到2</w:t>
      </w:r>
      <w:r>
        <w:rPr>
          <w:rFonts w:hint="eastAsia" w:ascii="Times New Roman" w:hAnsi="Times New Roman" w:eastAsia="仿宋_GB2312" w:cs="Times New Roman"/>
          <w:color w:val="000000" w:themeColor="text1"/>
          <w:sz w:val="32"/>
          <w:szCs w:val="32"/>
          <w14:textFill>
            <w14:solidFill>
              <w14:schemeClr w14:val="tx1"/>
            </w14:solidFill>
          </w14:textFill>
        </w:rPr>
        <w:t>250.8</w:t>
      </w:r>
      <w:r>
        <w:rPr>
          <w:rFonts w:ascii="Times New Roman" w:hAnsi="Times New Roman" w:eastAsia="仿宋_GB2312" w:cs="Times New Roman"/>
          <w:color w:val="000000" w:themeColor="text1"/>
          <w:sz w:val="32"/>
          <w:szCs w:val="32"/>
          <w14:textFill>
            <w14:solidFill>
              <w14:schemeClr w14:val="tx1"/>
            </w14:solidFill>
          </w14:textFill>
        </w:rPr>
        <w:t>亿元，比2015年的1387亿元增加</w:t>
      </w:r>
      <w:r>
        <w:rPr>
          <w:rFonts w:hint="eastAsia" w:ascii="Times New Roman" w:hAnsi="Times New Roman" w:eastAsia="仿宋_GB2312" w:cs="Times New Roman"/>
          <w:color w:val="000000" w:themeColor="text1"/>
          <w:sz w:val="32"/>
          <w:szCs w:val="32"/>
          <w14:textFill>
            <w14:solidFill>
              <w14:schemeClr w14:val="tx1"/>
            </w14:solidFill>
          </w14:textFill>
        </w:rPr>
        <w:t>863.8</w:t>
      </w:r>
      <w:r>
        <w:rPr>
          <w:rFonts w:ascii="Times New Roman" w:hAnsi="Times New Roman" w:eastAsia="仿宋_GB2312" w:cs="Times New Roman"/>
          <w:color w:val="000000" w:themeColor="text1"/>
          <w:sz w:val="32"/>
          <w:szCs w:val="32"/>
          <w14:textFill>
            <w14:solidFill>
              <w14:schemeClr w14:val="tx1"/>
            </w14:solidFill>
          </w14:textFill>
        </w:rPr>
        <w:t>亿元，重返全省第二方阵首位，年均增长7.</w:t>
      </w:r>
      <w:r>
        <w:rPr>
          <w:rFonts w:hint="eastAsia" w:ascii="Times New Roman" w:hAnsi="Times New Roman" w:eastAsia="仿宋_GB2312" w:cs="Times New Roman"/>
          <w:color w:val="000000" w:themeColor="text1"/>
          <w:sz w:val="32"/>
          <w:szCs w:val="32"/>
          <w14:textFill>
            <w14:solidFill>
              <w14:schemeClr w14:val="tx1"/>
            </w14:solidFill>
          </w14:textFill>
        </w:rPr>
        <w:t>1</w:t>
      </w:r>
      <w:r>
        <w:rPr>
          <w:rFonts w:ascii="Times New Roman" w:hAnsi="Times New Roman" w:eastAsia="仿宋_GB2312" w:cs="Times New Roman"/>
          <w:color w:val="000000" w:themeColor="text1"/>
          <w:sz w:val="32"/>
          <w:szCs w:val="32"/>
          <w14:textFill>
            <w14:solidFill>
              <w14:schemeClr w14:val="tx1"/>
            </w14:solidFill>
          </w14:textFill>
        </w:rPr>
        <w:t>%，增速位居全省前列，</w:t>
      </w:r>
      <w:r>
        <w:rPr>
          <w:rFonts w:ascii="Times New Roman" w:hAnsi="Times New Roman" w:eastAsia="仿宋_GB2312" w:cs="Times New Roman"/>
          <w:sz w:val="32"/>
          <w:szCs w:val="32"/>
        </w:rPr>
        <w:t>其中规模以上工业企业总量居全省第二、湘中湘西南首位。社会消费品零售总额突破1000亿元关口，达到12</w:t>
      </w:r>
      <w:r>
        <w:rPr>
          <w:rFonts w:hint="eastAsia" w:ascii="Times New Roman" w:hAnsi="Times New Roman" w:eastAsia="仿宋_GB2312" w:cs="Times New Roman"/>
          <w:sz w:val="32"/>
          <w:szCs w:val="32"/>
        </w:rPr>
        <w:t>0</w:t>
      </w: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亿元，年均增长8.</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%。地方一般公共预算收入突破100亿元，达到105</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亿元，年均增长</w:t>
      </w:r>
      <w:r>
        <w:rPr>
          <w:rFonts w:hint="eastAsia" w:ascii="Times New Roman" w:hAnsi="Times New Roman" w:eastAsia="仿宋_GB2312" w:cs="Times New Roman"/>
          <w:sz w:val="32"/>
          <w:szCs w:val="32"/>
        </w:rPr>
        <w:t>2.8</w:t>
      </w:r>
      <w:r>
        <w:rPr>
          <w:rFonts w:ascii="Times New Roman" w:hAnsi="Times New Roman" w:eastAsia="仿宋_GB2312" w:cs="Times New Roman"/>
          <w:sz w:val="32"/>
          <w:szCs w:val="32"/>
        </w:rPr>
        <w:t>%。</w:t>
      </w:r>
      <w:r>
        <w:rPr>
          <w:rFonts w:ascii="Times New Roman" w:hAnsi="Times New Roman" w:eastAsia="仿宋_GB2312" w:cs="Times New Roman"/>
          <w:color w:val="000000" w:themeColor="text1"/>
          <w:sz w:val="32"/>
          <w:szCs w:val="32"/>
          <w14:textFill>
            <w14:solidFill>
              <w14:schemeClr w14:val="tx1"/>
            </w14:solidFill>
          </w14:textFill>
        </w:rPr>
        <w:t>财政总收入达到1</w:t>
      </w:r>
      <w:r>
        <w:rPr>
          <w:rFonts w:hint="eastAsia" w:ascii="Times New Roman" w:hAnsi="Times New Roman" w:eastAsia="仿宋_GB2312" w:cs="Times New Roman"/>
          <w:color w:val="000000" w:themeColor="text1"/>
          <w:sz w:val="32"/>
          <w:szCs w:val="32"/>
          <w14:textFill>
            <w14:solidFill>
              <w14:schemeClr w14:val="tx1"/>
            </w14:solidFill>
          </w14:textFill>
        </w:rPr>
        <w:t>69.3</w:t>
      </w:r>
      <w:r>
        <w:rPr>
          <w:rFonts w:ascii="Times New Roman" w:hAnsi="Times New Roman" w:eastAsia="仿宋_GB2312" w:cs="Times New Roman"/>
          <w:color w:val="000000" w:themeColor="text1"/>
          <w:sz w:val="32"/>
          <w:szCs w:val="32"/>
          <w14:textFill>
            <w14:solidFill>
              <w14:schemeClr w14:val="tx1"/>
            </w14:solidFill>
          </w14:textFill>
        </w:rPr>
        <w:t>亿元，年均增长</w:t>
      </w:r>
      <w:r>
        <w:rPr>
          <w:rFonts w:hint="eastAsia" w:ascii="Times New Roman" w:hAnsi="Times New Roman" w:eastAsia="仿宋_GB2312" w:cs="Times New Roman"/>
          <w:color w:val="000000" w:themeColor="text1"/>
          <w:sz w:val="32"/>
          <w:szCs w:val="32"/>
          <w14:textFill>
            <w14:solidFill>
              <w14:schemeClr w14:val="tx1"/>
            </w14:solidFill>
          </w14:textFill>
        </w:rPr>
        <w:t>5.32</w:t>
      </w:r>
      <w:r>
        <w:rPr>
          <w:rFonts w:ascii="Times New Roman" w:hAnsi="Times New Roman" w:eastAsia="仿宋_GB2312" w:cs="Times New Roman"/>
          <w:color w:val="000000" w:themeColor="text1"/>
          <w:sz w:val="32"/>
          <w:szCs w:val="32"/>
          <w14:textFill>
            <w14:solidFill>
              <w14:schemeClr w14:val="tx1"/>
            </w14:solidFill>
          </w14:textFill>
        </w:rPr>
        <w:t>%。地方财政收入非税占比下降1</w:t>
      </w:r>
      <w:r>
        <w:rPr>
          <w:rFonts w:hint="eastAsia" w:ascii="Times New Roman" w:hAnsi="Times New Roman" w:eastAsia="仿宋_GB2312" w:cs="Times New Roman"/>
          <w:color w:val="000000" w:themeColor="text1"/>
          <w:sz w:val="32"/>
          <w:szCs w:val="32"/>
          <w14:textFill>
            <w14:solidFill>
              <w14:schemeClr w14:val="tx1"/>
            </w14:solidFill>
          </w14:textFill>
        </w:rPr>
        <w:t>5</w:t>
      </w:r>
      <w:r>
        <w:rPr>
          <w:rFonts w:ascii="Times New Roman" w:hAnsi="Times New Roman" w:eastAsia="仿宋_GB2312" w:cs="Times New Roman"/>
          <w:color w:val="000000" w:themeColor="text1"/>
          <w:sz w:val="32"/>
          <w:szCs w:val="32"/>
          <w14:textFill>
            <w14:solidFill>
              <w14:schemeClr w14:val="tx1"/>
            </w14:solidFill>
          </w14:textFill>
        </w:rPr>
        <w:t>.4个百分点，是全省下降幅度最大的市州之一。三次产业比由21.6:36.6：41.8优化为</w:t>
      </w:r>
      <w:r>
        <w:rPr>
          <w:rFonts w:hint="eastAsia" w:ascii="Times New Roman" w:hAnsi="Times New Roman" w:eastAsia="仿宋_GB2312" w:cs="Times New Roman"/>
          <w:color w:val="000000" w:themeColor="text1"/>
          <w:sz w:val="32"/>
          <w:szCs w:val="32"/>
          <w14:textFill>
            <w14:solidFill>
              <w14:schemeClr w14:val="tx1"/>
            </w14:solidFill>
          </w14:textFill>
        </w:rPr>
        <w:t>2020</w:t>
      </w:r>
      <w:r>
        <w:rPr>
          <w:rFonts w:ascii="Times New Roman" w:hAnsi="Times New Roman" w:eastAsia="仿宋_GB2312" w:cs="Times New Roman"/>
          <w:color w:val="000000" w:themeColor="text1"/>
          <w:sz w:val="32"/>
          <w:szCs w:val="32"/>
          <w14:textFill>
            <w14:solidFill>
              <w14:schemeClr w14:val="tx1"/>
            </w14:solidFill>
          </w14:textFill>
        </w:rPr>
        <w:t>年底</w:t>
      </w:r>
      <w:r>
        <w:rPr>
          <w:rFonts w:hint="eastAsia" w:ascii="Times New Roman" w:hAnsi="Times New Roman" w:eastAsia="仿宋_GB2312" w:cs="Times New Roman"/>
          <w:color w:val="000000" w:themeColor="text1"/>
          <w:sz w:val="32"/>
          <w:szCs w:val="32"/>
          <w14:textFill>
            <w14:solidFill>
              <w14:schemeClr w14:val="tx1"/>
            </w14:solidFill>
          </w14:textFill>
        </w:rPr>
        <w:t>17.8</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31</w:t>
      </w:r>
      <w:r>
        <w:rPr>
          <w:rFonts w:ascii="Times New Roman" w:hAnsi="Times New Roman" w:eastAsia="仿宋_GB2312" w:cs="Times New Roman"/>
          <w:color w:val="000000" w:themeColor="text1"/>
          <w:sz w:val="32"/>
          <w:szCs w:val="32"/>
          <w14:textFill>
            <w14:solidFill>
              <w14:schemeClr w14:val="tx1"/>
            </w14:solidFill>
          </w14:textFill>
        </w:rPr>
        <w:t>:5</w:t>
      </w:r>
      <w:r>
        <w:rPr>
          <w:rFonts w:hint="eastAsia" w:ascii="Times New Roman" w:hAnsi="Times New Roman" w:eastAsia="仿宋_GB2312" w:cs="Times New Roman"/>
          <w:color w:val="000000" w:themeColor="text1"/>
          <w:sz w:val="32"/>
          <w:szCs w:val="32"/>
          <w14:textFill>
            <w14:solidFill>
              <w14:schemeClr w14:val="tx1"/>
            </w14:solidFill>
          </w14:textFill>
        </w:rPr>
        <w:t>1.2</w:t>
      </w:r>
      <w:r>
        <w:rPr>
          <w:rFonts w:ascii="Times New Roman" w:hAnsi="Times New Roman" w:eastAsia="仿宋_GB2312" w:cs="Times New Roman"/>
          <w:color w:val="000000" w:themeColor="text1"/>
          <w:sz w:val="32"/>
          <w:szCs w:val="32"/>
          <w14:textFill>
            <w14:solidFill>
              <w14:schemeClr w14:val="tx1"/>
            </w14:solidFill>
          </w14:textFill>
        </w:rPr>
        <w:t>。固定资产投资年均增长</w:t>
      </w:r>
      <w:r>
        <w:rPr>
          <w:rFonts w:hint="eastAsia" w:ascii="Times New Roman" w:hAnsi="Times New Roman" w:eastAsia="仿宋_GB2312" w:cs="Times New Roman"/>
          <w:color w:val="000000" w:themeColor="text1"/>
          <w:sz w:val="32"/>
          <w:szCs w:val="32"/>
          <w14:textFill>
            <w14:solidFill>
              <w14:schemeClr w14:val="tx1"/>
            </w14:solidFill>
          </w14:textFill>
        </w:rPr>
        <w:t>11.1</w:t>
      </w:r>
      <w:r>
        <w:rPr>
          <w:rFonts w:ascii="Times New Roman" w:hAnsi="Times New Roman" w:eastAsia="仿宋_GB2312" w:cs="Times New Roman"/>
          <w:color w:val="000000" w:themeColor="text1"/>
          <w:sz w:val="32"/>
          <w:szCs w:val="32"/>
          <w14:textFill>
            <w14:solidFill>
              <w14:schemeClr w14:val="tx1"/>
            </w14:solidFill>
          </w14:textFill>
        </w:rPr>
        <w:t>%。</w:t>
      </w:r>
    </w:p>
    <w:p>
      <w:pPr>
        <w:pStyle w:val="2"/>
        <w:widowControl w:val="0"/>
        <w:spacing w:before="386" w:beforeLines="100" w:after="0"/>
        <w:jc w:val="center"/>
        <w:rPr>
          <w:rFonts w:ascii="Times New Roman" w:hAnsi="Times New Roman" w:eastAsia="方正楷体_GB2312" w:cs="Times New Roman"/>
          <w:color w:val="000000" w:themeColor="text1"/>
          <w:sz w:val="32"/>
          <w:szCs w:val="32"/>
          <w14:textFill>
            <w14:solidFill>
              <w14:schemeClr w14:val="tx1"/>
            </w14:solidFill>
          </w14:textFill>
        </w:rPr>
      </w:pPr>
      <w:r>
        <w:rPr>
          <w:rFonts w:ascii="Times New Roman" w:hAnsi="Times New Roman" w:cs="Times New Roman"/>
        </w:rPr>
        <w:drawing>
          <wp:inline distT="0" distB="0" distL="114300" distR="114300">
            <wp:extent cx="4861560" cy="2940685"/>
            <wp:effectExtent l="0" t="0" r="15240" b="1206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2"/>
        <w:widowControl w:val="0"/>
        <w:spacing w:before="0" w:after="0" w:line="579" w:lineRule="exact"/>
        <w:jc w:val="center"/>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图1：邵阳市</w:t>
      </w:r>
      <w:r>
        <w:rPr>
          <w:rFonts w:hint="eastAsia" w:ascii="Times New Roman" w:hAnsi="Times New Roman" w:eastAsia="楷体_GB2312" w:cs="Times New Roman"/>
          <w:b/>
          <w:color w:val="000000" w:themeColor="text1"/>
          <w:sz w:val="32"/>
          <w:szCs w:val="32"/>
          <w14:textFill>
            <w14:solidFill>
              <w14:schemeClr w14:val="tx1"/>
            </w14:solidFill>
          </w14:textFill>
        </w:rPr>
        <w:t>“十三五”期间</w:t>
      </w:r>
      <w:r>
        <w:rPr>
          <w:rFonts w:ascii="Times New Roman" w:hAnsi="Times New Roman" w:eastAsia="楷体_GB2312" w:cs="Times New Roman"/>
          <w:b/>
          <w:color w:val="000000" w:themeColor="text1"/>
          <w:sz w:val="32"/>
          <w:szCs w:val="32"/>
          <w14:textFill>
            <w14:solidFill>
              <w14:schemeClr w14:val="tx1"/>
            </w14:solidFill>
          </w14:textFill>
        </w:rPr>
        <w:t>地区生产总值增长图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b/>
          <w:bCs/>
          <w:color w:val="000000" w:themeColor="text1"/>
          <w:sz w:val="32"/>
          <w:szCs w:val="32"/>
          <w14:textFill>
            <w14:solidFill>
              <w14:schemeClr w14:val="tx1"/>
            </w14:solidFill>
          </w14:textFill>
        </w:rPr>
        <w:t>2.</w:t>
      </w:r>
      <w:r>
        <w:rPr>
          <w:rFonts w:ascii="Times New Roman" w:hAnsi="Times New Roman" w:eastAsia="楷体_GB2312" w:cs="Times New Roman"/>
          <w:b/>
          <w:bCs/>
          <w:color w:val="000000" w:themeColor="text1"/>
          <w:sz w:val="32"/>
          <w:szCs w:val="32"/>
          <w14:textFill>
            <w14:solidFill>
              <w14:schemeClr w14:val="tx1"/>
            </w14:solidFill>
          </w14:textFill>
        </w:rPr>
        <w:t>产业发展取得新突破。</w:t>
      </w:r>
      <w:r>
        <w:rPr>
          <w:rFonts w:ascii="Times New Roman" w:hAnsi="Times New Roman" w:eastAsia="仿宋_GB2312" w:cs="Times New Roman"/>
          <w:b/>
          <w:bCs/>
          <w:color w:val="000000" w:themeColor="text1"/>
          <w:sz w:val="32"/>
          <w:szCs w:val="32"/>
          <w14:textFill>
            <w14:solidFill>
              <w14:schemeClr w14:val="tx1"/>
            </w14:solidFill>
          </w14:textFill>
        </w:rPr>
        <w:t>产业升级步伐加快。</w:t>
      </w:r>
      <w:r>
        <w:rPr>
          <w:rFonts w:ascii="Times New Roman" w:hAnsi="Times New Roman" w:eastAsia="仿宋_GB2312" w:cs="Times New Roman"/>
          <w:color w:val="000000" w:themeColor="text1"/>
          <w:sz w:val="32"/>
          <w:szCs w:val="32"/>
          <w14:textFill>
            <w14:solidFill>
              <w14:schemeClr w14:val="tx1"/>
            </w14:solidFill>
          </w14:textFill>
        </w:rPr>
        <w:t>成功获批</w:t>
      </w:r>
      <w:bookmarkStart w:id="80" w:name="_Hlk59178011"/>
      <w:r>
        <w:rPr>
          <w:rFonts w:ascii="Times New Roman" w:hAnsi="Times New Roman" w:eastAsia="仿宋_GB2312" w:cs="Times New Roman"/>
          <w:color w:val="000000" w:themeColor="text1"/>
          <w:sz w:val="32"/>
          <w:szCs w:val="32"/>
          <w14:textFill>
            <w14:solidFill>
              <w14:schemeClr w14:val="tx1"/>
            </w14:solidFill>
          </w14:textFill>
        </w:rPr>
        <w:t>湘南湘西承接产业转移示范区</w:t>
      </w:r>
      <w:bookmarkEnd w:id="80"/>
      <w:r>
        <w:rPr>
          <w:rFonts w:ascii="Times New Roman" w:hAnsi="Times New Roman" w:eastAsia="仿宋_GB2312" w:cs="Times New Roman"/>
          <w:color w:val="000000" w:themeColor="text1"/>
          <w:sz w:val="32"/>
          <w:szCs w:val="32"/>
          <w14:textFill>
            <w14:solidFill>
              <w14:schemeClr w14:val="tx1"/>
            </w14:solidFill>
          </w14:textFill>
        </w:rPr>
        <w:t>，产业发展</w:t>
      </w:r>
      <w:bookmarkStart w:id="81" w:name="_Hlk59178875"/>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1125</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工程</w:t>
      </w:r>
      <w:bookmarkEnd w:id="81"/>
      <w:r>
        <w:rPr>
          <w:rFonts w:ascii="Times New Roman" w:hAnsi="Times New Roman" w:eastAsia="仿宋_GB2312" w:cs="Times New Roman"/>
          <w:color w:val="000000" w:themeColor="text1"/>
          <w:sz w:val="32"/>
          <w:szCs w:val="32"/>
          <w14:textFill>
            <w14:solidFill>
              <w14:schemeClr w14:val="tx1"/>
            </w14:solidFill>
          </w14:textFill>
        </w:rPr>
        <w:t>进展顺利。</w:t>
      </w:r>
      <w:bookmarkStart w:id="82" w:name="_Hlk59178982"/>
      <w:r>
        <w:rPr>
          <w:rFonts w:ascii="Times New Roman" w:hAnsi="Times New Roman" w:eastAsia="仿宋_GB2312" w:cs="Times New Roman"/>
          <w:color w:val="000000" w:themeColor="text1"/>
          <w:sz w:val="32"/>
          <w:szCs w:val="32"/>
          <w14:textFill>
            <w14:solidFill>
              <w14:schemeClr w14:val="tx1"/>
            </w14:solidFill>
          </w14:textFill>
        </w:rPr>
        <w:t>七大工业新兴优势产业链</w:t>
      </w:r>
      <w:bookmarkEnd w:id="82"/>
      <w:r>
        <w:rPr>
          <w:rFonts w:ascii="Times New Roman" w:hAnsi="Times New Roman" w:eastAsia="仿宋_GB2312" w:cs="Times New Roman"/>
          <w:color w:val="000000" w:themeColor="text1"/>
          <w:sz w:val="32"/>
          <w:szCs w:val="32"/>
          <w14:textFill>
            <w14:solidFill>
              <w14:schemeClr w14:val="tx1"/>
            </w14:solidFill>
          </w14:textFill>
        </w:rPr>
        <w:t>发展壮大，引进并建成解决国家关键核心技术</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卡脖子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问题高精尖项目。新增规上工业企业连续五年排全省前3位，全市规上工业企业总数1817家，居全省第2位，仅次于长沙。三一专汽年产值达到120亿元，实现百亿企业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的突破。中电彩虹（邵阳）特种玻璃国内首条全自动化G7.5盖板玻璃生产线建成投产，第二条生产线点火生产。投资200亿元的邵虹基板玻璃落户</w:t>
      </w:r>
      <w:r>
        <w:rPr>
          <w:rFonts w:hint="eastAsia" w:ascii="Times New Roman" w:hAnsi="Times New Roman" w:eastAsia="仿宋_GB2312" w:cs="Times New Roman"/>
          <w:color w:val="000000" w:themeColor="text1"/>
          <w:sz w:val="32"/>
          <w:szCs w:val="32"/>
          <w14:textFill>
            <w14:solidFill>
              <w14:schemeClr w14:val="tx1"/>
            </w14:solidFill>
          </w14:textFill>
        </w:rPr>
        <w:t>邵阳</w:t>
      </w:r>
      <w:r>
        <w:rPr>
          <w:rFonts w:ascii="Times New Roman" w:hAnsi="Times New Roman" w:eastAsia="仿宋_GB2312" w:cs="Times New Roman"/>
          <w:color w:val="000000" w:themeColor="text1"/>
          <w:sz w:val="32"/>
          <w:szCs w:val="32"/>
          <w14:textFill>
            <w14:solidFill>
              <w14:schemeClr w14:val="tx1"/>
            </w14:solidFill>
          </w14:textFill>
        </w:rPr>
        <w:t>，打破了我市工业项目投资无百亿元的历史。拓浦精工智能制造成功打造国内第一条可批量生产的厨电工业4.0柔性生产线，厨电年产能500万台。亚洲富士电梯建成全球最快的智能立体车库。</w:t>
      </w:r>
      <w:r>
        <w:rPr>
          <w:rFonts w:ascii="Times New Roman" w:hAnsi="Times New Roman" w:eastAsia="仿宋_GB2312" w:cs="Times New Roman"/>
          <w:sz w:val="32"/>
          <w:szCs w:val="32"/>
        </w:rPr>
        <w:t>邵阳纺机自主研制的高强高模聚乙烯纤维生产线系列产品填补了国内空白。</w:t>
      </w:r>
      <w:r>
        <w:rPr>
          <w:rFonts w:ascii="Times New Roman" w:hAnsi="Times New Roman" w:eastAsia="仿宋_GB2312" w:cs="Times New Roman"/>
          <w:color w:val="000000" w:themeColor="text1"/>
          <w:sz w:val="32"/>
          <w:szCs w:val="32"/>
          <w14:textFill>
            <w14:solidFill>
              <w14:schemeClr w14:val="tx1"/>
            </w14:solidFill>
          </w14:textFill>
        </w:rPr>
        <w:t>湘中制药成为全国最大的抗癫痫药物生产基地。湘窖酒业年产4800吨酱香生产线、武冈百威啤酒、帝立德智能制造、中天金谷茶油建成投产。智能终端产业园、创亿达实业、晶博光电等一批战略性新兴产业项目落地开建。依托智能制造研究院技术支撑，邵东小五金、打火机、中医药、印刷、箱包等传统产业抱团入园、升级改造。</w:t>
      </w:r>
      <w:r>
        <w:rPr>
          <w:rFonts w:ascii="Times New Roman" w:hAnsi="Times New Roman" w:eastAsia="仿宋_GB2312" w:cs="Times New Roman"/>
          <w:b/>
          <w:bCs/>
          <w:color w:val="000000" w:themeColor="text1"/>
          <w:sz w:val="32"/>
          <w:szCs w:val="32"/>
          <w14:textFill>
            <w14:solidFill>
              <w14:schemeClr w14:val="tx1"/>
            </w14:solidFill>
          </w14:textFill>
        </w:rPr>
        <w:t>创新能力不断增强。</w:t>
      </w:r>
      <w:r>
        <w:rPr>
          <w:rFonts w:ascii="Times New Roman" w:hAnsi="Times New Roman" w:eastAsia="仿宋_GB2312" w:cs="Times New Roman"/>
          <w:color w:val="000000" w:themeColor="text1"/>
          <w:sz w:val="32"/>
          <w:szCs w:val="32"/>
          <w14:textFill>
            <w14:solidFill>
              <w14:schemeClr w14:val="tx1"/>
            </w14:solidFill>
          </w14:textFill>
        </w:rPr>
        <w:t>全市研究与试验发展（R&amp;D）经费34.8亿元，占地区生产总值比例1.5%，比2015年提高0.5个百分点。全市拥有高新技术企业和产品产业</w:t>
      </w:r>
      <w:r>
        <w:rPr>
          <w:rFonts w:hint="eastAsia" w:ascii="Times New Roman" w:hAnsi="Times New Roman" w:eastAsia="仿宋_GB2312" w:cs="Times New Roman"/>
          <w:color w:val="000000" w:themeColor="text1"/>
          <w:sz w:val="32"/>
          <w:szCs w:val="32"/>
          <w14:textFill>
            <w14:solidFill>
              <w14:schemeClr w14:val="tx1"/>
            </w14:solidFill>
          </w14:textFill>
        </w:rPr>
        <w:t>1080</w:t>
      </w:r>
      <w:r>
        <w:rPr>
          <w:rFonts w:ascii="Times New Roman" w:hAnsi="Times New Roman" w:eastAsia="仿宋_GB2312" w:cs="Times New Roman"/>
          <w:color w:val="000000" w:themeColor="text1"/>
          <w:sz w:val="32"/>
          <w:szCs w:val="32"/>
          <w14:textFill>
            <w14:solidFill>
              <w14:schemeClr w14:val="tx1"/>
            </w14:solidFill>
          </w14:textFill>
        </w:rPr>
        <w:t>家，是2015年的2.56倍，年均增长26.5%。高新企业实现产值</w:t>
      </w:r>
      <w:r>
        <w:rPr>
          <w:rFonts w:hint="eastAsia" w:ascii="Times New Roman" w:hAnsi="Times New Roman" w:eastAsia="仿宋_GB2312" w:cs="Times New Roman"/>
          <w:color w:val="000000" w:themeColor="text1"/>
          <w:sz w:val="32"/>
          <w:szCs w:val="32"/>
          <w14:textFill>
            <w14:solidFill>
              <w14:schemeClr w14:val="tx1"/>
            </w14:solidFill>
          </w14:textFill>
        </w:rPr>
        <w:t>1747.7</w:t>
      </w:r>
      <w:r>
        <w:rPr>
          <w:rFonts w:ascii="Times New Roman" w:hAnsi="Times New Roman" w:eastAsia="仿宋_GB2312" w:cs="Times New Roman"/>
          <w:color w:val="000000" w:themeColor="text1"/>
          <w:sz w:val="32"/>
          <w:szCs w:val="32"/>
          <w14:textFill>
            <w14:solidFill>
              <w14:schemeClr w14:val="tx1"/>
            </w14:solidFill>
          </w14:textFill>
        </w:rPr>
        <w:t>亿元，为2015年的2.02倍，高新技术产品实现增加值</w:t>
      </w:r>
      <w:r>
        <w:rPr>
          <w:rFonts w:hint="eastAsia" w:ascii="Times New Roman" w:hAnsi="Times New Roman" w:eastAsia="仿宋_GB2312" w:cs="Times New Roman"/>
          <w:color w:val="000000" w:themeColor="text1"/>
          <w:sz w:val="32"/>
          <w:szCs w:val="32"/>
          <w14:textFill>
            <w14:solidFill>
              <w14:schemeClr w14:val="tx1"/>
            </w14:solidFill>
          </w14:textFill>
        </w:rPr>
        <w:t>446.95</w:t>
      </w:r>
      <w:r>
        <w:rPr>
          <w:rFonts w:ascii="Times New Roman" w:hAnsi="Times New Roman" w:eastAsia="仿宋_GB2312" w:cs="Times New Roman"/>
          <w:color w:val="000000" w:themeColor="text1"/>
          <w:sz w:val="32"/>
          <w:szCs w:val="32"/>
          <w14:textFill>
            <w14:solidFill>
              <w14:schemeClr w14:val="tx1"/>
            </w14:solidFill>
          </w14:textFill>
        </w:rPr>
        <w:t>亿元，年均增长18.9%。新增专利申请7137件，专利授权4061件。建成省级工程研究中心、重点实验室14个、省级企业技术中心22个、院士工作站8个、博士后工作站1个，拥有国家级众创空间1家、省级众创空间7家、省级科技企业孵化器3家。12家企业被授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国家知识产权优势企业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。55家企业获得省级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专精特新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小巨人企业称号，通达汽零、永锐电子、广信科技获评国家级称号。</w:t>
      </w:r>
      <w:r>
        <w:rPr>
          <w:rFonts w:ascii="Times New Roman" w:hAnsi="Times New Roman" w:eastAsia="仿宋_GB2312" w:cs="Times New Roman"/>
          <w:b/>
          <w:bCs/>
          <w:color w:val="000000" w:themeColor="text1"/>
          <w:sz w:val="32"/>
          <w:szCs w:val="32"/>
          <w14:textFill>
            <w14:solidFill>
              <w14:schemeClr w14:val="tx1"/>
            </w14:solidFill>
          </w14:textFill>
        </w:rPr>
        <w:t>园区建设持续升温。</w:t>
      </w:r>
      <w:r>
        <w:rPr>
          <w:rFonts w:hint="eastAsia" w:ascii="Times New Roman" w:hAnsi="Times New Roman" w:eastAsia="仿宋_GB2312" w:cs="Times New Roman"/>
          <w:color w:val="000000" w:themeColor="text1"/>
          <w:sz w:val="32"/>
          <w:szCs w:val="32"/>
          <w14:textFill>
            <w14:solidFill>
              <w14:schemeClr w14:val="tx1"/>
            </w14:solidFill>
          </w14:textFill>
        </w:rPr>
        <w:t>全市</w:t>
      </w:r>
      <w:r>
        <w:rPr>
          <w:rFonts w:ascii="Times New Roman" w:hAnsi="Times New Roman" w:eastAsia="仿宋_GB2312" w:cs="Times New Roman"/>
          <w:color w:val="000000" w:themeColor="text1"/>
          <w:sz w:val="32"/>
          <w:szCs w:val="32"/>
          <w14:textFill>
            <w14:solidFill>
              <w14:schemeClr w14:val="tx1"/>
            </w14:solidFill>
          </w14:textFill>
        </w:rPr>
        <w:t>所有园区全部升格为省级产业园，工业园区在全省三年综合评价中名列第一。湘商产业园建设领跑全省，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135</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工程累计完成投资230亿元，建成标准化厂房785万平方米、新增投产企业738家，实现产值1420亿元、税收56.8亿元。建成湘中湘西南规模最大、覆盖人口最多的沪昆百里工业走廊，实现技工贸总收入达3000亿元。</w:t>
      </w:r>
    </w:p>
    <w:p>
      <w:pPr>
        <w:pStyle w:val="2"/>
        <w:widowControl w:val="0"/>
        <w:spacing w:before="0" w:after="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drawing>
          <wp:inline distT="0" distB="0" distL="114300" distR="114300">
            <wp:extent cx="5080000" cy="3810000"/>
            <wp:effectExtent l="4445" t="4445" r="20955" b="1460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2"/>
        <w:widowControl w:val="0"/>
        <w:spacing w:before="0" w:after="0"/>
        <w:jc w:val="center"/>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图2：邵阳市三次产业结构比重变化图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3.</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楷体_GB2312" w:cs="Times New Roman"/>
          <w:b/>
          <w:bCs/>
          <w:color w:val="000000" w:themeColor="text1"/>
          <w:sz w:val="32"/>
          <w:szCs w:val="32"/>
          <w14:textFill>
            <w14:solidFill>
              <w14:schemeClr w14:val="tx1"/>
            </w14:solidFill>
          </w14:textFill>
        </w:rPr>
        <w:t>二中心一枢纽</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楷体_GB2312" w:cs="Times New Roman"/>
          <w:b/>
          <w:bCs/>
          <w:color w:val="000000" w:themeColor="text1"/>
          <w:sz w:val="32"/>
          <w:szCs w:val="32"/>
          <w14:textFill>
            <w14:solidFill>
              <w14:schemeClr w14:val="tx1"/>
            </w14:solidFill>
          </w14:textFill>
        </w:rPr>
        <w:t>战略取得阶段性成果。</w:t>
      </w:r>
      <w:r>
        <w:rPr>
          <w:rFonts w:ascii="Times New Roman" w:hAnsi="Times New Roman" w:eastAsia="仿宋_GB2312" w:cs="Times New Roman"/>
          <w:b/>
          <w:bCs/>
          <w:color w:val="000000" w:themeColor="text1"/>
          <w:sz w:val="32"/>
          <w:szCs w:val="32"/>
          <w14:textFill>
            <w14:solidFill>
              <w14:schemeClr w14:val="tx1"/>
            </w14:solidFill>
          </w14:textFill>
        </w:rPr>
        <w:t>新型城镇化加快推进。</w:t>
      </w:r>
      <w:r>
        <w:rPr>
          <w:rFonts w:ascii="Times New Roman" w:hAnsi="Times New Roman" w:eastAsia="仿宋_GB2312" w:cs="Times New Roman"/>
          <w:color w:val="000000" w:themeColor="text1"/>
          <w:sz w:val="32"/>
          <w:szCs w:val="32"/>
          <w14:textFill>
            <w14:solidFill>
              <w14:schemeClr w14:val="tx1"/>
            </w14:solidFill>
          </w14:textFill>
        </w:rPr>
        <w:t>全市城镇化率达到5</w:t>
      </w:r>
      <w:r>
        <w:rPr>
          <w:rFonts w:hint="eastAsia" w:ascii="Times New Roman" w:hAnsi="Times New Roman" w:eastAsia="仿宋_GB2312" w:cs="Times New Roman"/>
          <w:color w:val="000000" w:themeColor="text1"/>
          <w:sz w:val="32"/>
          <w:szCs w:val="32"/>
          <w14:textFill>
            <w14:solidFill>
              <w14:schemeClr w14:val="tx1"/>
            </w14:solidFill>
          </w14:textFill>
        </w:rPr>
        <w:t>2.16</w:t>
      </w:r>
      <w:r>
        <w:rPr>
          <w:rFonts w:ascii="Times New Roman" w:hAnsi="Times New Roman" w:eastAsia="仿宋_GB2312" w:cs="Times New Roman"/>
          <w:color w:val="000000" w:themeColor="text1"/>
          <w:sz w:val="32"/>
          <w:szCs w:val="32"/>
          <w14:textFill>
            <w14:solidFill>
              <w14:schemeClr w14:val="tx1"/>
            </w14:solidFill>
          </w14:textFill>
        </w:rPr>
        <w:t>%，较2015年提高</w:t>
      </w:r>
      <w:r>
        <w:rPr>
          <w:rFonts w:hint="eastAsia" w:ascii="Times New Roman" w:hAnsi="Times New Roman" w:eastAsia="仿宋_GB2312" w:cs="Times New Roman"/>
          <w:color w:val="000000" w:themeColor="text1"/>
          <w:sz w:val="32"/>
          <w:szCs w:val="32"/>
          <w14:textFill>
            <w14:solidFill>
              <w14:schemeClr w14:val="tx1"/>
            </w14:solidFill>
          </w14:textFill>
        </w:rPr>
        <w:t>10.21</w:t>
      </w:r>
      <w:r>
        <w:rPr>
          <w:rFonts w:ascii="Times New Roman" w:hAnsi="Times New Roman" w:eastAsia="仿宋_GB2312" w:cs="Times New Roman"/>
          <w:color w:val="000000" w:themeColor="text1"/>
          <w:sz w:val="32"/>
          <w:szCs w:val="32"/>
          <w14:textFill>
            <w14:solidFill>
              <w14:schemeClr w14:val="tx1"/>
            </w14:solidFill>
          </w14:textFill>
        </w:rPr>
        <w:t>个百分点，年均提高</w:t>
      </w:r>
      <w:r>
        <w:rPr>
          <w:rFonts w:hint="eastAsia" w:ascii="Times New Roman" w:hAnsi="Times New Roman" w:eastAsia="仿宋_GB2312" w:cs="Times New Roman"/>
          <w:color w:val="000000" w:themeColor="text1"/>
          <w:sz w:val="32"/>
          <w:szCs w:val="32"/>
          <w14:textFill>
            <w14:solidFill>
              <w14:schemeClr w14:val="tx1"/>
            </w14:solidFill>
          </w14:textFill>
        </w:rPr>
        <w:t>2.04</w:t>
      </w:r>
      <w:r>
        <w:rPr>
          <w:rFonts w:ascii="Times New Roman" w:hAnsi="Times New Roman" w:eastAsia="仿宋_GB2312" w:cs="Times New Roman"/>
          <w:color w:val="000000" w:themeColor="text1"/>
          <w:sz w:val="32"/>
          <w:szCs w:val="32"/>
          <w14:textFill>
            <w14:solidFill>
              <w14:schemeClr w14:val="tx1"/>
            </w14:solidFill>
          </w14:textFill>
        </w:rPr>
        <w:t>个百分点。中心城区建成区面积由72平方公里增加到93平方公里，人口由60万增加到88万，位居湘中湘西南首位，</w:t>
      </w:r>
      <w:bookmarkStart w:id="83" w:name="_Hlk59179813"/>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城市</w:t>
      </w:r>
      <w:bookmarkEnd w:id="83"/>
      <w:r>
        <w:rPr>
          <w:rFonts w:ascii="Times New Roman" w:hAnsi="Times New Roman" w:eastAsia="仿宋_GB2312" w:cs="Times New Roman"/>
          <w:color w:val="000000" w:themeColor="text1"/>
          <w:sz w:val="32"/>
          <w:szCs w:val="32"/>
          <w14:textFill>
            <w14:solidFill>
              <w14:schemeClr w14:val="tx1"/>
            </w14:solidFill>
          </w14:textFill>
        </w:rPr>
        <w:t>建设取得明显进展。</w:t>
      </w:r>
      <w:r>
        <w:rPr>
          <w:rFonts w:ascii="Times New Roman" w:hAnsi="Times New Roman" w:eastAsia="仿宋_GB2312" w:cs="Times New Roman"/>
          <w:color w:val="000000"/>
          <w:sz w:val="32"/>
          <w:szCs w:val="32"/>
        </w:rPr>
        <w:t>邵东成功撤县设市。</w:t>
      </w:r>
      <w:r>
        <w:rPr>
          <w:rFonts w:ascii="Times New Roman" w:hAnsi="Times New Roman" w:eastAsia="仿宋_GB2312" w:cs="Times New Roman"/>
          <w:color w:val="000000" w:themeColor="text1"/>
          <w:sz w:val="32"/>
          <w:szCs w:val="32"/>
          <w14:textFill>
            <w14:solidFill>
              <w14:schemeClr w14:val="tx1"/>
            </w14:solidFill>
          </w14:textFill>
        </w:rPr>
        <w:t>高标准拓宽、油化、亮化、绿化、美化了城区主街道和沿江风光带。改造小街小巷367条，新建和改造农贸市场42家、公厕569座，配套完善地下管网800公里，建成城区公共自行车服务系统。市城区首条隧道</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新华南隧道全线贯通。西苑公园、爱莲池公园、紫薇博览园等一批新区公园相继建成投用，市区建成公园绿地面积达到950公顷，人均公园绿地面积达到12.5平方米。中心城区成功创建国家新能源建设示范城市、全国卫生城市，入选全国文明城市提名城市。</w:t>
      </w:r>
      <w:r>
        <w:rPr>
          <w:rFonts w:ascii="Times New Roman" w:hAnsi="Times New Roman" w:eastAsia="仿宋_GB2312" w:cs="Times New Roman"/>
          <w:b/>
          <w:bCs/>
          <w:color w:val="000000" w:themeColor="text1"/>
          <w:sz w:val="32"/>
          <w:szCs w:val="32"/>
          <w14:textFill>
            <w14:solidFill>
              <w14:schemeClr w14:val="tx1"/>
            </w14:solidFill>
          </w14:textFill>
        </w:rPr>
        <w:t>基础设施实现跨越。</w:t>
      </w:r>
      <w:r>
        <w:rPr>
          <w:rFonts w:ascii="Times New Roman" w:hAnsi="Times New Roman" w:eastAsia="仿宋_GB2312" w:cs="Times New Roman"/>
          <w:color w:val="000000" w:themeColor="text1"/>
          <w:sz w:val="32"/>
          <w:szCs w:val="32"/>
          <w14:textFill>
            <w14:solidFill>
              <w14:schemeClr w14:val="tx1"/>
            </w14:solidFill>
          </w14:textFill>
        </w:rPr>
        <w:t>构建起内外无缝对接的大通道，安邵高速、武靖高速竣工通车，白新高速、永新高速、城龙高速开工建设，高速公路通车总里程582公里，居全省第四、湘中湘西南第一。干线公路建成通车312公里，农村公路完成窄加宽4483公里，自然村通水泥路完成里程3726公里。怀邵衡铁路联通沪昆、京广两条高铁大动脉，邵阳高铁南站改扩建工程开工建设。武冈机场开通12条飞往全国重要城市航线，累计旅客吞吐量达117万人次，基本形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铁公机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一体的现代立体交通网。</w:t>
      </w:r>
      <w:r>
        <w:rPr>
          <w:rFonts w:ascii="Times New Roman" w:hAnsi="Times New Roman" w:eastAsia="仿宋_GB2312" w:cs="Times New Roman"/>
          <w:sz w:val="32"/>
          <w:szCs w:val="32"/>
        </w:rPr>
        <w:t>成为全国重要区域性综合交通枢纽和全国三四线城市中为数不多的高铁始发、直达北上广深的城市。</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4.</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楷体_GB2312" w:cs="Times New Roman"/>
          <w:b/>
          <w:bCs/>
          <w:color w:val="000000" w:themeColor="text1"/>
          <w:sz w:val="32"/>
          <w:szCs w:val="32"/>
          <w14:textFill>
            <w14:solidFill>
              <w14:schemeClr w14:val="tx1"/>
            </w14:solidFill>
          </w14:textFill>
        </w:rPr>
        <w:t>三大攻坚战</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楷体_GB2312" w:cs="Times New Roman"/>
          <w:b/>
          <w:bCs/>
          <w:color w:val="000000" w:themeColor="text1"/>
          <w:sz w:val="32"/>
          <w:szCs w:val="32"/>
          <w14:textFill>
            <w14:solidFill>
              <w14:schemeClr w14:val="tx1"/>
            </w14:solidFill>
          </w14:textFill>
        </w:rPr>
        <w:t>战果丰硕。</w:t>
      </w:r>
      <w:r>
        <w:rPr>
          <w:rFonts w:ascii="Times New Roman" w:hAnsi="Times New Roman" w:eastAsia="仿宋_GB2312" w:cs="Times New Roman"/>
          <w:b/>
          <w:bCs/>
          <w:color w:val="000000" w:themeColor="text1"/>
          <w:sz w:val="32"/>
          <w:szCs w:val="32"/>
          <w14:textFill>
            <w14:solidFill>
              <w14:schemeClr w14:val="tx1"/>
            </w14:solidFill>
          </w14:textFill>
        </w:rPr>
        <w:t>脱贫攻坚夺取全面胜利。</w:t>
      </w:r>
      <w:r>
        <w:rPr>
          <w:rFonts w:ascii="Times New Roman" w:hAnsi="Times New Roman" w:eastAsia="仿宋_GB2312" w:cs="Times New Roman"/>
          <w:color w:val="000000" w:themeColor="text1"/>
          <w:sz w:val="32"/>
          <w:szCs w:val="32"/>
          <w14:textFill>
            <w14:solidFill>
              <w14:schemeClr w14:val="tx1"/>
            </w14:solidFill>
          </w14:textFill>
        </w:rPr>
        <w:t>脱贫摘帽8个县，出列1074个村，五年来减少贫困人口114万，减贫人口全省最多。现行标准下农村贫困人口全部脱贫，消除了绝对贫困和区域性整体贫困。农</w:t>
      </w:r>
      <w:r>
        <w:rPr>
          <w:rFonts w:hint="eastAsia" w:ascii="Times New Roman" w:hAnsi="Times New Roman" w:eastAsia="仿宋_GB2312" w:cs="Times New Roman"/>
          <w:color w:val="000000" w:themeColor="text1"/>
          <w:sz w:val="32"/>
          <w:szCs w:val="32"/>
          <w14:textFill>
            <w14:solidFill>
              <w14:schemeClr w14:val="tx1"/>
            </w14:solidFill>
          </w14:textFill>
        </w:rPr>
        <w:t>村居</w:t>
      </w:r>
      <w:r>
        <w:rPr>
          <w:rFonts w:ascii="Times New Roman" w:hAnsi="Times New Roman" w:eastAsia="仿宋_GB2312" w:cs="Times New Roman"/>
          <w:color w:val="000000" w:themeColor="text1"/>
          <w:sz w:val="32"/>
          <w:szCs w:val="32"/>
          <w14:textFill>
            <w14:solidFill>
              <w14:schemeClr w14:val="tx1"/>
            </w14:solidFill>
          </w14:textFill>
        </w:rPr>
        <w:t>民</w:t>
      </w:r>
      <w:r>
        <w:rPr>
          <w:rFonts w:hint="eastAsia" w:ascii="Times New Roman" w:hAnsi="Times New Roman" w:eastAsia="仿宋_GB2312" w:cs="Times New Roman"/>
          <w:color w:val="000000" w:themeColor="text1"/>
          <w:sz w:val="32"/>
          <w:szCs w:val="32"/>
          <w14:textFill>
            <w14:solidFill>
              <w14:schemeClr w14:val="tx1"/>
            </w14:solidFill>
          </w14:textFill>
        </w:rPr>
        <w:t>人均可支配</w:t>
      </w:r>
      <w:r>
        <w:rPr>
          <w:rFonts w:ascii="Times New Roman" w:hAnsi="Times New Roman" w:eastAsia="仿宋_GB2312" w:cs="Times New Roman"/>
          <w:color w:val="000000" w:themeColor="text1"/>
          <w:sz w:val="32"/>
          <w:szCs w:val="32"/>
          <w14:textFill>
            <w14:solidFill>
              <w14:schemeClr w14:val="tx1"/>
            </w14:solidFill>
          </w14:textFill>
        </w:rPr>
        <w:t>收入由</w:t>
      </w:r>
      <w:r>
        <w:rPr>
          <w:rFonts w:hint="eastAsia" w:ascii="Times New Roman" w:hAnsi="Times New Roman" w:eastAsia="仿宋_GB2312" w:cs="Times New Roman"/>
          <w:color w:val="000000" w:themeColor="text1"/>
          <w:sz w:val="32"/>
          <w:szCs w:val="32"/>
          <w14:textFill>
            <w14:solidFill>
              <w14:schemeClr w14:val="tx1"/>
            </w14:solidFill>
          </w14:textFill>
        </w:rPr>
        <w:t>8716</w:t>
      </w:r>
      <w:r>
        <w:rPr>
          <w:rFonts w:ascii="Times New Roman" w:hAnsi="Times New Roman" w:eastAsia="仿宋_GB2312" w:cs="Times New Roman"/>
          <w:color w:val="000000" w:themeColor="text1"/>
          <w:sz w:val="32"/>
          <w:szCs w:val="32"/>
          <w14:textFill>
            <w14:solidFill>
              <w14:schemeClr w14:val="tx1"/>
            </w14:solidFill>
          </w14:textFill>
        </w:rPr>
        <w:t>元增加到</w:t>
      </w:r>
      <w:r>
        <w:rPr>
          <w:rFonts w:hint="eastAsia" w:ascii="Times New Roman" w:hAnsi="Times New Roman" w:eastAsia="仿宋_GB2312" w:cs="Times New Roman"/>
          <w:color w:val="000000" w:themeColor="text1"/>
          <w:sz w:val="32"/>
          <w:szCs w:val="32"/>
          <w14:textFill>
            <w14:solidFill>
              <w14:schemeClr w14:val="tx1"/>
            </w14:solidFill>
          </w14:textFill>
        </w:rPr>
        <w:t>14119</w:t>
      </w:r>
      <w:r>
        <w:rPr>
          <w:rFonts w:ascii="Times New Roman" w:hAnsi="Times New Roman" w:eastAsia="仿宋_GB2312" w:cs="Times New Roman"/>
          <w:color w:val="000000" w:themeColor="text1"/>
          <w:sz w:val="32"/>
          <w:szCs w:val="32"/>
          <w14:textFill>
            <w14:solidFill>
              <w14:schemeClr w14:val="tx1"/>
            </w14:solidFill>
          </w14:textFill>
        </w:rPr>
        <w:t>元，年均增长1</w:t>
      </w:r>
      <w:r>
        <w:rPr>
          <w:rFonts w:hint="eastAsia" w:ascii="Times New Roman" w:hAnsi="Times New Roman" w:eastAsia="仿宋_GB2312" w:cs="Times New Roman"/>
          <w:color w:val="000000" w:themeColor="text1"/>
          <w:sz w:val="32"/>
          <w:szCs w:val="32"/>
          <w14:textFill>
            <w14:solidFill>
              <w14:schemeClr w14:val="tx1"/>
            </w14:solidFill>
          </w14:textFill>
        </w:rPr>
        <w:t>0.1</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市扶贫开发办公室获全国脱贫攻坚工作先进集体。</w:t>
      </w:r>
      <w:r>
        <w:rPr>
          <w:rFonts w:ascii="Times New Roman" w:hAnsi="Times New Roman" w:eastAsia="仿宋_GB2312" w:cs="Times New Roman"/>
          <w:color w:val="000000" w:themeColor="text1"/>
          <w:sz w:val="32"/>
          <w:szCs w:val="32"/>
          <w14:textFill>
            <w14:solidFill>
              <w14:schemeClr w14:val="tx1"/>
            </w14:solidFill>
          </w14:textFill>
        </w:rPr>
        <w:t>易地扶贫搬迁</w:t>
      </w:r>
      <w:r>
        <w:rPr>
          <w:rFonts w:hint="eastAsia" w:ascii="Times New Roman" w:hAnsi="Times New Roman" w:eastAsia="仿宋_GB2312" w:cs="Times New Roman"/>
          <w:color w:val="000000" w:themeColor="text1"/>
          <w:sz w:val="32"/>
          <w:szCs w:val="32"/>
          <w14:textFill>
            <w14:solidFill>
              <w14:schemeClr w14:val="tx1"/>
            </w14:solidFill>
          </w14:textFill>
        </w:rPr>
        <w:t>人数89545人，</w:t>
      </w:r>
      <w:r>
        <w:rPr>
          <w:rFonts w:ascii="Times New Roman" w:hAnsi="Times New Roman" w:eastAsia="仿宋_GB2312" w:cs="Times New Roman"/>
          <w:color w:val="000000" w:themeColor="text1"/>
          <w:sz w:val="32"/>
          <w:szCs w:val="32"/>
          <w14:textFill>
            <w14:solidFill>
              <w14:schemeClr w14:val="tx1"/>
            </w14:solidFill>
          </w14:textFill>
        </w:rPr>
        <w:t>入住率、拆旧复垦率、产业覆盖率均达到100%，易地扶贫搬迁工作获全国先进</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易地扶贫搬迁</w:t>
      </w:r>
      <w:r>
        <w:rPr>
          <w:rFonts w:hint="eastAsia" w:ascii="Times New Roman" w:hAnsi="Times New Roman" w:eastAsia="仿宋_GB2312" w:cs="Times New Roman"/>
          <w:color w:val="000000" w:themeColor="text1"/>
          <w:sz w:val="32"/>
          <w:szCs w:val="32"/>
          <w14:textFill>
            <w14:solidFill>
              <w14:schemeClr w14:val="tx1"/>
            </w14:solidFill>
          </w14:textFill>
        </w:rPr>
        <w:t>社区融合经验获得全国推介；</w:t>
      </w:r>
      <w:r>
        <w:rPr>
          <w:rFonts w:ascii="Times New Roman" w:hAnsi="Times New Roman" w:eastAsia="仿宋_GB2312" w:cs="Times New Roman"/>
          <w:b/>
          <w:bCs/>
          <w:color w:val="000000" w:themeColor="text1"/>
          <w:sz w:val="32"/>
          <w:szCs w:val="32"/>
          <w14:textFill>
            <w14:solidFill>
              <w14:schemeClr w14:val="tx1"/>
            </w14:solidFill>
          </w14:textFill>
        </w:rPr>
        <w:t>重大风险得到有效防范和化解。</w:t>
      </w:r>
      <w:r>
        <w:rPr>
          <w:rFonts w:ascii="Times New Roman" w:hAnsi="Times New Roman" w:eastAsia="仿宋_GB2312" w:cs="Times New Roman"/>
          <w:sz w:val="32"/>
          <w:szCs w:val="32"/>
        </w:rPr>
        <w:t>坚持实施</w:t>
      </w:r>
      <w:r>
        <w:rPr>
          <w:rFonts w:hint="eastAsia" w:ascii="仿宋" w:hAnsi="仿宋" w:cs="Times New Roman"/>
          <w:sz w:val="32"/>
          <w:szCs w:val="32"/>
        </w:rPr>
        <w:t>“</w:t>
      </w:r>
      <w:r>
        <w:rPr>
          <w:rFonts w:ascii="Times New Roman" w:hAnsi="Times New Roman" w:eastAsia="仿宋_GB2312" w:cs="Times New Roman"/>
          <w:sz w:val="32"/>
          <w:szCs w:val="32"/>
        </w:rPr>
        <w:t>控增量、化存量、防断链、防风险</w:t>
      </w:r>
      <w:r>
        <w:rPr>
          <w:rFonts w:hint="eastAsia" w:ascii="仿宋" w:hAnsi="仿宋" w:cs="Times New Roman"/>
          <w:sz w:val="32"/>
          <w:szCs w:val="32"/>
        </w:rPr>
        <w:t>”</w:t>
      </w:r>
      <w:r>
        <w:rPr>
          <w:rFonts w:ascii="Times New Roman" w:hAnsi="Times New Roman" w:eastAsia="仿宋_GB2312" w:cs="Times New Roman"/>
          <w:sz w:val="32"/>
          <w:szCs w:val="32"/>
        </w:rPr>
        <w:t>37条措施，积极实行</w:t>
      </w:r>
      <w:r>
        <w:rPr>
          <w:rFonts w:hint="eastAsia" w:ascii="仿宋" w:hAnsi="仿宋" w:cs="Times New Roman"/>
          <w:sz w:val="32"/>
          <w:szCs w:val="32"/>
        </w:rPr>
        <w:t>“</w:t>
      </w:r>
      <w:r>
        <w:rPr>
          <w:rFonts w:ascii="Times New Roman" w:hAnsi="Times New Roman" w:eastAsia="仿宋_GB2312" w:cs="Times New Roman"/>
          <w:sz w:val="32"/>
          <w:szCs w:val="32"/>
        </w:rPr>
        <w:t>调、缓、停、撤</w:t>
      </w:r>
      <w:r>
        <w:rPr>
          <w:rFonts w:hint="eastAsia" w:ascii="仿宋" w:hAnsi="仿宋" w:cs="Times New Roman"/>
          <w:sz w:val="32"/>
          <w:szCs w:val="32"/>
        </w:rPr>
        <w:t>”</w:t>
      </w:r>
      <w:r>
        <w:rPr>
          <w:rFonts w:ascii="Times New Roman" w:hAnsi="Times New Roman" w:eastAsia="仿宋_GB2312" w:cs="Times New Roman"/>
          <w:sz w:val="32"/>
          <w:szCs w:val="32"/>
        </w:rPr>
        <w:t>和</w:t>
      </w:r>
      <w:r>
        <w:rPr>
          <w:rFonts w:hint="eastAsia" w:ascii="仿宋" w:hAnsi="仿宋" w:cs="Times New Roman"/>
          <w:sz w:val="32"/>
          <w:szCs w:val="32"/>
        </w:rPr>
        <w:t>“</w:t>
      </w:r>
      <w:r>
        <w:rPr>
          <w:rFonts w:ascii="Times New Roman" w:hAnsi="Times New Roman" w:eastAsia="仿宋_GB2312" w:cs="Times New Roman"/>
          <w:sz w:val="32"/>
          <w:szCs w:val="32"/>
        </w:rPr>
        <w:t>两个不予支付</w:t>
      </w:r>
      <w:r>
        <w:rPr>
          <w:rFonts w:hint="eastAsia" w:ascii="仿宋" w:hAnsi="仿宋" w:cs="Times New Roman"/>
          <w:sz w:val="32"/>
          <w:szCs w:val="32"/>
        </w:rPr>
        <w:t>”</w:t>
      </w:r>
      <w:r>
        <w:rPr>
          <w:rFonts w:ascii="Times New Roman" w:hAnsi="Times New Roman" w:eastAsia="仿宋_GB2312" w:cs="Times New Roman"/>
          <w:sz w:val="32"/>
          <w:szCs w:val="32"/>
        </w:rPr>
        <w:t>，坚决遏制隐性债务增量；积</w:t>
      </w:r>
      <w:r>
        <w:rPr>
          <w:rFonts w:hint="eastAsia" w:ascii="Times New Roman" w:hAnsi="Times New Roman" w:eastAsia="仿宋_GB2312" w:cs="Times New Roman"/>
          <w:sz w:val="32"/>
          <w:szCs w:val="32"/>
          <w:lang w:val="en-US" w:eastAsia="zh-CN"/>
        </w:rPr>
        <w:t>极</w:t>
      </w:r>
      <w:r>
        <w:rPr>
          <w:rFonts w:ascii="Times New Roman" w:hAnsi="Times New Roman" w:eastAsia="仿宋_GB2312" w:cs="Times New Roman"/>
          <w:sz w:val="32"/>
          <w:szCs w:val="32"/>
        </w:rPr>
        <w:t>稳妥化解隐性债务存量，任务完成率达139%；平滑缓释到期债务风险，有效推进平台公司整合转型。市本级综合债务率大幅下降，在全省率先退出高风险地区。防范化解政府债务风险工作跻身全省先进行列，2019</w:t>
      </w:r>
      <w:r>
        <w:rPr>
          <w:rFonts w:hint="eastAsia" w:ascii="Times New Roman" w:hAnsi="Times New Roman" w:eastAsia="仿宋_GB2312" w:cs="Times New Roman"/>
          <w:sz w:val="32"/>
          <w:szCs w:val="32"/>
        </w:rPr>
        <w:t>年、2020</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rPr>
        <w:t>连续两年</w:t>
      </w:r>
      <w:r>
        <w:rPr>
          <w:rFonts w:ascii="Times New Roman" w:hAnsi="Times New Roman" w:eastAsia="仿宋_GB2312" w:cs="Times New Roman"/>
          <w:sz w:val="32"/>
          <w:szCs w:val="32"/>
        </w:rPr>
        <w:t>绩效考核排全省第一。</w:t>
      </w:r>
      <w:r>
        <w:rPr>
          <w:rFonts w:ascii="Times New Roman" w:hAnsi="Times New Roman" w:eastAsia="仿宋_GB2312" w:cs="Times New Roman"/>
          <w:b/>
          <w:bCs/>
          <w:color w:val="000000" w:themeColor="text1"/>
          <w:sz w:val="32"/>
          <w:szCs w:val="32"/>
          <w14:textFill>
            <w14:solidFill>
              <w14:schemeClr w14:val="tx1"/>
            </w14:solidFill>
          </w14:textFill>
        </w:rPr>
        <w:t>污染防治攻坚战绩不俗。</w:t>
      </w:r>
      <w:r>
        <w:rPr>
          <w:rFonts w:ascii="Times New Roman" w:hAnsi="Times New Roman" w:eastAsia="仿宋_GB2312" w:cs="Times New Roman"/>
          <w:color w:val="000000" w:themeColor="text1"/>
          <w:sz w:val="32"/>
          <w:szCs w:val="32"/>
          <w14:textFill>
            <w14:solidFill>
              <w14:schemeClr w14:val="tx1"/>
            </w14:solidFill>
          </w14:textFill>
        </w:rPr>
        <w:t>全面完成中央、省生态环保督察及</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回头看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反馈问题整改落实。全力推进污染防治</w:t>
      </w:r>
      <w:r>
        <w:rPr>
          <w:rFonts w:hint="eastAsia" w:ascii="Times New Roman" w:hAnsi="Times New Roman" w:eastAsia="仿宋_GB2312" w:cs="Times New Roman"/>
          <w:color w:val="000000" w:themeColor="text1"/>
          <w:sz w:val="32"/>
          <w:szCs w:val="32"/>
          <w14:textFill>
            <w14:solidFill>
              <w14:schemeClr w14:val="tx1"/>
            </w14:solidFill>
          </w14:textFill>
        </w:rPr>
        <w:t>攻坚</w:t>
      </w:r>
      <w:r>
        <w:rPr>
          <w:rFonts w:ascii="Times New Roman" w:hAnsi="Times New Roman" w:eastAsia="仿宋_GB2312" w:cs="Times New Roman"/>
          <w:color w:val="000000" w:themeColor="text1"/>
          <w:sz w:val="32"/>
          <w:szCs w:val="32"/>
          <w14:textFill>
            <w14:solidFill>
              <w14:schemeClr w14:val="tx1"/>
            </w14:solidFill>
          </w14:textFill>
        </w:rPr>
        <w:t>战三年行动，打好蓝天、碧水、净土保卫战。黏土砖厂全部退出，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僵尸船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清理全部完成，城区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黄标车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10蒸吨以下燃煤锅炉全部淘汰，空气质量综合指数排名从全省第13名提升到第7名。全市地表水水质总体为优，所有监测断面水质达标率100%。生态环境建设成效明显，创建国家森林城市取得重大进展，形成了以市城区为中心、县市为基础、覆盖乡村的全域创森格局。</w:t>
      </w:r>
    </w:p>
    <w:p>
      <w:pPr>
        <w:widowControl w:val="0"/>
        <w:adjustRightInd/>
        <w:snapToGrid/>
        <w:spacing w:before="0" w:after="0" w:line="560" w:lineRule="exact"/>
        <w:ind w:firstLine="643" w:firstLineChars="200"/>
        <w:jc w:val="both"/>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5.乡村振兴初见成效。</w:t>
      </w:r>
      <w:r>
        <w:rPr>
          <w:rFonts w:ascii="Times New Roman" w:hAnsi="Times New Roman" w:eastAsia="仿宋_GB2312" w:cs="Times New Roman"/>
          <w:b/>
          <w:color w:val="000000" w:themeColor="text1"/>
          <w:sz w:val="32"/>
          <w:szCs w:val="32"/>
          <w14:textFill>
            <w14:solidFill>
              <w14:schemeClr w14:val="tx1"/>
            </w14:solidFill>
          </w14:textFill>
        </w:rPr>
        <w:t>农业生产稳定提质。</w:t>
      </w:r>
      <w:r>
        <w:rPr>
          <w:rFonts w:ascii="Times New Roman" w:hAnsi="Times New Roman" w:eastAsia="仿宋_GB2312" w:cs="Times New Roman"/>
          <w:color w:val="000000" w:themeColor="text1"/>
          <w:sz w:val="32"/>
          <w:szCs w:val="32"/>
          <w14:textFill>
            <w14:solidFill>
              <w14:schemeClr w14:val="tx1"/>
            </w14:solidFill>
          </w14:textFill>
        </w:rPr>
        <w:t>扎实推进农业供给侧结构性改革，粮食安全保障有力，</w:t>
      </w:r>
      <w:r>
        <w:rPr>
          <w:rFonts w:hint="eastAsia" w:ascii="Times New Roman" w:hAnsi="Times New Roman" w:eastAsia="仿宋_GB2312" w:cs="Times New Roman"/>
          <w:color w:val="000000" w:themeColor="text1"/>
          <w:sz w:val="32"/>
          <w:szCs w:val="32"/>
          <w14:textFill>
            <w14:solidFill>
              <w14:schemeClr w14:val="tx1"/>
            </w14:solidFill>
          </w14:textFill>
        </w:rPr>
        <w:t>粮食</w:t>
      </w:r>
      <w:r>
        <w:rPr>
          <w:rFonts w:ascii="Times New Roman" w:hAnsi="Times New Roman" w:eastAsia="仿宋_GB2312" w:cs="Times New Roman"/>
          <w:color w:val="000000" w:themeColor="text1"/>
          <w:sz w:val="32"/>
          <w:szCs w:val="32"/>
          <w14:textFill>
            <w14:solidFill>
              <w14:schemeClr w14:val="tx1"/>
            </w14:solidFill>
          </w14:textFill>
        </w:rPr>
        <w:t>生产面积、产量、质量实现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三提升</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，主要农产品供给基本保持稳定，基本农田划定工作获国家部委表彰。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六大强农</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行动扎实推进，农业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一县一特、一特一片</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基本形成。百亿农业优势特色产业发展迅速，全市</w:t>
      </w:r>
      <w:r>
        <w:rPr>
          <w:rFonts w:hint="eastAsia" w:ascii="Times New Roman" w:hAnsi="Times New Roman" w:eastAsia="仿宋_GB2312" w:cs="Times New Roman"/>
          <w:color w:val="000000" w:themeColor="text1"/>
          <w:sz w:val="32"/>
          <w:szCs w:val="32"/>
          <w14:textFill>
            <w14:solidFill>
              <w14:schemeClr w14:val="tx1"/>
            </w14:solidFill>
          </w14:textFill>
        </w:rPr>
        <w:t>成功创建</w:t>
      </w:r>
      <w:r>
        <w:rPr>
          <w:rFonts w:ascii="Times New Roman" w:hAnsi="Times New Roman" w:eastAsia="仿宋_GB2312" w:cs="Times New Roman"/>
          <w:color w:val="000000" w:themeColor="text1"/>
          <w:sz w:val="32"/>
          <w:szCs w:val="32"/>
          <w14:textFill>
            <w14:solidFill>
              <w14:schemeClr w14:val="tx1"/>
            </w14:solidFill>
          </w14:textFill>
        </w:rPr>
        <w:t>省级现代农业特色产业园</w:t>
      </w:r>
      <w:r>
        <w:rPr>
          <w:rFonts w:hint="eastAsia" w:ascii="Times New Roman" w:hAnsi="Times New Roman" w:eastAsia="仿宋_GB2312" w:cs="Times New Roman"/>
          <w:color w:val="000000" w:themeColor="text1"/>
          <w:sz w:val="32"/>
          <w:szCs w:val="32"/>
          <w14:textFill>
            <w14:solidFill>
              <w14:schemeClr w14:val="tx1"/>
            </w14:solidFill>
          </w14:textFill>
        </w:rPr>
        <w:t>59</w:t>
      </w:r>
      <w:r>
        <w:rPr>
          <w:rFonts w:ascii="Times New Roman" w:hAnsi="Times New Roman" w:eastAsia="仿宋_GB2312" w:cs="Times New Roman"/>
          <w:color w:val="000000" w:themeColor="text1"/>
          <w:sz w:val="32"/>
          <w:szCs w:val="32"/>
          <w14:textFill>
            <w14:solidFill>
              <w14:schemeClr w14:val="tx1"/>
            </w14:solidFill>
          </w14:textFill>
        </w:rPr>
        <w:t>个，</w:t>
      </w:r>
      <w:r>
        <w:rPr>
          <w:rFonts w:hint="eastAsia" w:ascii="Times New Roman" w:hAnsi="Times New Roman" w:eastAsia="仿宋_GB2312" w:cs="Times New Roman"/>
          <w:color w:val="000000" w:themeColor="text1"/>
          <w:sz w:val="32"/>
          <w:szCs w:val="32"/>
          <w14:textFill>
            <w14:solidFill>
              <w14:schemeClr w14:val="tx1"/>
            </w14:solidFill>
          </w14:textFill>
        </w:rPr>
        <w:t>省级现代农业特色产业集聚区2个，省级优质农副产品供应示范基地6个；</w:t>
      </w:r>
      <w:r>
        <w:rPr>
          <w:rFonts w:ascii="Times New Roman" w:hAnsi="Times New Roman" w:eastAsia="仿宋_GB2312" w:cs="Times New Roman"/>
          <w:color w:val="000000" w:themeColor="text1"/>
          <w:sz w:val="32"/>
          <w:szCs w:val="32"/>
          <w14:textFill>
            <w14:solidFill>
              <w14:schemeClr w14:val="tx1"/>
            </w14:solidFill>
          </w14:textFill>
        </w:rPr>
        <w:t>全市农产品加工企业发展到</w:t>
      </w:r>
      <w:r>
        <w:rPr>
          <w:rFonts w:hint="eastAsia" w:ascii="Times New Roman" w:hAnsi="Times New Roman" w:eastAsia="仿宋_GB2312" w:cs="Times New Roman"/>
          <w:color w:val="000000" w:themeColor="text1"/>
          <w:sz w:val="32"/>
          <w:szCs w:val="32"/>
          <w14:textFill>
            <w14:solidFill>
              <w14:schemeClr w14:val="tx1"/>
            </w14:solidFill>
          </w14:textFill>
        </w:rPr>
        <w:t>6623</w:t>
      </w:r>
      <w:r>
        <w:rPr>
          <w:rFonts w:ascii="Times New Roman" w:hAnsi="Times New Roman" w:eastAsia="仿宋_GB2312" w:cs="Times New Roman"/>
          <w:color w:val="000000" w:themeColor="text1"/>
          <w:sz w:val="32"/>
          <w:szCs w:val="32"/>
          <w14:textFill>
            <w14:solidFill>
              <w14:schemeClr w14:val="tx1"/>
            </w14:solidFill>
          </w14:textFill>
        </w:rPr>
        <w:t>家。新获认定国家级龙头企业3家，总数达到</w:t>
      </w:r>
      <w:r>
        <w:rPr>
          <w:rFonts w:hint="eastAsia" w:ascii="Times New Roman" w:hAnsi="Times New Roman" w:eastAsia="仿宋_GB2312" w:cs="Times New Roman"/>
          <w:color w:val="000000" w:themeColor="text1"/>
          <w:sz w:val="32"/>
          <w:szCs w:val="32"/>
          <w14:textFill>
            <w14:solidFill>
              <w14:schemeClr w14:val="tx1"/>
            </w14:solidFill>
          </w14:textFill>
        </w:rPr>
        <w:t>4</w:t>
      </w:r>
      <w:r>
        <w:rPr>
          <w:rFonts w:ascii="Times New Roman" w:hAnsi="Times New Roman" w:eastAsia="仿宋_GB2312" w:cs="Times New Roman"/>
          <w:color w:val="000000" w:themeColor="text1"/>
          <w:sz w:val="32"/>
          <w:szCs w:val="32"/>
          <w14:textFill>
            <w14:solidFill>
              <w14:schemeClr w14:val="tx1"/>
            </w14:solidFill>
          </w14:textFill>
        </w:rPr>
        <w:t>家。邵阳县（油茶）、邵东市(中药材）先后纳入国家特色农产品优势区，</w:t>
      </w:r>
      <w:r>
        <w:rPr>
          <w:rFonts w:ascii="Times New Roman" w:hAnsi="Times New Roman" w:cs="Times New Roman"/>
          <w:bCs/>
          <w:color w:val="000000" w:themeColor="text1"/>
          <w:sz w:val="32"/>
          <w:szCs w:val="32"/>
          <w14:textFill>
            <w14:solidFill>
              <w14:schemeClr w14:val="tx1"/>
            </w14:solidFill>
          </w14:textFill>
        </w:rPr>
        <w:t>新宁</w:t>
      </w:r>
      <w:r>
        <w:rPr>
          <w:rFonts w:ascii="Times New Roman" w:hAnsi="Times New Roman" w:cs="Times New Roman"/>
          <w:color w:val="000000" w:themeColor="text1"/>
          <w:sz w:val="32"/>
          <w:szCs w:val="32"/>
          <w14:textFill>
            <w14:solidFill>
              <w14:schemeClr w14:val="tx1"/>
            </w14:solidFill>
          </w14:textFill>
        </w:rPr>
        <w:t>县列入</w:t>
      </w:r>
      <w:r>
        <w:rPr>
          <w:rFonts w:ascii="Times New Roman" w:hAnsi="Times New Roman" w:cs="Times New Roman"/>
          <w:bCs/>
          <w:color w:val="000000" w:themeColor="text1"/>
          <w:sz w:val="32"/>
          <w:szCs w:val="32"/>
          <w14:textFill>
            <w14:solidFill>
              <w14:schemeClr w14:val="tx1"/>
            </w14:solidFill>
          </w14:textFill>
        </w:rPr>
        <w:t>国家农业绿色发展先行区</w:t>
      </w:r>
      <w:r>
        <w:rPr>
          <w:rFonts w:ascii="Times New Roman" w:hAnsi="Times New Roman" w:eastAsia="仿宋_GB2312" w:cs="Times New Roman"/>
          <w:color w:val="000000" w:themeColor="text1"/>
          <w:sz w:val="32"/>
          <w:szCs w:val="32"/>
          <w14:textFill>
            <w14:solidFill>
              <w14:schemeClr w14:val="tx1"/>
            </w14:solidFill>
          </w14:textFill>
        </w:rPr>
        <w:t>。新增有机食品认证2个、绿色食品认证63个、国家农产品地理标志</w:t>
      </w:r>
      <w:r>
        <w:rPr>
          <w:rFonts w:hint="eastAsia" w:ascii="Times New Roman" w:hAnsi="Times New Roman" w:eastAsia="仿宋_GB2312" w:cs="Times New Roman"/>
          <w:color w:val="000000" w:themeColor="text1"/>
          <w:sz w:val="32"/>
          <w:szCs w:val="32"/>
          <w14:textFill>
            <w14:solidFill>
              <w14:schemeClr w14:val="tx1"/>
            </w14:solidFill>
          </w14:textFill>
        </w:rPr>
        <w:t>9</w:t>
      </w:r>
      <w:r>
        <w:rPr>
          <w:rFonts w:ascii="Times New Roman" w:hAnsi="Times New Roman" w:eastAsia="仿宋_GB2312" w:cs="Times New Roman"/>
          <w:color w:val="000000" w:themeColor="text1"/>
          <w:sz w:val="32"/>
          <w:szCs w:val="32"/>
          <w14:textFill>
            <w14:solidFill>
              <w14:schemeClr w14:val="tx1"/>
            </w14:solidFill>
          </w14:textFill>
        </w:rPr>
        <w:t>个。出台了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邵阳红</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优质农产品公共品牌实施意见，56家企业的90个产品进入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邵阳红</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品牌目录。</w:t>
      </w:r>
      <w:r>
        <w:rPr>
          <w:rFonts w:ascii="Times New Roman" w:hAnsi="Times New Roman" w:eastAsia="仿宋_GB2312" w:cs="Times New Roman"/>
          <w:b/>
          <w:bCs/>
          <w:color w:val="000000" w:themeColor="text1"/>
          <w:sz w:val="32"/>
          <w:szCs w:val="32"/>
          <w14:textFill>
            <w14:solidFill>
              <w14:schemeClr w14:val="tx1"/>
            </w14:solidFill>
          </w14:textFill>
        </w:rPr>
        <w:t>乡镇建设不断完善。</w:t>
      </w:r>
      <w:r>
        <w:rPr>
          <w:rFonts w:ascii="Times New Roman" w:hAnsi="Times New Roman" w:eastAsia="仿宋_GB2312" w:cs="Times New Roman"/>
          <w:color w:val="000000" w:themeColor="text1"/>
          <w:sz w:val="32"/>
          <w:szCs w:val="32"/>
          <w14:textFill>
            <w14:solidFill>
              <w14:schemeClr w14:val="tx1"/>
            </w14:solidFill>
          </w14:textFill>
        </w:rPr>
        <w:t>建成全国重点镇18个、全国特色镇2个、全国特色景观旅游名镇名村2个，43个村入选中国传统村落名录。完成农村建房立法，规范农村建房管理。建成34座乡镇污水处理厂，县级以上城镇生活污水处理率达到95.3%。</w:t>
      </w:r>
      <w:r>
        <w:rPr>
          <w:rFonts w:ascii="Times New Roman" w:hAnsi="Times New Roman" w:eastAsia="仿宋_GB2312" w:cs="Times New Roman"/>
          <w:b/>
          <w:color w:val="000000" w:themeColor="text1"/>
          <w:sz w:val="32"/>
          <w:szCs w:val="32"/>
          <w14:textFill>
            <w14:solidFill>
              <w14:schemeClr w14:val="tx1"/>
            </w14:solidFill>
          </w14:textFill>
        </w:rPr>
        <w:t>农村人居环境呈现新貌。</w:t>
      </w:r>
      <w:r>
        <w:rPr>
          <w:rFonts w:ascii="Times New Roman" w:hAnsi="Times New Roman" w:eastAsia="仿宋_GB2312" w:cs="Times New Roman"/>
          <w:bCs/>
          <w:color w:val="000000" w:themeColor="text1"/>
          <w:sz w:val="32"/>
          <w:szCs w:val="32"/>
          <w14:textFill>
            <w14:solidFill>
              <w14:schemeClr w14:val="tx1"/>
            </w14:solidFill>
          </w14:textFill>
        </w:rPr>
        <w:t>实施农村人居环境整治三年行动，</w:t>
      </w:r>
      <w:r>
        <w:rPr>
          <w:rFonts w:ascii="Times New Roman" w:hAnsi="Times New Roman" w:eastAsia="仿宋_GB2312" w:cs="Times New Roman"/>
          <w:color w:val="000000" w:themeColor="text1"/>
          <w:sz w:val="32"/>
          <w:szCs w:val="32"/>
          <w14:textFill>
            <w14:solidFill>
              <w14:schemeClr w14:val="tx1"/>
            </w14:solidFill>
          </w14:textFill>
        </w:rPr>
        <w:t>完成</w:t>
      </w:r>
      <w:r>
        <w:rPr>
          <w:rFonts w:hint="eastAsia" w:ascii="Times New Roman" w:hAnsi="Times New Roman" w:eastAsia="仿宋_GB2312" w:cs="Times New Roman"/>
          <w:color w:val="000000" w:themeColor="text1"/>
          <w:sz w:val="32"/>
          <w:szCs w:val="32"/>
          <w14:textFill>
            <w14:solidFill>
              <w14:schemeClr w14:val="tx1"/>
            </w14:solidFill>
          </w14:textFill>
        </w:rPr>
        <w:t>3438</w:t>
      </w:r>
      <w:r>
        <w:rPr>
          <w:rFonts w:ascii="Times New Roman" w:hAnsi="Times New Roman" w:eastAsia="仿宋_GB2312" w:cs="Times New Roman"/>
          <w:color w:val="000000" w:themeColor="text1"/>
          <w:sz w:val="32"/>
          <w:szCs w:val="32"/>
          <w14:textFill>
            <w14:solidFill>
              <w14:schemeClr w14:val="tx1"/>
            </w14:solidFill>
          </w14:textFill>
        </w:rPr>
        <w:t>个村人居环境整治，积极推动</w:t>
      </w:r>
      <w:r>
        <w:rPr>
          <w:rFonts w:hint="eastAsia" w:ascii="Times New Roman" w:hAnsi="Times New Roman" w:eastAsia="仿宋_GB2312" w:cs="Times New Roman"/>
          <w:color w:val="000000" w:themeColor="text1"/>
          <w:sz w:val="32"/>
          <w:szCs w:val="32"/>
          <w14:textFill>
            <w14:solidFill>
              <w14:schemeClr w14:val="tx1"/>
            </w14:solidFill>
          </w14:textFill>
        </w:rPr>
        <w:t>192</w:t>
      </w:r>
      <w:r>
        <w:rPr>
          <w:rFonts w:ascii="Times New Roman" w:hAnsi="Times New Roman" w:eastAsia="仿宋_GB2312" w:cs="Times New Roman"/>
          <w:color w:val="000000" w:themeColor="text1"/>
          <w:sz w:val="32"/>
          <w:szCs w:val="32"/>
          <w14:textFill>
            <w14:solidFill>
              <w14:schemeClr w14:val="tx1"/>
            </w14:solidFill>
          </w14:textFill>
        </w:rPr>
        <w:t>个美丽乡村示范村建设，建成82座乡镇垃圾中转站，农村生活垃圾处理率达到98%。垃圾分类回收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一村一站一员</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机制在全国推广。</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6.改革开放持续深化。</w:t>
      </w:r>
      <w:bookmarkStart w:id="84" w:name="_Hlk59180057"/>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放管服</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改革</w:t>
      </w:r>
      <w:bookmarkEnd w:id="84"/>
      <w:r>
        <w:rPr>
          <w:rFonts w:ascii="Times New Roman" w:hAnsi="Times New Roman" w:eastAsia="仿宋_GB2312" w:cs="Times New Roman"/>
          <w:b/>
          <w:bCs/>
          <w:color w:val="000000" w:themeColor="text1"/>
          <w:sz w:val="32"/>
          <w:szCs w:val="32"/>
          <w14:textFill>
            <w14:solidFill>
              <w14:schemeClr w14:val="tx1"/>
            </w14:solidFill>
          </w14:textFill>
        </w:rPr>
        <w:t>取得突破。</w:t>
      </w:r>
      <w:r>
        <w:rPr>
          <w:rFonts w:ascii="Times New Roman" w:hAnsi="Times New Roman" w:eastAsia="仿宋_GB2312" w:cs="Times New Roman"/>
          <w:color w:val="000000" w:themeColor="text1"/>
          <w:sz w:val="32"/>
          <w:szCs w:val="32"/>
          <w14:textFill>
            <w14:solidFill>
              <w14:schemeClr w14:val="tx1"/>
            </w14:solidFill>
          </w14:textFill>
        </w:rPr>
        <w:t>简政放权和商事改革稳步推进，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一件事一次办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改革进展顺利，群众办事效率显著提高。</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三集中三到位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改革基本完成，工程建设审批制度改革加快推进。率先开展非税收入收缴电子化改革，全省第一份财政电子票据在我市诞生。南山</w:t>
      </w:r>
      <w:bookmarkStart w:id="85" w:name="_Hlk59180136"/>
      <w:r>
        <w:rPr>
          <w:rFonts w:ascii="Times New Roman" w:hAnsi="Times New Roman" w:eastAsia="仿宋_GB2312" w:cs="Times New Roman"/>
          <w:color w:val="000000" w:themeColor="text1"/>
          <w:sz w:val="32"/>
          <w:szCs w:val="32"/>
          <w14:textFill>
            <w14:solidFill>
              <w14:schemeClr w14:val="tx1"/>
            </w14:solidFill>
          </w14:textFill>
        </w:rPr>
        <w:t>国家公园体制试点</w:t>
      </w:r>
      <w:bookmarkEnd w:id="85"/>
      <w:r>
        <w:rPr>
          <w:rFonts w:hint="eastAsia" w:ascii="Times New Roman" w:hAnsi="Times New Roman" w:eastAsia="仿宋_GB2312" w:cs="Times New Roman"/>
          <w:color w:val="000000" w:themeColor="text1"/>
          <w:sz w:val="32"/>
          <w:szCs w:val="32"/>
          <w14:textFill>
            <w14:solidFill>
              <w14:schemeClr w14:val="tx1"/>
            </w14:solidFill>
          </w14:textFill>
        </w:rPr>
        <w:t>顺利通过国家考核验收</w:t>
      </w:r>
      <w:r>
        <w:rPr>
          <w:rFonts w:ascii="Times New Roman" w:hAnsi="Times New Roman" w:eastAsia="仿宋_GB2312" w:cs="Times New Roman"/>
          <w:color w:val="000000" w:themeColor="text1"/>
          <w:sz w:val="32"/>
          <w:szCs w:val="32"/>
          <w14:textFill>
            <w14:solidFill>
              <w14:schemeClr w14:val="tx1"/>
            </w14:solidFill>
          </w14:textFill>
        </w:rPr>
        <w:t>，为国家公园建设打造了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南山样本</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。供给侧结构性改革迈出实质性步伐，关停退出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散乱污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企业56家，关闭矿山60个。</w:t>
      </w:r>
      <w:r>
        <w:rPr>
          <w:rFonts w:ascii="Times New Roman" w:hAnsi="Times New Roman" w:eastAsia="仿宋_GB2312" w:cs="Times New Roman"/>
          <w:b/>
          <w:bCs/>
          <w:color w:val="000000" w:themeColor="text1"/>
          <w:sz w:val="32"/>
          <w:szCs w:val="32"/>
          <w14:textFill>
            <w14:solidFill>
              <w14:schemeClr w14:val="tx1"/>
            </w14:solidFill>
          </w14:textFill>
        </w:rPr>
        <w:t>营商环境不断优化。</w:t>
      </w:r>
      <w:r>
        <w:rPr>
          <w:rFonts w:ascii="Times New Roman" w:hAnsi="Times New Roman" w:eastAsia="仿宋_GB2312" w:cs="Times New Roman"/>
          <w:color w:val="000000" w:themeColor="text1"/>
          <w:sz w:val="32"/>
          <w:szCs w:val="32"/>
          <w14:textFill>
            <w14:solidFill>
              <w14:schemeClr w14:val="tx1"/>
            </w14:solidFill>
          </w14:textFill>
        </w:rPr>
        <w:t>出台了促进民营经济高质量发展33条、优化营商环境10条以及营商环境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1+7+10</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工作体系，持续开展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优化营商环境提升年</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活动，从政治、经济、政务、社会、人才、廉洁、舆论等七个方面着力，压实工作责任，加强督促整改，强化考核评价，形成工作合力，在全省营商环境考核评价中走在大湘西前列。市场主体每年保持两位数增长，达到35.6万户，总量居全省第四位。</w:t>
      </w:r>
      <w:r>
        <w:rPr>
          <w:rFonts w:ascii="Times New Roman" w:hAnsi="Times New Roman" w:eastAsia="仿宋_GB2312" w:cs="Times New Roman"/>
          <w:b/>
          <w:bCs/>
          <w:color w:val="000000" w:themeColor="text1"/>
          <w:sz w:val="32"/>
          <w:szCs w:val="32"/>
          <w14:textFill>
            <w14:solidFill>
              <w14:schemeClr w14:val="tx1"/>
            </w14:solidFill>
          </w14:textFill>
        </w:rPr>
        <w:t>开放型经济取得突破。</w:t>
      </w:r>
      <w:r>
        <w:rPr>
          <w:rFonts w:ascii="Times New Roman" w:hAnsi="Times New Roman" w:eastAsia="仿宋_GB2312" w:cs="Times New Roman"/>
          <w:color w:val="000000" w:themeColor="text1"/>
          <w:sz w:val="32"/>
          <w:szCs w:val="32"/>
          <w14:textFill>
            <w14:solidFill>
              <w14:schemeClr w14:val="tx1"/>
            </w14:solidFill>
          </w14:textFill>
        </w:rPr>
        <w:t>邵阳海关开关运行，建成邵阳经开区和9个县市保税仓监管仓、14个企业自用型保税仓。全球邵商大会做成品牌，成功举办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推进湘南湘西承接产业转移示范区对接</w:t>
      </w:r>
      <w:bookmarkStart w:id="86" w:name="_Hlk59180502"/>
      <w:r>
        <w:rPr>
          <w:rFonts w:ascii="Times New Roman" w:hAnsi="Times New Roman" w:eastAsia="仿宋_GB2312" w:cs="Times New Roman"/>
          <w:color w:val="000000" w:themeColor="text1"/>
          <w:sz w:val="32"/>
          <w:szCs w:val="32"/>
          <w14:textFill>
            <w14:solidFill>
              <w14:schemeClr w14:val="tx1"/>
            </w14:solidFill>
          </w14:textFill>
        </w:rPr>
        <w:t>粤港澳大湾区</w:t>
      </w:r>
      <w:bookmarkEnd w:id="86"/>
      <w:r>
        <w:rPr>
          <w:rFonts w:ascii="Times New Roman" w:hAnsi="Times New Roman" w:eastAsia="仿宋_GB2312" w:cs="Times New Roman"/>
          <w:color w:val="000000" w:themeColor="text1"/>
          <w:sz w:val="32"/>
          <w:szCs w:val="32"/>
          <w14:textFill>
            <w14:solidFill>
              <w14:schemeClr w14:val="tx1"/>
            </w14:solidFill>
          </w14:textFill>
        </w:rPr>
        <w:t>产业融合发展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高峰论坛、邵阳名优产品走进东盟经贸博览会。引进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三类500强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企业</w:t>
      </w:r>
      <w:r>
        <w:rPr>
          <w:rFonts w:hint="eastAsia" w:ascii="Times New Roman" w:hAnsi="Times New Roman" w:eastAsia="仿宋_GB2312" w:cs="Times New Roman"/>
          <w:color w:val="000000" w:themeColor="text1"/>
          <w:sz w:val="32"/>
          <w:szCs w:val="32"/>
          <w14:textFill>
            <w14:solidFill>
              <w14:schemeClr w14:val="tx1"/>
            </w14:solidFill>
          </w14:textFill>
        </w:rPr>
        <w:t>26</w:t>
      </w:r>
      <w:r>
        <w:rPr>
          <w:rFonts w:ascii="Times New Roman" w:hAnsi="Times New Roman" w:eastAsia="仿宋_GB2312" w:cs="Times New Roman"/>
          <w:color w:val="000000" w:themeColor="text1"/>
          <w:sz w:val="32"/>
          <w:szCs w:val="32"/>
          <w14:textFill>
            <w14:solidFill>
              <w14:schemeClr w14:val="tx1"/>
            </w14:solidFill>
          </w14:textFill>
        </w:rPr>
        <w:t>家。外贸出口总额</w:t>
      </w:r>
      <w:r>
        <w:rPr>
          <w:rFonts w:hint="eastAsia" w:ascii="Times New Roman" w:hAnsi="Times New Roman" w:eastAsia="仿宋_GB2312" w:cs="Times New Roman"/>
          <w:color w:val="000000" w:themeColor="text1"/>
          <w:sz w:val="32"/>
          <w:szCs w:val="32"/>
          <w14:textFill>
            <w14:solidFill>
              <w14:schemeClr w14:val="tx1"/>
            </w14:solidFill>
          </w14:textFill>
        </w:rPr>
        <w:t>257.7</w:t>
      </w:r>
      <w:r>
        <w:rPr>
          <w:rFonts w:ascii="Times New Roman" w:hAnsi="Times New Roman" w:eastAsia="仿宋_GB2312" w:cs="Times New Roman"/>
          <w:color w:val="000000" w:themeColor="text1"/>
          <w:sz w:val="32"/>
          <w:szCs w:val="32"/>
          <w14:textFill>
            <w14:solidFill>
              <w14:schemeClr w14:val="tx1"/>
            </w14:solidFill>
          </w14:textFill>
        </w:rPr>
        <w:t>亿元，年均增长</w:t>
      </w:r>
      <w:r>
        <w:rPr>
          <w:rFonts w:hint="eastAsia" w:ascii="Times New Roman" w:hAnsi="Times New Roman" w:eastAsia="仿宋_GB2312" w:cs="Times New Roman"/>
          <w:color w:val="000000" w:themeColor="text1"/>
          <w:sz w:val="32"/>
          <w:szCs w:val="32"/>
          <w14:textFill>
            <w14:solidFill>
              <w14:schemeClr w14:val="tx1"/>
            </w14:solidFill>
          </w14:textFill>
        </w:rPr>
        <w:t>31.8</w:t>
      </w:r>
      <w:r>
        <w:rPr>
          <w:rFonts w:ascii="Times New Roman" w:hAnsi="Times New Roman" w:eastAsia="仿宋_GB2312" w:cs="Times New Roman"/>
          <w:color w:val="000000" w:themeColor="text1"/>
          <w:sz w:val="32"/>
          <w:szCs w:val="32"/>
          <w14:textFill>
            <w14:solidFill>
              <w14:schemeClr w14:val="tx1"/>
            </w14:solidFill>
          </w14:textFill>
        </w:rPr>
        <w:t>%，高于全省</w:t>
      </w:r>
      <w:r>
        <w:rPr>
          <w:rFonts w:hint="eastAsia" w:ascii="Times New Roman" w:hAnsi="Times New Roman" w:eastAsia="仿宋_GB2312" w:cs="Times New Roman"/>
          <w:color w:val="000000" w:themeColor="text1"/>
          <w:sz w:val="32"/>
          <w:szCs w:val="32"/>
          <w14:textFill>
            <w14:solidFill>
              <w14:schemeClr w14:val="tx1"/>
            </w14:solidFill>
          </w14:textFill>
        </w:rPr>
        <w:t>8.4</w:t>
      </w:r>
      <w:r>
        <w:rPr>
          <w:rFonts w:ascii="Times New Roman" w:hAnsi="Times New Roman" w:eastAsia="仿宋_GB2312" w:cs="Times New Roman"/>
          <w:color w:val="000000" w:themeColor="text1"/>
          <w:sz w:val="32"/>
          <w:szCs w:val="32"/>
          <w14:textFill>
            <w14:solidFill>
              <w14:schemeClr w14:val="tx1"/>
            </w14:solidFill>
          </w14:textFill>
        </w:rPr>
        <w:t>个百分点，</w:t>
      </w:r>
      <w:r>
        <w:rPr>
          <w:rFonts w:hint="eastAsia" w:ascii="Times New Roman" w:hAnsi="Times New Roman" w:eastAsia="仿宋_GB2312" w:cs="Times New Roman"/>
          <w:color w:val="000000" w:themeColor="text1"/>
          <w:sz w:val="32"/>
          <w:szCs w:val="32"/>
          <w14:textFill>
            <w14:solidFill>
              <w14:schemeClr w14:val="tx1"/>
            </w14:solidFill>
          </w14:textFill>
        </w:rPr>
        <w:t>年均</w:t>
      </w:r>
      <w:r>
        <w:rPr>
          <w:rFonts w:ascii="Times New Roman" w:hAnsi="Times New Roman" w:eastAsia="仿宋_GB2312" w:cs="Times New Roman"/>
          <w:color w:val="000000" w:themeColor="text1"/>
          <w:sz w:val="32"/>
          <w:szCs w:val="32"/>
          <w14:textFill>
            <w14:solidFill>
              <w14:schemeClr w14:val="tx1"/>
            </w14:solidFill>
          </w14:textFill>
        </w:rPr>
        <w:t>增速排全省第3位，总量由全省第7位上升到20</w:t>
      </w:r>
      <w:r>
        <w:rPr>
          <w:rFonts w:hint="eastAsia" w:ascii="Times New Roman" w:hAnsi="Times New Roman" w:eastAsia="仿宋_GB2312" w:cs="Times New Roman"/>
          <w:color w:val="000000" w:themeColor="text1"/>
          <w:sz w:val="32"/>
          <w:szCs w:val="32"/>
          <w14:textFill>
            <w14:solidFill>
              <w14:schemeClr w14:val="tx1"/>
            </w14:solidFill>
          </w14:textFill>
        </w:rPr>
        <w:t>20</w:t>
      </w:r>
      <w:r>
        <w:rPr>
          <w:rFonts w:ascii="Times New Roman" w:hAnsi="Times New Roman" w:eastAsia="仿宋_GB2312" w:cs="Times New Roman"/>
          <w:color w:val="000000" w:themeColor="text1"/>
          <w:sz w:val="32"/>
          <w:szCs w:val="32"/>
          <w14:textFill>
            <w14:solidFill>
              <w14:schemeClr w14:val="tx1"/>
            </w14:solidFill>
          </w14:textFill>
        </w:rPr>
        <w:t>年的第2位。邵阳发制品、邵东箱包、邵东打火机获批国家外贸转型升级基地。连续四年获评全省开放型经济先进市。</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7.民生保障扎实有力。</w:t>
      </w:r>
      <w:r>
        <w:rPr>
          <w:rFonts w:ascii="Times New Roman" w:hAnsi="Times New Roman" w:eastAsia="仿宋_GB2312" w:cs="Times New Roman"/>
          <w:b/>
          <w:color w:val="000000" w:themeColor="text1"/>
          <w:sz w:val="32"/>
          <w:szCs w:val="32"/>
          <w14:textFill>
            <w14:solidFill>
              <w14:schemeClr w14:val="tx1"/>
            </w14:solidFill>
          </w14:textFill>
        </w:rPr>
        <w:t>社保体系不断完善</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基本养老、医疗、失业、工伤、生育保险覆盖面进一步扩大，城乡居民社会养老保险实现全覆盖，基本医保参保率达到97.5%，城乡低保基本实现应保尽保。武冈市跻身2020年中国社会保障百佳县市。住房公积金管理工作跻身全国50强。</w:t>
      </w:r>
      <w:r>
        <w:rPr>
          <w:rFonts w:ascii="Times New Roman" w:hAnsi="Times New Roman" w:eastAsia="仿宋_GB2312" w:cs="Times New Roman"/>
          <w:b/>
          <w:bCs/>
          <w:color w:val="000000" w:themeColor="text1"/>
          <w:sz w:val="32"/>
          <w:szCs w:val="32"/>
          <w14:textFill>
            <w14:solidFill>
              <w14:schemeClr w14:val="tx1"/>
            </w14:solidFill>
          </w14:textFill>
        </w:rPr>
        <w:t>基本民生保障有力。</w:t>
      </w:r>
      <w:r>
        <w:rPr>
          <w:rFonts w:ascii="Times New Roman" w:hAnsi="Times New Roman" w:eastAsia="仿宋_GB2312" w:cs="Times New Roman"/>
          <w:color w:val="000000" w:themeColor="text1"/>
          <w:sz w:val="32"/>
          <w:szCs w:val="32"/>
          <w14:textFill>
            <w14:solidFill>
              <w14:schemeClr w14:val="tx1"/>
            </w14:solidFill>
          </w14:textFill>
        </w:rPr>
        <w:t>就业规模继续扩大，五年新增城镇就业25.3万人，新增农村劳动力转移就业25.7万人，城镇登记失业率控制在4.5%以内。保障性安居工程加快实施，完成公租房建设28443套、棚户区改造13.1万户，市区C、D级危房改造完成计划的230%。物价水平总体保持稳定。</w:t>
      </w:r>
      <w:r>
        <w:rPr>
          <w:rFonts w:ascii="Times New Roman" w:hAnsi="Times New Roman" w:eastAsia="仿宋_GB2312" w:cs="Times New Roman"/>
          <w:b/>
          <w:bCs/>
          <w:color w:val="000000" w:themeColor="text1"/>
          <w:sz w:val="32"/>
          <w:szCs w:val="32"/>
          <w14:textFill>
            <w14:solidFill>
              <w14:schemeClr w14:val="tx1"/>
            </w14:solidFill>
          </w14:textFill>
        </w:rPr>
        <w:t>教育事业稳步发展。</w:t>
      </w:r>
      <w:r>
        <w:rPr>
          <w:rFonts w:ascii="Times New Roman" w:hAnsi="Times New Roman" w:eastAsia="仿宋_GB2312" w:cs="Times New Roman"/>
          <w:color w:val="000000" w:themeColor="text1"/>
          <w:sz w:val="32"/>
          <w:szCs w:val="32"/>
          <w14:textFill>
            <w14:solidFill>
              <w14:schemeClr w14:val="tx1"/>
            </w14:solidFill>
          </w14:textFill>
        </w:rPr>
        <w:t>学前教育快速发展，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普九</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成果进一步巩固，普高质量稳步提升，高等教育规模日益壮大。邵阳医专并入邵阳学院，实现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专升本</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，湘中幼儿高等专科学校建成招生。职业教育加快推进，湘中职业技术学院开工建设。五年累计基本消除义务教育大班额7361个，超大班额实现清零，各类民办学校增加至109所。</w:t>
      </w:r>
      <w:r>
        <w:rPr>
          <w:rFonts w:ascii="Times New Roman" w:hAnsi="Times New Roman" w:eastAsia="仿宋_GB2312" w:cs="Times New Roman"/>
          <w:b/>
          <w:bCs/>
          <w:color w:val="000000" w:themeColor="text1"/>
          <w:sz w:val="32"/>
          <w:szCs w:val="32"/>
          <w14:textFill>
            <w14:solidFill>
              <w14:schemeClr w14:val="tx1"/>
            </w14:solidFill>
          </w14:textFill>
        </w:rPr>
        <w:t>文化旅游广电体育事业蓬勃发展。</w:t>
      </w:r>
      <w:r>
        <w:rPr>
          <w:rFonts w:ascii="Times New Roman" w:hAnsi="Times New Roman" w:eastAsia="仿宋_GB2312" w:cs="Times New Roman"/>
          <w:color w:val="000000" w:themeColor="text1"/>
          <w:sz w:val="32"/>
          <w:szCs w:val="32"/>
          <w14:textFill>
            <w14:solidFill>
              <w14:schemeClr w14:val="tx1"/>
            </w14:solidFill>
          </w14:textFill>
        </w:rPr>
        <w:t>实现文化产业增加值108.6亿元，占GDP的5.05%。</w:t>
      </w:r>
      <w:r>
        <w:rPr>
          <w:rFonts w:ascii="Times New Roman" w:hAnsi="Times New Roman" w:cs="Times New Roman"/>
          <w:bCs/>
          <w:color w:val="000000" w:themeColor="text1"/>
          <w:sz w:val="32"/>
          <w:szCs w:val="32"/>
          <w14:textFill>
            <w14:solidFill>
              <w14:schemeClr w14:val="tx1"/>
            </w14:solidFill>
          </w14:textFill>
        </w:rPr>
        <w:t>新宁崀山景区晋升国家5A级景区，</w:t>
      </w:r>
      <w:r>
        <w:rPr>
          <w:rFonts w:ascii="Times New Roman" w:hAnsi="Times New Roman" w:eastAsia="仿宋_GB2312" w:cs="Times New Roman"/>
          <w:color w:val="000000" w:themeColor="text1"/>
          <w:sz w:val="32"/>
          <w:szCs w:val="32"/>
          <w14:textFill>
            <w14:solidFill>
              <w14:schemeClr w14:val="tx1"/>
            </w14:solidFill>
          </w14:textFill>
        </w:rPr>
        <w:t>新增黄桑生态旅游区、云山国家森林公园景区、白水洞风景名胜区、隆回大花瑶虎形山景区、湘窖生态文化酿酒城5处国家4A级旅游景区，新宁县成功创建首批全省全域旅游示范区。市文化艺术中心、市体育中心顺利竣工，成功举办湖南省第十三届运动会（成年组）赛事。农村广播</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村村响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实现全市行政村全覆盖，建成全市乡村应急广播体系。</w:t>
      </w:r>
      <w:r>
        <w:rPr>
          <w:rFonts w:ascii="Times New Roman" w:hAnsi="Times New Roman" w:eastAsia="仿宋_GB2312" w:cs="Times New Roman"/>
          <w:b/>
          <w:bCs/>
          <w:color w:val="000000" w:themeColor="text1"/>
          <w:sz w:val="32"/>
          <w:szCs w:val="32"/>
          <w14:textFill>
            <w14:solidFill>
              <w14:schemeClr w14:val="tx1"/>
            </w14:solidFill>
          </w14:textFill>
        </w:rPr>
        <w:t>公共卫生不断健全。</w:t>
      </w:r>
      <w:r>
        <w:rPr>
          <w:rFonts w:ascii="Times New Roman" w:hAnsi="Times New Roman" w:eastAsia="仿宋_GB2312" w:cs="Times New Roman"/>
          <w:color w:val="000000" w:themeColor="text1"/>
          <w:sz w:val="32"/>
          <w:szCs w:val="32"/>
          <w14:textFill>
            <w14:solidFill>
              <w14:schemeClr w14:val="tx1"/>
            </w14:solidFill>
          </w14:textFill>
        </w:rPr>
        <w:t>科学防治、精准施策，新冠疫情防控取得了决定性胜利。</w:t>
      </w:r>
      <w:r>
        <w:rPr>
          <w:rFonts w:hint="eastAsia" w:ascii="Times New Roman" w:hAnsi="Times New Roman" w:eastAsia="仿宋_GB2312" w:cs="Times New Roman"/>
          <w:color w:val="000000" w:themeColor="text1"/>
          <w:sz w:val="32"/>
          <w:szCs w:val="32"/>
          <w14:textFill>
            <w14:solidFill>
              <w14:schemeClr w14:val="tx1"/>
            </w14:solidFill>
          </w14:textFill>
        </w:rPr>
        <w:t>截至2020年，</w:t>
      </w:r>
      <w:r>
        <w:rPr>
          <w:rFonts w:ascii="Times New Roman" w:hAnsi="Times New Roman" w:eastAsia="仿宋_GB2312" w:cs="Times New Roman"/>
          <w:color w:val="000000" w:themeColor="text1"/>
          <w:sz w:val="32"/>
          <w:szCs w:val="32"/>
          <w14:textFill>
            <w14:solidFill>
              <w14:schemeClr w14:val="tx1"/>
            </w14:solidFill>
          </w14:textFill>
        </w:rPr>
        <w:t>全市</w:t>
      </w:r>
      <w:r>
        <w:rPr>
          <w:rFonts w:hint="eastAsia" w:ascii="Times New Roman" w:hAnsi="Times New Roman" w:eastAsia="仿宋_GB2312" w:cs="Times New Roman"/>
          <w:color w:val="000000" w:themeColor="text1"/>
          <w:sz w:val="32"/>
          <w:szCs w:val="32"/>
          <w14:textFill>
            <w14:solidFill>
              <w14:schemeClr w14:val="tx1"/>
            </w14:solidFill>
          </w14:textFill>
        </w:rPr>
        <w:t>共有</w:t>
      </w:r>
      <w:r>
        <w:rPr>
          <w:rFonts w:ascii="Times New Roman" w:hAnsi="Times New Roman" w:eastAsia="仿宋_GB2312" w:cs="Times New Roman"/>
          <w:color w:val="000000" w:themeColor="text1"/>
          <w:sz w:val="32"/>
          <w:szCs w:val="32"/>
          <w14:textFill>
            <w14:solidFill>
              <w14:schemeClr w14:val="tx1"/>
            </w14:solidFill>
          </w14:textFill>
        </w:rPr>
        <w:t>卫生机构</w:t>
      </w:r>
      <w:r>
        <w:rPr>
          <w:rFonts w:hint="eastAsia" w:ascii="Times New Roman" w:hAnsi="Times New Roman" w:eastAsia="仿宋_GB2312" w:cs="Times New Roman"/>
          <w:color w:val="000000" w:themeColor="text1"/>
          <w:sz w:val="32"/>
          <w:szCs w:val="32"/>
          <w14:textFill>
            <w14:solidFill>
              <w14:schemeClr w14:val="tx1"/>
            </w14:solidFill>
          </w14:textFill>
        </w:rPr>
        <w:t>5807</w:t>
      </w:r>
      <w:r>
        <w:rPr>
          <w:rFonts w:ascii="Times New Roman" w:hAnsi="Times New Roman" w:eastAsia="仿宋_GB2312" w:cs="Times New Roman"/>
          <w:color w:val="000000" w:themeColor="text1"/>
          <w:sz w:val="32"/>
          <w:szCs w:val="32"/>
          <w14:textFill>
            <w14:solidFill>
              <w14:schemeClr w14:val="tx1"/>
            </w14:solidFill>
          </w14:textFill>
        </w:rPr>
        <w:t>个，其中医院</w:t>
      </w:r>
      <w:r>
        <w:rPr>
          <w:rFonts w:hint="eastAsia" w:ascii="Times New Roman" w:hAnsi="Times New Roman" w:eastAsia="仿宋_GB2312" w:cs="Times New Roman"/>
          <w:color w:val="000000" w:themeColor="text1"/>
          <w:sz w:val="32"/>
          <w:szCs w:val="32"/>
          <w14:textFill>
            <w14:solidFill>
              <w14:schemeClr w14:val="tx1"/>
            </w14:solidFill>
          </w14:textFill>
        </w:rPr>
        <w:t>从2015年的86个增加到2020年的139</w:t>
      </w:r>
      <w:r>
        <w:rPr>
          <w:rFonts w:ascii="Times New Roman" w:hAnsi="Times New Roman" w:eastAsia="仿宋_GB2312" w:cs="Times New Roman"/>
          <w:color w:val="000000" w:themeColor="text1"/>
          <w:sz w:val="32"/>
          <w:szCs w:val="32"/>
          <w14:textFill>
            <w14:solidFill>
              <w14:schemeClr w14:val="tx1"/>
            </w14:solidFill>
          </w14:textFill>
        </w:rPr>
        <w:t>个，拥有床位总数4.</w:t>
      </w:r>
      <w:r>
        <w:rPr>
          <w:rFonts w:hint="eastAsia" w:ascii="Times New Roman" w:hAnsi="Times New Roman" w:eastAsia="仿宋_GB2312" w:cs="Times New Roman"/>
          <w:color w:val="000000" w:themeColor="text1"/>
          <w:sz w:val="32"/>
          <w:szCs w:val="32"/>
          <w14:textFill>
            <w14:solidFill>
              <w14:schemeClr w14:val="tx1"/>
            </w14:solidFill>
          </w14:textFill>
        </w:rPr>
        <w:t>61</w:t>
      </w:r>
      <w:r>
        <w:rPr>
          <w:rFonts w:ascii="Times New Roman" w:hAnsi="Times New Roman" w:eastAsia="仿宋_GB2312" w:cs="Times New Roman"/>
          <w:color w:val="000000" w:themeColor="text1"/>
          <w:sz w:val="32"/>
          <w:szCs w:val="32"/>
          <w14:textFill>
            <w14:solidFill>
              <w14:schemeClr w14:val="tx1"/>
            </w14:solidFill>
          </w14:textFill>
        </w:rPr>
        <w:t>万张。疾病预防控制体系和突发公共卫生事件医疗救治体系得到加强。</w:t>
      </w:r>
      <w:r>
        <w:rPr>
          <w:rFonts w:ascii="Times New Roman" w:hAnsi="Times New Roman" w:eastAsia="仿宋_GB2312" w:cs="Times New Roman"/>
          <w:b/>
          <w:color w:val="000000" w:themeColor="text1"/>
          <w:sz w:val="32"/>
          <w:szCs w:val="32"/>
          <w14:textFill>
            <w14:solidFill>
              <w14:schemeClr w14:val="tx1"/>
            </w14:solidFill>
          </w14:textFill>
        </w:rPr>
        <w:t>着力打造</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平安邵阳</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一村一辅警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邵阳快警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创造全国全省社会治理品牌，平安邵阳、法治邵阳建设显著加强，人民群众安全感和满意度大幅提升。社会治安综合治理工作评为全省先进、居湘中湘西南第一。严格落实安全生产责任制，深入开展重点行业、重点领域风险隐患</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大排查、大管控、大整治</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确保重大风险有效管控、重大隐患及时清零。加强食品药品监管，确保食品药品安全和餐饮安全。建立健全应急管理体制机制，强化自然灾害监测预警和应急处置，做好地质灾害、气象保障、防汛抗旱工作，应急管理和防灾减灾救灾能力持续提升。同时，全面从严治党深入推进、民主政治、宣传思想文化</w:t>
      </w:r>
      <w:r>
        <w:rPr>
          <w:rFonts w:ascii="Times New Roman" w:hAnsi="Times New Roman" w:eastAsia="仿宋_GB2312" w:cs="Times New Roman"/>
          <w:bCs/>
          <w:color w:val="000000" w:themeColor="text1"/>
          <w:sz w:val="32"/>
          <w:szCs w:val="32"/>
          <w14:textFill>
            <w14:solidFill>
              <w14:schemeClr w14:val="tx1"/>
            </w14:solidFill>
          </w14:textFill>
        </w:rPr>
        <w:t>等工作不断加强，风清气正的政治生态进一步形成。</w:t>
      </w:r>
    </w:p>
    <w:p>
      <w:pPr>
        <w:widowControl w:val="0"/>
        <w:adjustRightInd/>
        <w:snapToGrid/>
        <w:spacing w:before="0" w:after="0" w:line="560" w:lineRule="exact"/>
        <w:ind w:firstLine="640"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尤为重要的是，在</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两个一百年</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历史交汇的关键节点，习近平总书记亲临湖南考察，为湖南发展锚定新坐标、明确新定位、赋予新使命，为邵阳发展提供了管方向、管根本、管长远的行动指南。展望未来，我们已经站到了新的更高的发展起点上。</w:t>
      </w:r>
    </w:p>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87" w:name="_Toc5730"/>
      <w:bookmarkStart w:id="88" w:name="_Toc5913"/>
      <w:bookmarkStart w:id="89" w:name="_Toc29153"/>
      <w:bookmarkStart w:id="90" w:name="_Toc9516"/>
      <w:bookmarkStart w:id="91" w:name="_Toc23900"/>
      <w:bookmarkStart w:id="92" w:name="_Toc7841"/>
      <w:bookmarkStart w:id="93" w:name="_Toc7409"/>
      <w:bookmarkStart w:id="94" w:name="_Toc21180"/>
      <w:bookmarkStart w:id="95" w:name="_Toc18469"/>
      <w:bookmarkStart w:id="96" w:name="_Toc1522"/>
      <w:bookmarkStart w:id="97" w:name="_Toc10929"/>
      <w:bookmarkStart w:id="98" w:name="_Toc22125"/>
      <w:bookmarkStart w:id="99" w:name="_Toc11649"/>
      <w:bookmarkStart w:id="100" w:name="_Toc19611"/>
      <w:bookmarkStart w:id="101" w:name="_Toc14502"/>
      <w:bookmarkStart w:id="102" w:name="_Toc12660"/>
      <w:bookmarkStart w:id="103" w:name="_Toc31444"/>
      <w:bookmarkStart w:id="104" w:name="_Toc32616"/>
      <w:bookmarkStart w:id="105" w:name="_Toc10687"/>
      <w:bookmarkStart w:id="106" w:name="_Toc27634"/>
      <w:bookmarkStart w:id="107" w:name="_Toc19922"/>
      <w:bookmarkStart w:id="108" w:name="_Toc5884"/>
      <w:bookmarkStart w:id="109" w:name="_Toc9287"/>
      <w:bookmarkStart w:id="110" w:name="_Toc24900"/>
      <w:bookmarkStart w:id="111" w:name="_Toc15"/>
      <w:bookmarkStart w:id="112" w:name="_Toc6851"/>
      <w:bookmarkStart w:id="113" w:name="_Toc15175"/>
      <w:bookmarkStart w:id="114" w:name="_Toc19392"/>
      <w:bookmarkStart w:id="115" w:name="_Toc25063"/>
      <w:bookmarkStart w:id="116" w:name="_Toc18712"/>
      <w:bookmarkStart w:id="117" w:name="_Toc13188"/>
      <w:bookmarkStart w:id="118" w:name="_Toc26923"/>
      <w:bookmarkStart w:id="119" w:name="_Toc2077"/>
      <w:bookmarkStart w:id="120" w:name="_Toc12567"/>
      <w:bookmarkStart w:id="121" w:name="_Toc4109"/>
      <w:bookmarkStart w:id="122" w:name="_Toc10216"/>
      <w:bookmarkStart w:id="123" w:name="_Toc30971"/>
      <w:bookmarkStart w:id="124" w:name="_Hlk56019873"/>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十四五</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时期面临机遇与挑战</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124"/>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bookmarkStart w:id="125" w:name="_Toc1169"/>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时期，世界百年未有之大变局深度演化与我国社会主义现代化建设新征程开局起步相互交融，特别是新冠肺炎疫情全球大流行使世界大变局加速演变，国家经济、科技、文化、安全、政治等格局都在发生深刻调整，我市发展的外部环境和内部条件发生了复杂而深刻的变化，经济社会发展将处于滚石上山、爬坡过坎的关键阶段，总体上机遇与挑战并存。</w:t>
      </w:r>
    </w:p>
    <w:p>
      <w:pPr>
        <w:widowControl w:val="0"/>
        <w:adjustRightInd/>
        <w:snapToGrid/>
        <w:spacing w:before="0" w:after="0" w:line="560" w:lineRule="exact"/>
        <w:ind w:firstLine="643" w:firstLineChars="200"/>
        <w:jc w:val="both"/>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1.发展机遇</w:t>
      </w:r>
      <w:bookmarkEnd w:id="125"/>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w:t>
      </w:r>
      <w:r>
        <w:rPr>
          <w:rFonts w:ascii="Times New Roman" w:hAnsi="Times New Roman" w:eastAsia="仿宋_GB2312" w:cs="Times New Roman"/>
          <w:color w:val="000000" w:themeColor="text1"/>
          <w:spacing w:val="-6"/>
          <w:sz w:val="32"/>
          <w:szCs w:val="32"/>
          <w14:textFill>
            <w14:solidFill>
              <w14:schemeClr w14:val="tx1"/>
            </w14:solidFill>
          </w14:textFill>
        </w:rPr>
        <w:t>五</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时期，和平与发展仍然是时代主题，人类命运共同体理念深入人心，同时我国经济进入高质量发展阶段，制度优势显著，治理效能提升，我市经济社会发展面临重大机遇。</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从外部环境看。一是党中央、习近平总书记关心关爱湖南带来的机遇。</w:t>
      </w:r>
      <w:r>
        <w:rPr>
          <w:rFonts w:ascii="Times New Roman" w:hAnsi="Times New Roman" w:eastAsia="仿宋_GB2312" w:cs="Times New Roman"/>
          <w:color w:val="000000" w:themeColor="text1"/>
          <w:sz w:val="32"/>
          <w:szCs w:val="32"/>
          <w14:textFill>
            <w14:solidFill>
              <w14:schemeClr w14:val="tx1"/>
            </w14:solidFill>
          </w14:textFill>
        </w:rPr>
        <w:t>习近平总书记亲临湖南考察并提出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三高四新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要求，为湖南加快发展注入了强劲动力。</w:t>
      </w:r>
      <w:r>
        <w:rPr>
          <w:rFonts w:ascii="Times New Roman" w:hAnsi="Times New Roman" w:eastAsia="仿宋_GB2312" w:cs="Times New Roman"/>
          <w:b/>
          <w:bCs/>
          <w:color w:val="000000" w:themeColor="text1"/>
          <w:sz w:val="32"/>
          <w:szCs w:val="32"/>
          <w14:textFill>
            <w14:solidFill>
              <w14:schemeClr w14:val="tx1"/>
            </w14:solidFill>
          </w14:textFill>
        </w:rPr>
        <w:t>二是</w:t>
      </w:r>
      <w:bookmarkStart w:id="126" w:name="_Hlk59180679"/>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三高四新</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战略实施带来的机遇。</w:t>
      </w:r>
      <w:r>
        <w:rPr>
          <w:rFonts w:ascii="Times New Roman" w:hAnsi="Times New Roman" w:eastAsia="仿宋_GB2312" w:cs="Times New Roman"/>
          <w:color w:val="000000" w:themeColor="text1"/>
          <w:sz w:val="32"/>
          <w:szCs w:val="32"/>
          <w14:textFill>
            <w14:solidFill>
              <w14:schemeClr w14:val="tx1"/>
            </w14:solidFill>
          </w14:textFill>
        </w:rPr>
        <w:t>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三高四新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战略，面临国家战略叠加实施、新一轮科技革命、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一带一路</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建设、扩大内需市场等一系列重大利好，将进一步集聚和放大我市在特种玻璃、装备制造、科技创新、对外开放等领域的比较优势，催生更多高质量发展的新活力、新动能。</w:t>
      </w:r>
      <w:bookmarkEnd w:id="126"/>
      <w:r>
        <w:rPr>
          <w:rFonts w:ascii="Times New Roman" w:hAnsi="Times New Roman" w:eastAsia="仿宋_GB2312" w:cs="Times New Roman"/>
          <w:b/>
          <w:bCs/>
          <w:color w:val="000000" w:themeColor="text1"/>
          <w:sz w:val="32"/>
          <w:szCs w:val="32"/>
          <w14:textFill>
            <w14:solidFill>
              <w14:schemeClr w14:val="tx1"/>
            </w14:solidFill>
          </w14:textFill>
        </w:rPr>
        <w:t>三是构建新发展格局带来的机遇。</w:t>
      </w:r>
      <w:r>
        <w:rPr>
          <w:rFonts w:ascii="Times New Roman" w:hAnsi="Times New Roman" w:eastAsia="仿宋_GB2312" w:cs="Times New Roman"/>
          <w:color w:val="000000" w:themeColor="text1"/>
          <w:sz w:val="32"/>
          <w:szCs w:val="32"/>
          <w14:textFill>
            <w14:solidFill>
              <w14:schemeClr w14:val="tx1"/>
            </w14:solidFill>
          </w14:textFill>
        </w:rPr>
        <w:t>在构建新发展格局中具有</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区位优势，居民消费潜力较大，投资增长后劲较足，在新基建、能源设施、综合交通、流通体系、新型城镇化等领域有较大空间，自贸试验区获批、RCEP 正式签署等对我市实施更高水平开放带来系列红利。</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从内部环境看。一是政策红利不断释放。</w:t>
      </w:r>
      <w:r>
        <w:rPr>
          <w:rFonts w:ascii="Times New Roman" w:hAnsi="Times New Roman" w:eastAsia="仿宋_GB2312" w:cs="Times New Roman"/>
          <w:color w:val="000000" w:themeColor="text1"/>
          <w:sz w:val="32"/>
          <w:szCs w:val="32"/>
          <w14:textFill>
            <w14:solidFill>
              <w14:schemeClr w14:val="tx1"/>
            </w14:solidFill>
          </w14:textFill>
        </w:rPr>
        <w:t>获批湘南湘西承接产业转移示范区，科技、人才、资金等生产要素加速集聚，为邵阳发展提供了强有力的支撑。</w:t>
      </w:r>
      <w:r>
        <w:rPr>
          <w:rFonts w:ascii="Times New Roman" w:hAnsi="Times New Roman" w:eastAsia="仿宋_GB2312" w:cs="Times New Roman"/>
          <w:b/>
          <w:bCs/>
          <w:color w:val="000000" w:themeColor="text1"/>
          <w:sz w:val="32"/>
          <w:szCs w:val="32"/>
          <w14:textFill>
            <w14:solidFill>
              <w14:schemeClr w14:val="tx1"/>
            </w14:solidFill>
          </w14:textFill>
        </w:rPr>
        <w:t>二是产业发展不断向好。</w:t>
      </w:r>
      <w:r>
        <w:rPr>
          <w:rFonts w:ascii="Times New Roman" w:hAnsi="Times New Roman" w:eastAsia="仿宋_GB2312" w:cs="Times New Roman"/>
          <w:color w:val="000000" w:themeColor="text1"/>
          <w:sz w:val="32"/>
          <w:szCs w:val="32"/>
          <w14:textFill>
            <w14:solidFill>
              <w14:schemeClr w14:val="tx1"/>
            </w14:solidFill>
          </w14:textFill>
        </w:rPr>
        <w:t>区域性制造业基地基本形成，显示功能材料、装备制造、智能家居家电、循环经济、时尚用品等七大新兴工业产业集群不断壮大，中国（邵阳）特种玻璃谷、三一汽车城在全国比较优势明显。</w:t>
      </w:r>
      <w:r>
        <w:rPr>
          <w:rFonts w:ascii="Times New Roman" w:hAnsi="Times New Roman" w:eastAsia="仿宋_GB2312" w:cs="Times New Roman"/>
          <w:b/>
          <w:bCs/>
          <w:color w:val="000000" w:themeColor="text1"/>
          <w:sz w:val="32"/>
          <w:szCs w:val="32"/>
          <w14:textFill>
            <w14:solidFill>
              <w14:schemeClr w14:val="tx1"/>
            </w14:solidFill>
          </w14:textFill>
        </w:rPr>
        <w:t>三是交通条件持续改善。</w:t>
      </w:r>
      <w:r>
        <w:rPr>
          <w:rFonts w:ascii="Times New Roman" w:hAnsi="Times New Roman" w:eastAsia="仿宋_GB2312" w:cs="Times New Roman"/>
          <w:color w:val="000000" w:themeColor="text1"/>
          <w:sz w:val="32"/>
          <w:szCs w:val="32"/>
          <w14:textFill>
            <w14:solidFill>
              <w14:schemeClr w14:val="tx1"/>
            </w14:solidFill>
          </w14:textFill>
        </w:rPr>
        <w:t>怀邵衡铁路、武冈机场等一批基础设施建成开通，基本构建起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铁公机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立体综合交通网络，在更高层次、更宽领域加强了与发达地区的交流与合作。</w:t>
      </w:r>
      <w:r>
        <w:rPr>
          <w:rFonts w:ascii="Times New Roman" w:hAnsi="Times New Roman" w:eastAsia="仿宋_GB2312" w:cs="Times New Roman"/>
          <w:b/>
          <w:bCs/>
          <w:color w:val="000000" w:themeColor="text1"/>
          <w:sz w:val="32"/>
          <w:szCs w:val="32"/>
          <w14:textFill>
            <w14:solidFill>
              <w14:schemeClr w14:val="tx1"/>
            </w14:solidFill>
          </w14:textFill>
        </w:rPr>
        <w:t>四是区位优势不断放大。</w:t>
      </w:r>
      <w:r>
        <w:rPr>
          <w:rFonts w:ascii="Times New Roman" w:hAnsi="Times New Roman" w:eastAsia="仿宋_GB2312" w:cs="Times New Roman"/>
          <w:color w:val="000000" w:themeColor="text1"/>
          <w:sz w:val="32"/>
          <w:szCs w:val="32"/>
          <w14:textFill>
            <w14:solidFill>
              <w14:schemeClr w14:val="tx1"/>
            </w14:solidFill>
          </w14:textFill>
        </w:rPr>
        <w:t xml:space="preserve">区域协调发展和新型城镇化加速推进下，我市省域 </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区域定位更加凸显，将切实担当起湖南中西部发展的战略支撑。</w:t>
      </w:r>
      <w:r>
        <w:rPr>
          <w:rFonts w:ascii="Times New Roman" w:hAnsi="Times New Roman" w:eastAsia="仿宋_GB2312" w:cs="Times New Roman"/>
          <w:b/>
          <w:bCs/>
          <w:color w:val="000000" w:themeColor="text1"/>
          <w:sz w:val="32"/>
          <w:szCs w:val="32"/>
          <w14:textFill>
            <w14:solidFill>
              <w14:schemeClr w14:val="tx1"/>
            </w14:solidFill>
          </w14:textFill>
        </w:rPr>
        <w:t>五是人力资源优势逐步显现。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时期，境内市场重要性将大大提升，对外招商及产业承接竞争激烈程度明显增加，我市830万人口和百万邵商成为构建市内境外双循环新发展格局的天然优势</w:t>
      </w:r>
      <w:bookmarkStart w:id="127" w:name="_Hlk56011037"/>
      <w:r>
        <w:rPr>
          <w:rFonts w:ascii="Times New Roman" w:hAnsi="Times New Roman" w:eastAsia="仿宋_GB2312" w:cs="Times New Roman"/>
          <w:color w:val="000000" w:themeColor="text1"/>
          <w:sz w:val="32"/>
          <w:szCs w:val="32"/>
          <w14:textFill>
            <w14:solidFill>
              <w14:schemeClr w14:val="tx1"/>
            </w14:solidFill>
          </w14:textFill>
        </w:rPr>
        <w:t>。</w:t>
      </w:r>
      <w:bookmarkEnd w:id="127"/>
      <w:r>
        <w:rPr>
          <w:rFonts w:ascii="Times New Roman" w:hAnsi="Times New Roman" w:eastAsia="仿宋_GB2312" w:cs="Times New Roman"/>
          <w:b/>
          <w:bCs/>
          <w:color w:val="000000" w:themeColor="text1"/>
          <w:sz w:val="32"/>
          <w:szCs w:val="32"/>
          <w14:textFill>
            <w14:solidFill>
              <w14:schemeClr w14:val="tx1"/>
            </w14:solidFill>
          </w14:textFill>
        </w:rPr>
        <w:t>六是发展思路日益清晰。</w:t>
      </w:r>
      <w:r>
        <w:rPr>
          <w:rFonts w:ascii="Times New Roman" w:hAnsi="Times New Roman" w:eastAsia="仿宋_GB2312" w:cs="Times New Roman"/>
          <w:color w:val="000000" w:themeColor="text1"/>
          <w:sz w:val="32"/>
          <w:szCs w:val="32"/>
          <w14:textFill>
            <w14:solidFill>
              <w14:schemeClr w14:val="tx1"/>
            </w14:solidFill>
          </w14:textFill>
        </w:rPr>
        <w:t>历届市委市政府班子，特别是本届市委市政府班子立足邵阳实际，围绕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二中心一枢纽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建设，真抓实干，扎实工作，坚持一张蓝图干到底</w:t>
      </w:r>
      <w:bookmarkStart w:id="128" w:name="_Toc11697"/>
      <w:r>
        <w:rPr>
          <w:rFonts w:ascii="Times New Roman" w:hAnsi="Times New Roman" w:eastAsia="仿宋_GB2312" w:cs="Times New Roman"/>
          <w:color w:val="000000" w:themeColor="text1"/>
          <w:sz w:val="32"/>
          <w:szCs w:val="32"/>
          <w14:textFill>
            <w14:solidFill>
              <w14:schemeClr w14:val="tx1"/>
            </w14:solidFill>
          </w14:textFill>
        </w:rPr>
        <w:t>，统一了思想，凝聚了人心，为全市经济社会发展指明了方向。</w:t>
      </w:r>
    </w:p>
    <w:p>
      <w:pPr>
        <w:widowControl w:val="0"/>
        <w:adjustRightInd/>
        <w:snapToGrid/>
        <w:spacing w:before="0" w:after="0" w:line="560" w:lineRule="exact"/>
        <w:ind w:firstLine="643" w:firstLineChars="200"/>
        <w:jc w:val="both"/>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2.发展挑战</w:t>
      </w:r>
      <w:bookmarkEnd w:id="12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时期，国际环境日趋复杂，不稳定性不确定性明显增加，同时我国长期的快速发展，积累和遗留的各种问题也十分突出，我市经济社会发展面临诸多新的挑战。</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从外部环境看。一是</w:t>
      </w:r>
      <w:r>
        <w:rPr>
          <w:rFonts w:ascii="Times New Roman" w:hAnsi="Times New Roman" w:eastAsia="仿宋_GB2312" w:cs="Times New Roman"/>
          <w:color w:val="000000" w:themeColor="text1"/>
          <w:sz w:val="32"/>
          <w:szCs w:val="32"/>
          <w14:textFill>
            <w14:solidFill>
              <w14:schemeClr w14:val="tx1"/>
            </w14:solidFill>
          </w14:textFill>
        </w:rPr>
        <w:t>受全球经济增速持续放缓、逆全球化、大国博弈及新冠疫情叠加影响，我国外贸经济发展受到较大影响，这对我市挖</w:t>
      </w:r>
      <w:r>
        <w:rPr>
          <w:rFonts w:ascii="Times New Roman" w:hAnsi="Times New Roman" w:eastAsia="仿宋_GB2312" w:cs="Times New Roman"/>
          <w:color w:val="000000" w:themeColor="text1"/>
          <w:spacing w:val="-6"/>
          <w:sz w:val="32"/>
          <w:szCs w:val="32"/>
          <w14:textFill>
            <w14:solidFill>
              <w14:schemeClr w14:val="tx1"/>
            </w14:solidFill>
          </w14:textFill>
        </w:rPr>
        <w:t>掘外需潜在动力、加快优进优出、提高出口产品竞争优势构成多重挑战。</w:t>
      </w:r>
      <w:r>
        <w:rPr>
          <w:rFonts w:ascii="Times New Roman" w:hAnsi="Times New Roman" w:eastAsia="仿宋_GB2312" w:cs="Times New Roman"/>
          <w:b/>
          <w:bCs/>
          <w:color w:val="000000" w:themeColor="text1"/>
          <w:spacing w:val="-6"/>
          <w:sz w:val="32"/>
          <w:szCs w:val="32"/>
          <w14:textFill>
            <w14:solidFill>
              <w14:schemeClr w14:val="tx1"/>
            </w14:solidFill>
          </w14:textFill>
        </w:rPr>
        <w:t>二是</w:t>
      </w:r>
      <w:r>
        <w:rPr>
          <w:rFonts w:ascii="Times New Roman" w:hAnsi="Times New Roman" w:eastAsia="仿宋_GB2312" w:cs="Times New Roman"/>
          <w:color w:val="000000" w:themeColor="text1"/>
          <w:spacing w:val="-6"/>
          <w:sz w:val="32"/>
          <w:szCs w:val="32"/>
          <w14:textFill>
            <w14:solidFill>
              <w14:schemeClr w14:val="tx1"/>
            </w14:solidFill>
          </w14:textFill>
        </w:rPr>
        <w:t>国内发展不平衡不充分问题仍然突出，重点领域关键环节改革任务仍然艰巨，创新能力不适应高质量发展要求，农业基础还不稳固，城乡区域发展和收入分配差距较大，生态环境任重道远，民生保障存在短板，社会治理还有弱项。</w:t>
      </w:r>
      <w:r>
        <w:rPr>
          <w:rFonts w:ascii="Times New Roman" w:hAnsi="Times New Roman" w:eastAsia="仿宋_GB2312" w:cs="Times New Roman"/>
          <w:b/>
          <w:bCs/>
          <w:color w:val="000000" w:themeColor="text1"/>
          <w:spacing w:val="-6"/>
          <w:sz w:val="32"/>
          <w:szCs w:val="32"/>
          <w14:textFill>
            <w14:solidFill>
              <w14:schemeClr w14:val="tx1"/>
            </w14:solidFill>
          </w14:textFill>
        </w:rPr>
        <w:t>三是</w:t>
      </w:r>
      <w:r>
        <w:rPr>
          <w:rFonts w:ascii="Times New Roman" w:hAnsi="Times New Roman" w:eastAsia="仿宋_GB2312" w:cs="Times New Roman"/>
          <w:color w:val="000000" w:themeColor="text1"/>
          <w:spacing w:val="-6"/>
          <w:sz w:val="32"/>
          <w:szCs w:val="32"/>
          <w14:textFill>
            <w14:solidFill>
              <w14:schemeClr w14:val="tx1"/>
            </w14:solidFill>
          </w14:textFill>
        </w:rPr>
        <w:t>省内城市竞争日趋激烈，各地竞相加快发展，纷纷争夺出台优惠政策，改善投资环境，产业项目特别是制造业项目招商更趋激烈，我市在向东对接长三角融入长江经济带、向南对接粤港澳承接产业转移过程中面临着周边城市的竞争。</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从内部环境看。一是</w:t>
      </w:r>
      <w:r>
        <w:rPr>
          <w:rFonts w:ascii="Times New Roman" w:hAnsi="Times New Roman" w:eastAsia="仿宋_GB2312" w:cs="Times New Roman"/>
          <w:color w:val="000000" w:themeColor="text1"/>
          <w:sz w:val="32"/>
          <w:szCs w:val="32"/>
          <w14:textFill>
            <w14:solidFill>
              <w14:schemeClr w14:val="tx1"/>
            </w14:solidFill>
          </w14:textFill>
        </w:rPr>
        <w:t>区域发展不平衡不充分。我市东西部发展差距较大，西部生态圈总体城镇化率较东部城镇群低7个百分点，人均GDP仅为东部地区的62%；经济体量偏小，人均GDP仅为全省的51%、全国的41%左右。</w:t>
      </w:r>
      <w:r>
        <w:rPr>
          <w:rFonts w:ascii="Times New Roman" w:hAnsi="Times New Roman" w:eastAsia="仿宋_GB2312" w:cs="Times New Roman"/>
          <w:b/>
          <w:bCs/>
          <w:color w:val="000000" w:themeColor="text1"/>
          <w:sz w:val="32"/>
          <w:szCs w:val="32"/>
          <w14:textFill>
            <w14:solidFill>
              <w14:schemeClr w14:val="tx1"/>
            </w14:solidFill>
          </w14:textFill>
        </w:rPr>
        <w:t>二是</w:t>
      </w:r>
      <w:r>
        <w:rPr>
          <w:rFonts w:ascii="Times New Roman" w:hAnsi="Times New Roman" w:eastAsia="仿宋_GB2312" w:cs="Times New Roman"/>
          <w:color w:val="000000" w:themeColor="text1"/>
          <w:sz w:val="32"/>
          <w:szCs w:val="32"/>
          <w14:textFill>
            <w14:solidFill>
              <w14:schemeClr w14:val="tx1"/>
            </w14:solidFill>
          </w14:textFill>
        </w:rPr>
        <w:t>产业结构不优。产业集群尚处于起步阶段，区域产业特色不突出、同质化严重，区域品牌优势还不明显，产业链发展不完善。高新技术产业类别单一，现代服务业发展滞后，农业大而不强。</w:t>
      </w:r>
      <w:r>
        <w:rPr>
          <w:rFonts w:ascii="Times New Roman" w:hAnsi="Times New Roman" w:eastAsia="仿宋_GB2312" w:cs="Times New Roman"/>
          <w:b/>
          <w:bCs/>
          <w:color w:val="000000" w:themeColor="text1"/>
          <w:sz w:val="32"/>
          <w:szCs w:val="32"/>
          <w14:textFill>
            <w14:solidFill>
              <w14:schemeClr w14:val="tx1"/>
            </w14:solidFill>
          </w14:textFill>
        </w:rPr>
        <w:t>三是</w:t>
      </w:r>
      <w:r>
        <w:rPr>
          <w:rFonts w:ascii="Times New Roman" w:hAnsi="Times New Roman" w:eastAsia="仿宋_GB2312" w:cs="Times New Roman"/>
          <w:color w:val="000000" w:themeColor="text1"/>
          <w:sz w:val="32"/>
          <w:szCs w:val="32"/>
          <w14:textFill>
            <w14:solidFill>
              <w14:schemeClr w14:val="tx1"/>
            </w14:solidFill>
          </w14:textFill>
        </w:rPr>
        <w:t>城镇建设滞后。全市城镇化率分别低于全省、全国8个百分点和10个百分点，特别是中心城区辐射能力不强，市辖三区面积仅436.47平方公里，排全省各市州末位，市辖三区GDP总量占全市GDP总量仅18.6%。</w:t>
      </w:r>
      <w:r>
        <w:rPr>
          <w:rFonts w:ascii="Times New Roman" w:hAnsi="Times New Roman" w:eastAsia="仿宋_GB2312" w:cs="Times New Roman"/>
          <w:b/>
          <w:bCs/>
          <w:color w:val="000000" w:themeColor="text1"/>
          <w:sz w:val="32"/>
          <w:szCs w:val="32"/>
          <w14:textFill>
            <w14:solidFill>
              <w14:schemeClr w14:val="tx1"/>
            </w14:solidFill>
          </w14:textFill>
        </w:rPr>
        <w:t>四是</w:t>
      </w:r>
      <w:r>
        <w:rPr>
          <w:rFonts w:ascii="Times New Roman" w:hAnsi="Times New Roman" w:eastAsia="仿宋_GB2312" w:cs="Times New Roman"/>
          <w:color w:val="000000" w:themeColor="text1"/>
          <w:sz w:val="32"/>
          <w:szCs w:val="32"/>
          <w14:textFill>
            <w14:solidFill>
              <w14:schemeClr w14:val="tx1"/>
            </w14:solidFill>
          </w14:textFill>
        </w:rPr>
        <w:t>要素保障压力大。城市建设用地供给和需求存在失衡，难以适应城镇化和高质量发展的要求。融资难、融资贵未能有效解决，部分中央投资重点项目配套资金严重不足，影响项目顺利实施。</w:t>
      </w:r>
    </w:p>
    <w:p>
      <w:pPr>
        <w:widowControl w:val="0"/>
        <w:adjustRightInd/>
        <w:snapToGrid/>
        <w:spacing w:before="0" w:after="193" w:afterLines="5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综合判断，</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期间，我市发展仍然处于重要战略机遇期，机遇和挑战都有新的发展变化。我们要辩证认识和把握发展大势，增强机遇意识和风险意识，准确识变、科学应变、主动求变，善于在危机中育先机，于变局中开新局。</w:t>
      </w:r>
    </w:p>
    <w:tbl>
      <w:tblPr>
        <w:tblStyle w:val="14"/>
        <w:tblW w:w="4997" w:type="pct"/>
        <w:jc w:val="center"/>
        <w:tblLayout w:type="fixed"/>
        <w:tblCellMar>
          <w:top w:w="0" w:type="dxa"/>
          <w:left w:w="0" w:type="dxa"/>
          <w:bottom w:w="0" w:type="dxa"/>
          <w:right w:w="0" w:type="dxa"/>
        </w:tblCellMar>
      </w:tblPr>
      <w:tblGrid>
        <w:gridCol w:w="582"/>
        <w:gridCol w:w="647"/>
        <w:gridCol w:w="1282"/>
        <w:gridCol w:w="1563"/>
        <w:gridCol w:w="915"/>
        <w:gridCol w:w="868"/>
        <w:gridCol w:w="915"/>
        <w:gridCol w:w="929"/>
        <w:gridCol w:w="1162"/>
      </w:tblGrid>
      <w:tr>
        <w:tblPrEx>
          <w:tblCellMar>
            <w:top w:w="0" w:type="dxa"/>
            <w:left w:w="0" w:type="dxa"/>
            <w:bottom w:w="0" w:type="dxa"/>
            <w:right w:w="0" w:type="dxa"/>
          </w:tblCellMar>
        </w:tblPrEx>
        <w:trPr>
          <w:trHeight w:val="567" w:hRule="atLeast"/>
          <w:jc w:val="center"/>
        </w:trPr>
        <w:tc>
          <w:tcPr>
            <w:tcW w:w="5000" w:type="pct"/>
            <w:gridSpan w:val="9"/>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adjustRightInd/>
              <w:snapToGrid/>
              <w:spacing w:before="0" w:after="0" w:line="300" w:lineRule="exact"/>
              <w:jc w:val="center"/>
              <w:rPr>
                <w:rFonts w:ascii="Times New Roman" w:hAnsi="Times New Roman" w:eastAsia="宋体" w:cs="Times New Roman"/>
                <w:b/>
                <w:color w:val="000000"/>
                <w:sz w:val="24"/>
                <w:szCs w:val="24"/>
                <w:lang w:bidi="ar"/>
              </w:rPr>
            </w:pPr>
            <w:r>
              <w:rPr>
                <w:rFonts w:ascii="Times New Roman" w:hAnsi="Times New Roman" w:eastAsia="黑体" w:cs="Times New Roman"/>
                <w:color w:val="000000" w:themeColor="text1"/>
                <w:sz w:val="32"/>
                <w:szCs w:val="32"/>
                <w14:textFill>
                  <w14:solidFill>
                    <w14:schemeClr w14:val="tx1"/>
                  </w14:solidFill>
                </w14:textFill>
              </w:rPr>
              <w:t>专栏1：</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十三五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规划《纲要》主要指标完成情况</w:t>
            </w:r>
          </w:p>
        </w:tc>
      </w:tr>
      <w:tr>
        <w:tblPrEx>
          <w:tblCellMar>
            <w:top w:w="0" w:type="dxa"/>
            <w:left w:w="0" w:type="dxa"/>
            <w:bottom w:w="0" w:type="dxa"/>
            <w:right w:w="0" w:type="dxa"/>
          </w:tblCellMar>
        </w:tblPrEx>
        <w:trPr>
          <w:trHeight w:val="510" w:hRule="atLeast"/>
          <w:jc w:val="center"/>
        </w:trPr>
        <w:tc>
          <w:tcPr>
            <w:tcW w:w="328" w:type="pct"/>
            <w:vMerge w:val="restart"/>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类别</w:t>
            </w:r>
          </w:p>
        </w:tc>
        <w:tc>
          <w:tcPr>
            <w:tcW w:w="365" w:type="pct"/>
            <w:vMerge w:val="restart"/>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序号</w:t>
            </w:r>
          </w:p>
        </w:tc>
        <w:tc>
          <w:tcPr>
            <w:tcW w:w="1605" w:type="pct"/>
            <w:gridSpan w:val="2"/>
            <w:vMerge w:val="restart"/>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指  标</w:t>
            </w:r>
          </w:p>
        </w:tc>
        <w:tc>
          <w:tcPr>
            <w:tcW w:w="516" w:type="pct"/>
            <w:vMerge w:val="restart"/>
            <w:tcBorders>
              <w:top w:val="single" w:color="000000" w:sz="4" w:space="0"/>
              <w:left w:val="single" w:color="000000" w:sz="4" w:space="0"/>
              <w:bottom w:val="nil"/>
              <w:right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2015年</w:t>
            </w:r>
          </w:p>
        </w:tc>
        <w:tc>
          <w:tcPr>
            <w:tcW w:w="1006"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规划目标</w:t>
            </w:r>
          </w:p>
        </w:tc>
        <w:tc>
          <w:tcPr>
            <w:tcW w:w="1177"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实现情况</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spacing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spacing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1605" w:type="pct"/>
            <w:gridSpan w:val="2"/>
            <w:vMerge w:val="continue"/>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spacing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516" w:type="pct"/>
            <w:vMerge w:val="continue"/>
            <w:tcBorders>
              <w:top w:val="single" w:color="000000" w:sz="4" w:space="0"/>
              <w:left w:val="single" w:color="000000" w:sz="4" w:space="0"/>
              <w:bottom w:val="nil"/>
              <w:right w:val="nil"/>
            </w:tcBorders>
            <w:shd w:val="clear" w:color="auto" w:fill="auto"/>
            <w:tcMar>
              <w:top w:w="12" w:type="dxa"/>
              <w:left w:w="12" w:type="dxa"/>
              <w:right w:w="12" w:type="dxa"/>
            </w:tcMar>
            <w:vAlign w:val="center"/>
          </w:tcPr>
          <w:p>
            <w:pPr>
              <w:spacing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2020年</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年均增速[累计]</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2020年</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年均增速</w:t>
            </w:r>
            <w:r>
              <w:rPr>
                <w:rFonts w:hint="eastAsia" w:ascii="Times New Roman" w:hAnsi="Times New Roman" w:eastAsia="仿宋_GB2312" w:cs="Times New Roman"/>
                <w:b/>
                <w:bCs/>
                <w:color w:val="000000" w:themeColor="text1"/>
                <w:sz w:val="21"/>
                <w:szCs w:val="21"/>
                <w:lang w:bidi="ar"/>
                <w14:textFill>
                  <w14:solidFill>
                    <w14:schemeClr w14:val="tx1"/>
                  </w14:solidFill>
                </w14:textFill>
              </w:rPr>
              <w:t xml:space="preserve"> </w:t>
            </w:r>
            <w:r>
              <w:rPr>
                <w:rFonts w:ascii="Times New Roman" w:hAnsi="Times New Roman" w:eastAsia="仿宋_GB2312" w:cs="Times New Roman"/>
                <w:b/>
                <w:bCs/>
                <w:color w:val="000000" w:themeColor="text1"/>
                <w:sz w:val="21"/>
                <w:szCs w:val="21"/>
                <w:lang w:bidi="ar"/>
                <w14:textFill>
                  <w14:solidFill>
                    <w14:schemeClr w14:val="tx1"/>
                  </w14:solidFill>
                </w14:textFill>
              </w:rPr>
              <w:t>[累计]</w:t>
            </w:r>
          </w:p>
        </w:tc>
      </w:tr>
      <w:tr>
        <w:tblPrEx>
          <w:tblCellMar>
            <w:top w:w="0" w:type="dxa"/>
            <w:left w:w="0" w:type="dxa"/>
            <w:bottom w:w="0" w:type="dxa"/>
            <w:right w:w="0" w:type="dxa"/>
          </w:tblCellMar>
        </w:tblPrEx>
        <w:trPr>
          <w:trHeight w:val="510" w:hRule="atLeast"/>
          <w:jc w:val="center"/>
        </w:trPr>
        <w:tc>
          <w:tcPr>
            <w:tcW w:w="32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14:textFill>
                  <w14:solidFill>
                    <w14:schemeClr w14:val="tx1"/>
                  </w14:solidFill>
                </w14:textFill>
              </w:rPr>
              <w:t>经济发展</w:t>
            </w: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地区生产总值（亿元）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1387</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2300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2250.8</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w:t>
            </w:r>
            <w:r>
              <w:rPr>
                <w:rFonts w:hint="eastAsia" w:ascii="Times New Roman" w:hAnsi="Times New Roman" w:eastAsia="仿宋_GB2312" w:cs="Times New Roman"/>
                <w:color w:val="000000" w:themeColor="text1"/>
                <w:sz w:val="21"/>
                <w:szCs w:val="21"/>
                <w:lang w:bidi="ar"/>
                <w14:textFill>
                  <w14:solidFill>
                    <w14:schemeClr w14:val="tx1"/>
                  </w14:solidFill>
                </w14:textFill>
              </w:rPr>
              <w:t>1</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规模工业增加值（亿元）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6.6%</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财政总收入（亿元）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130.78</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230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169.32</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5.32</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固定资产投资（亿元）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18</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11.1</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5</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社会消费品零售总额（亿元）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745.5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1300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1208.8</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8.1</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进出口总额（亿美元）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11.45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23</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15</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40.7</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29.8</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服务业增加值比重（%）</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41.6</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47</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[6.2]</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5</w:t>
            </w:r>
            <w:r>
              <w:rPr>
                <w:rFonts w:hint="eastAsia" w:ascii="Times New Roman" w:hAnsi="Times New Roman" w:eastAsia="仿宋_GB2312" w:cs="Times New Roman"/>
                <w:color w:val="000000" w:themeColor="text1"/>
                <w:sz w:val="21"/>
                <w:szCs w:val="21"/>
                <w:lang w:bidi="ar"/>
                <w14:textFill>
                  <w14:solidFill>
                    <w14:schemeClr w14:val="tx1"/>
                  </w14:solidFill>
                </w14:textFill>
              </w:rPr>
              <w:t>1.2</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r>
              <w:rPr>
                <w:rFonts w:hint="eastAsia" w:ascii="Times New Roman" w:hAnsi="Times New Roman" w:eastAsia="仿宋_GB2312" w:cs="Times New Roman"/>
                <w:color w:val="000000" w:themeColor="text1"/>
                <w:sz w:val="21"/>
                <w:szCs w:val="21"/>
                <w:lang w:bidi="ar"/>
                <w14:textFill>
                  <w14:solidFill>
                    <w14:schemeClr w14:val="tx1"/>
                  </w14:solidFill>
                </w14:textFill>
              </w:rPr>
              <w:t>9.6</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510"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高新技术产业增加值占</w:t>
            </w:r>
          </w:p>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GDP比重（%）</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16</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19.86</w:t>
            </w:r>
            <w:r>
              <w:rPr>
                <w:rFonts w:ascii="Times New Roman" w:hAnsi="Times New Roman" w:eastAsia="仿宋_GB2312" w:cs="Times New Roman"/>
                <w:color w:val="000000" w:themeColor="text1"/>
                <w:sz w:val="21"/>
                <w:szCs w:val="21"/>
                <w:lang w:bidi="ar"/>
                <w14:textFill>
                  <w14:solidFill>
                    <w14:schemeClr w14:val="tx1"/>
                  </w14:solidFill>
                </w14:textFill>
              </w:rPr>
              <w:t xml:space="preserve">                                 </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567"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城镇化率（%）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41.95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50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1.6</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52.16</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r>
              <w:rPr>
                <w:rFonts w:hint="eastAsia" w:ascii="Times New Roman" w:hAnsi="Times New Roman" w:eastAsia="仿宋_GB2312" w:cs="Times New Roman"/>
                <w:color w:val="000000" w:themeColor="text1"/>
                <w:sz w:val="21"/>
                <w:szCs w:val="21"/>
                <w:lang w:bidi="ar"/>
                <w14:textFill>
                  <w14:solidFill>
                    <w14:schemeClr w14:val="tx1"/>
                  </w14:solidFill>
                </w14:textFill>
              </w:rPr>
              <w:t>10.21</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14:textFill>
                  <w14:solidFill>
                    <w14:schemeClr w14:val="tx1"/>
                  </w14:solidFill>
                </w14:textFill>
              </w:rPr>
              <w:t>创新驱动</w:t>
            </w: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九年义务教育巩固率（%）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≥98</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98.83</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11</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高中阶段教育毛入学率（%）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88.7</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91.02</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研究与实验发展经费支出占地区生产总值比重（%）</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2.3</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1.5</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13</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每万人发明专利拥有量（件）</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0.17</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3.2</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[3.03]</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0.82</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37%</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14</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互联网普及率（%）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80</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14:textFill>
                  <w14:solidFill>
                    <w14:schemeClr w14:val="tx1"/>
                  </w14:solidFill>
                </w14:textFill>
              </w:rPr>
              <w:t>社会民生</w:t>
            </w: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15</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城镇登记失业率（%）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4.2</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&lt;4.5</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4.5</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16</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城镇净增就业人数（万人）</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[24.5]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[28]</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[25.3]</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17</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城乡三项医疗保险</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参保率（%）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&gt;90</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&gt;95</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96.46</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18</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重点食品安全检测抽查</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合格率（%）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90</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95</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96</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19</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药品评价性抽验总体</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合格率（%）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90</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95</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99</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20</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城镇居民人均可支配</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收入（元）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21070</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34000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30845</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7.9%</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21</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农村居民人均可支配</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收入（元）</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8716</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14000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14</w:t>
            </w:r>
            <w:r>
              <w:rPr>
                <w:rFonts w:hint="eastAsia" w:ascii="Times New Roman" w:hAnsi="Times New Roman" w:eastAsia="仿宋_GB2312" w:cs="Times New Roman"/>
                <w:color w:val="000000" w:themeColor="text1"/>
                <w:sz w:val="21"/>
                <w:szCs w:val="21"/>
                <w:lang w:bidi="ar"/>
                <w14:textFill>
                  <w14:solidFill>
                    <w14:schemeClr w14:val="tx1"/>
                  </w14:solidFill>
                </w14:textFill>
              </w:rPr>
              <w:t>119</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r>
              <w:rPr>
                <w:rFonts w:hint="eastAsia" w:ascii="Times New Roman" w:hAnsi="Times New Roman" w:eastAsia="仿宋_GB2312" w:cs="Times New Roman"/>
                <w:color w:val="000000" w:themeColor="text1"/>
                <w:sz w:val="21"/>
                <w:szCs w:val="21"/>
                <w:lang w:bidi="ar"/>
                <w14:textFill>
                  <w14:solidFill>
                    <w14:schemeClr w14:val="tx1"/>
                  </w14:solidFill>
                </w14:textFill>
              </w:rPr>
              <w:t>.1</w:t>
            </w: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22</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贫困人口减少（万人）</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[97.6]</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[114]</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14:textFill>
                  <w14:solidFill>
                    <w14:schemeClr w14:val="tx1"/>
                  </w14:solidFill>
                </w14:textFill>
              </w:rPr>
              <w:t>资源环境</w:t>
            </w: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23</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耕地保有量（万亩）</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590.7</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&gt;590.7</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&gt;590.7</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24</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万元工业增加值用水量（m3）</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103</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62</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62</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25</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农业灌溉用水有效利用系数</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0.49</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0.53</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[0.04]</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0.5</w:t>
            </w:r>
            <w:r>
              <w:rPr>
                <w:rFonts w:hint="eastAsia" w:ascii="Times New Roman" w:hAnsi="Times New Roman" w:eastAsia="仿宋_GB2312" w:cs="Times New Roman"/>
                <w:color w:val="000000" w:themeColor="text1"/>
                <w:sz w:val="21"/>
                <w:szCs w:val="21"/>
                <w:lang w:bidi="ar"/>
                <w14:textFill>
                  <w14:solidFill>
                    <w14:schemeClr w14:val="tx1"/>
                  </w14:solidFill>
                </w14:textFill>
              </w:rPr>
              <w:t>3</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26</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单位GDP二氧化碳</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排放降低（%）</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[18]</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[18]</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仿宋_GB2312" w:cs="Times New Roman"/>
                <w:b/>
                <w:bCs/>
                <w:color w:val="000000" w:themeColor="text1"/>
                <w:sz w:val="21"/>
                <w:szCs w:val="21"/>
                <w14:textFill>
                  <w14:solidFill>
                    <w14:schemeClr w14:val="tx1"/>
                  </w14:solidFill>
                </w14:textFill>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27</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单位地区生产总值能源</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消耗降低（%）</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6</w:t>
            </w: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[23.1]</w:t>
            </w:r>
          </w:p>
        </w:tc>
      </w:tr>
      <w:tr>
        <w:tblPrEx>
          <w:tblCellMar>
            <w:top w:w="0" w:type="dxa"/>
            <w:left w:w="0" w:type="dxa"/>
            <w:bottom w:w="0" w:type="dxa"/>
            <w:right w:w="0" w:type="dxa"/>
          </w:tblCellMar>
        </w:tblPrEx>
        <w:trPr>
          <w:trHeight w:val="454" w:hRule="atLeast"/>
          <w:jc w:val="center"/>
        </w:trPr>
        <w:tc>
          <w:tcPr>
            <w:tcW w:w="328"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资源环境</w:t>
            </w: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28</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县级以上城镇生活污水</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处理率（%）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86.5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90</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95.3</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宋体" w:cs="Times New Roman"/>
                <w:color w:val="444444"/>
                <w:sz w:val="24"/>
                <w:szCs w:val="24"/>
              </w:rPr>
            </w:pPr>
          </w:p>
        </w:tc>
        <w:tc>
          <w:tcPr>
            <w:tcW w:w="365"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29</w:t>
            </w:r>
          </w:p>
        </w:tc>
        <w:tc>
          <w:tcPr>
            <w:tcW w:w="723" w:type="pct"/>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主要污染物排放总量减少</w:t>
            </w:r>
          </w:p>
        </w:tc>
        <w:tc>
          <w:tcPr>
            <w:tcW w:w="8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化学需氧量</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（万吨）</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9.85</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[13.1%]</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宋体" w:cs="Times New Roman"/>
                <w:color w:val="444444"/>
                <w:sz w:val="24"/>
                <w:szCs w:val="24"/>
              </w:rPr>
            </w:pP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8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氨氮（万吨）</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1.28</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[14.5%]</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宋体" w:cs="Times New Roman"/>
                <w:color w:val="444444"/>
                <w:sz w:val="24"/>
                <w:szCs w:val="24"/>
              </w:rPr>
            </w:pP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8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二氧化硫</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（万吨）</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2.58</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[22.2%]</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宋体" w:cs="Times New Roman"/>
                <w:color w:val="444444"/>
                <w:sz w:val="24"/>
                <w:szCs w:val="24"/>
              </w:rPr>
            </w:pPr>
          </w:p>
        </w:tc>
        <w:tc>
          <w:tcPr>
            <w:tcW w:w="365"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723"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881"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氮氧化物</w:t>
            </w:r>
          </w:p>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（万吨）</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3.28</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[20.1%]</w:t>
            </w:r>
          </w:p>
        </w:tc>
      </w:tr>
      <w:tr>
        <w:tblPrEx>
          <w:tblCellMar>
            <w:top w:w="0" w:type="dxa"/>
            <w:left w:w="0" w:type="dxa"/>
            <w:bottom w:w="0" w:type="dxa"/>
            <w:right w:w="0" w:type="dxa"/>
          </w:tblCellMar>
        </w:tblPrEx>
        <w:trPr>
          <w:trHeight w:val="454" w:hRule="atLeast"/>
          <w:jc w:val="center"/>
        </w:trPr>
        <w:tc>
          <w:tcPr>
            <w:tcW w:w="328" w:type="pct"/>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line="300" w:lineRule="exact"/>
              <w:jc w:val="center"/>
              <w:rPr>
                <w:rFonts w:ascii="Times New Roman" w:hAnsi="Times New Roman" w:eastAsia="宋体" w:cs="Times New Roman"/>
                <w:color w:val="444444"/>
                <w:sz w:val="24"/>
                <w:szCs w:val="24"/>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30</w:t>
            </w:r>
          </w:p>
        </w:tc>
        <w:tc>
          <w:tcPr>
            <w:tcW w:w="1605" w:type="pct"/>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森林覆盖率（%）</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&gt;61.03</w:t>
            </w: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&gt;6</w:t>
            </w:r>
            <w:r>
              <w:rPr>
                <w:rFonts w:hint="eastAsia" w:ascii="Times New Roman" w:hAnsi="Times New Roman" w:eastAsia="仿宋_GB2312" w:cs="Times New Roman"/>
                <w:color w:val="000000" w:themeColor="text1"/>
                <w:sz w:val="21"/>
                <w:szCs w:val="21"/>
                <w:lang w:bidi="ar"/>
                <w14:textFill>
                  <w14:solidFill>
                    <w14:schemeClr w14:val="tx1"/>
                  </w14:solidFill>
                </w14:textFill>
              </w:rPr>
              <w:t>0.95</w:t>
            </w:r>
          </w:p>
        </w:tc>
        <w:tc>
          <w:tcPr>
            <w:tcW w:w="516"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24"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&gt;6</w:t>
            </w:r>
            <w:r>
              <w:rPr>
                <w:rFonts w:hint="eastAsia" w:ascii="Times New Roman" w:hAnsi="Times New Roman" w:eastAsia="仿宋_GB2312" w:cs="Times New Roman"/>
                <w:color w:val="000000" w:themeColor="text1"/>
                <w:sz w:val="21"/>
                <w:szCs w:val="21"/>
                <w:lang w:bidi="ar"/>
                <w14:textFill>
                  <w14:solidFill>
                    <w14:schemeClr w14:val="tx1"/>
                  </w14:solidFill>
                </w14:textFill>
              </w:rPr>
              <w:t>1</w:t>
            </w:r>
          </w:p>
        </w:tc>
        <w:tc>
          <w:tcPr>
            <w:tcW w:w="65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26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129" w:name="_Toc26371"/>
      <w:bookmarkStart w:id="130" w:name="_Toc29825"/>
      <w:bookmarkStart w:id="131" w:name="_Toc28690"/>
      <w:bookmarkStart w:id="132" w:name="_Toc22204"/>
      <w:bookmarkStart w:id="133" w:name="_Toc857"/>
      <w:bookmarkStart w:id="134" w:name="_Toc7994"/>
      <w:bookmarkStart w:id="135" w:name="_Toc16950"/>
      <w:bookmarkStart w:id="136" w:name="_Toc30072"/>
      <w:bookmarkStart w:id="137" w:name="_Toc202"/>
      <w:bookmarkStart w:id="138" w:name="_Toc31348"/>
      <w:bookmarkStart w:id="139" w:name="_Toc29127"/>
      <w:bookmarkStart w:id="140" w:name="_Toc30754"/>
      <w:bookmarkStart w:id="141" w:name="_Toc30603"/>
      <w:bookmarkStart w:id="142" w:name="_Toc9315"/>
      <w:bookmarkStart w:id="143" w:name="_Toc4614"/>
      <w:bookmarkStart w:id="144" w:name="_Toc18291"/>
      <w:bookmarkStart w:id="145" w:name="_Toc25674"/>
      <w:bookmarkStart w:id="146" w:name="_Toc7301"/>
      <w:bookmarkStart w:id="147" w:name="_Toc26944"/>
      <w:bookmarkStart w:id="148" w:name="_Toc7951"/>
      <w:bookmarkStart w:id="149" w:name="_Toc25282"/>
      <w:bookmarkStart w:id="150" w:name="_Toc19020"/>
      <w:bookmarkStart w:id="151" w:name="_Toc19471"/>
      <w:bookmarkStart w:id="152" w:name="_Toc3384"/>
      <w:bookmarkStart w:id="153" w:name="_Toc28038"/>
      <w:bookmarkStart w:id="154" w:name="_Toc27459"/>
      <w:bookmarkStart w:id="155" w:name="_Toc24251"/>
      <w:bookmarkStart w:id="156" w:name="_Toc3858"/>
      <w:bookmarkStart w:id="157" w:name="_Toc17271"/>
      <w:bookmarkStart w:id="158" w:name="_Toc7629"/>
      <w:bookmarkStart w:id="159" w:name="_Toc1591"/>
      <w:bookmarkStart w:id="160" w:name="_Toc5611"/>
      <w:bookmarkStart w:id="161" w:name="_Toc26996"/>
      <w:bookmarkStart w:id="162" w:name="_Toc4376"/>
      <w:bookmarkStart w:id="163" w:name="_Toc21676"/>
      <w:bookmarkStart w:id="164" w:name="_Toc29324"/>
      <w:bookmarkStart w:id="165" w:name="_Toc8765"/>
      <w:r>
        <w:rPr>
          <w:rFonts w:ascii="Times New Roman" w:hAnsi="Times New Roman" w:cs="Times New Roman"/>
          <w:color w:val="000000" w:themeColor="text1"/>
          <w:szCs w:val="32"/>
          <w14:textFill>
            <w14:solidFill>
              <w14:schemeClr w14:val="tx1"/>
            </w14:solidFill>
          </w14:textFill>
        </w:rPr>
        <w:t>第三节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基本实现社会主义现代化远景目标</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pPr>
        <w:widowControl w:val="0"/>
        <w:adjustRightInd/>
        <w:snapToGrid/>
        <w:spacing w:before="0" w:after="0" w:line="560" w:lineRule="exact"/>
        <w:ind w:firstLine="616"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6"/>
          <w:sz w:val="32"/>
          <w:szCs w:val="32"/>
          <w14:textFill>
            <w14:solidFill>
              <w14:schemeClr w14:val="tx1"/>
            </w14:solidFill>
          </w14:textFill>
        </w:rPr>
        <w:t>展望未来，到2035年，我市经济、科技实力大幅跃升，经济总量和城乡居民人均收入将再迈上新的大台阶，</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二中心一枢纽</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地位更加凸显；打造国家重要先进制造业高地，基本实现新型工业化、信息化、城镇化、农业现代化，建成现代化经济体系；打造具有核心竞争力的科技创新高地，关键核心技术实现重大突破，</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邵阳智造</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迈上全球价值链中高端；打造内陆地区改革开放高地，全面建成湘南湘西承接产业转移示范区，形成全面对外开放新格局；基本实现治理体系和治理能力现代化，人民平等参与、平等发展权利得到充分保障，法治政府、法治社会基本建成，平安邵阳建设达到更高水平；文化强市、教育强市、人才强市、体育强市、健康邵阳质量更高，国民素质和社会文明程度达到新高度，文化软实力、影响力显著增强；生态环境根本好转，绿色生产生活方式广泛形成，人与自然和谐共生；大部分群体进入中等收入行列，基本公共服务实现均等化，城乡区域发展差距和居民生活水平差距显著缩小；人民生活更加美好，人的全面发展、全体人民共同富裕取得更为明显实质性进展。</w:t>
      </w:r>
      <w:r>
        <w:rPr>
          <w:rFonts w:ascii="Times New Roman" w:hAnsi="Times New Roman" w:eastAsia="仿宋_GB2312" w:cs="Times New Roman"/>
          <w:color w:val="000000" w:themeColor="text1"/>
          <w:sz w:val="32"/>
          <w:szCs w:val="32"/>
          <w14:textFill>
            <w14:solidFill>
              <w14:schemeClr w14:val="tx1"/>
            </w14:solidFill>
          </w14:textFill>
        </w:rPr>
        <w:br w:type="page"/>
      </w:r>
    </w:p>
    <w:p>
      <w:pPr>
        <w:rPr>
          <w:rFonts w:ascii="Times New Roman" w:hAnsi="Times New Roman" w:cs="Times New Roman"/>
        </w:rPr>
      </w:pPr>
      <w:bookmarkStart w:id="166" w:name="_Toc19807"/>
      <w:bookmarkStart w:id="167" w:name="_Toc13180"/>
      <w:bookmarkStart w:id="168" w:name="_Toc20653"/>
      <w:bookmarkStart w:id="169" w:name="_Toc8978"/>
      <w:bookmarkStart w:id="170" w:name="_Toc15852"/>
      <w:bookmarkStart w:id="171" w:name="_Toc1366"/>
      <w:bookmarkStart w:id="172" w:name="_Toc29681"/>
      <w:bookmarkStart w:id="173" w:name="_Toc14241"/>
      <w:bookmarkStart w:id="174" w:name="_Toc10688"/>
      <w:bookmarkStart w:id="175" w:name="_Toc5837"/>
      <w:bookmarkStart w:id="176" w:name="_Toc9930"/>
      <w:bookmarkStart w:id="177" w:name="_Toc28776"/>
      <w:bookmarkStart w:id="178" w:name="_Toc22059"/>
      <w:bookmarkStart w:id="179" w:name="_Toc8846"/>
      <w:bookmarkStart w:id="180" w:name="_Toc3025"/>
      <w:bookmarkStart w:id="181" w:name="_Toc30783"/>
      <w:bookmarkStart w:id="182" w:name="_Toc28133"/>
      <w:bookmarkStart w:id="183" w:name="_Toc17966"/>
      <w:bookmarkStart w:id="184" w:name="_Toc17110"/>
      <w:bookmarkStart w:id="185" w:name="_Toc23833"/>
      <w:bookmarkStart w:id="186" w:name="_Toc4696"/>
      <w:bookmarkStart w:id="187" w:name="_Toc31885"/>
      <w:bookmarkStart w:id="188" w:name="_Toc25527"/>
      <w:bookmarkStart w:id="189" w:name="_Toc9853"/>
      <w:bookmarkStart w:id="190" w:name="_Toc24494"/>
      <w:bookmarkStart w:id="191" w:name="_Toc9376"/>
      <w:bookmarkStart w:id="192" w:name="_Toc27400"/>
      <w:bookmarkStart w:id="193" w:name="_Toc26027"/>
      <w:bookmarkStart w:id="194" w:name="_Toc12092"/>
      <w:bookmarkStart w:id="195" w:name="_Toc395"/>
      <w:bookmarkStart w:id="196" w:name="_Toc18016"/>
      <w:bookmarkStart w:id="197" w:name="_Toc28808"/>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198" w:name="_Toc10404"/>
      <w:bookmarkStart w:id="199" w:name="_Toc12160"/>
      <w:bookmarkStart w:id="200" w:name="_Toc20872"/>
      <w:bookmarkStart w:id="201" w:name="_Toc8526"/>
      <w:bookmarkStart w:id="202" w:name="_Toc25925"/>
      <w:r>
        <w:rPr>
          <w:rFonts w:ascii="Times New Roman" w:hAnsi="Times New Roman" w:cs="Times New Roman"/>
          <w:color w:val="000000" w:themeColor="text1"/>
          <w14:textFill>
            <w14:solidFill>
              <w14:schemeClr w14:val="tx1"/>
            </w14:solidFill>
          </w14:textFill>
        </w:rPr>
        <w:t>第二章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坚持以人为本 奋力谱写邵阳</w:t>
      </w:r>
      <w:r>
        <w:rPr>
          <w:rFonts w:hint="eastAsia" w:ascii="仿宋" w:hAnsi="仿宋" w:eastAsia="仿宋"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十四五</w:t>
      </w:r>
      <w:r>
        <w:rPr>
          <w:rFonts w:hint="eastAsia" w:ascii="仿宋" w:hAnsi="仿宋" w:eastAsia="仿宋"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发展新篇章</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时期，全面实施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三高四新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战略，抓住和用好大有作为的重要战略机遇期，持之以恒兴产业，持之以恒强开放，持之以恒促协调，持之以恒惠民生，高质量推进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二中心一枢纽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建设，奋力谱写新时代坚持和发展中国特色社会主义的邵阳新篇章。</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03" w:name="_Toc143"/>
      <w:bookmarkStart w:id="204" w:name="_Toc6428"/>
      <w:bookmarkStart w:id="205" w:name="_Toc18156"/>
      <w:bookmarkStart w:id="206" w:name="_Toc29531"/>
      <w:bookmarkStart w:id="207" w:name="_Toc3458"/>
      <w:bookmarkStart w:id="208" w:name="_Toc9878"/>
      <w:bookmarkStart w:id="209" w:name="_Toc10233"/>
      <w:bookmarkStart w:id="210" w:name="_Toc1141"/>
      <w:bookmarkStart w:id="211" w:name="_Toc6830"/>
      <w:bookmarkStart w:id="212" w:name="_Toc26103"/>
      <w:bookmarkStart w:id="213" w:name="_Toc17372"/>
      <w:bookmarkStart w:id="214" w:name="_Toc31195"/>
      <w:bookmarkStart w:id="215" w:name="_Toc24637"/>
      <w:bookmarkStart w:id="216" w:name="_Toc4712"/>
      <w:bookmarkStart w:id="217" w:name="_Toc23114"/>
      <w:bookmarkStart w:id="218" w:name="_Toc2109"/>
      <w:bookmarkStart w:id="219" w:name="_Toc23493"/>
      <w:bookmarkStart w:id="220" w:name="_Toc17640"/>
      <w:bookmarkStart w:id="221" w:name="_Toc24596"/>
      <w:bookmarkStart w:id="222" w:name="_Toc22044"/>
      <w:bookmarkStart w:id="223" w:name="_Toc27429"/>
      <w:bookmarkStart w:id="224" w:name="_Toc6976"/>
      <w:bookmarkStart w:id="225" w:name="_Toc3370"/>
      <w:bookmarkStart w:id="226" w:name="_Toc18100"/>
      <w:bookmarkStart w:id="227" w:name="_Toc18393"/>
      <w:bookmarkStart w:id="228" w:name="_Toc22596"/>
      <w:bookmarkStart w:id="229" w:name="_Toc14444"/>
      <w:bookmarkStart w:id="230" w:name="_Toc4286"/>
      <w:bookmarkStart w:id="231" w:name="_Toc17347"/>
      <w:bookmarkStart w:id="232" w:name="_Toc15554"/>
      <w:bookmarkStart w:id="233" w:name="_Toc24595"/>
      <w:bookmarkStart w:id="234" w:name="_Toc13953"/>
      <w:bookmarkStart w:id="235" w:name="_Toc26286"/>
      <w:bookmarkStart w:id="236" w:name="_Toc4405"/>
      <w:bookmarkStart w:id="237" w:name="_Toc22528"/>
      <w:bookmarkStart w:id="238" w:name="_Toc2636"/>
      <w:bookmarkStart w:id="239" w:name="_Toc9695"/>
      <w:r>
        <w:rPr>
          <w:rFonts w:ascii="Times New Roman" w:hAnsi="Times New Roman" w:cs="Times New Roman"/>
          <w:color w:val="000000" w:themeColor="text1"/>
          <w:szCs w:val="32"/>
          <w14:textFill>
            <w14:solidFill>
              <w14:schemeClr w14:val="tx1"/>
            </w14:solidFill>
          </w14:textFill>
        </w:rPr>
        <w:t>第一节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指导思想</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bookmarkStart w:id="240" w:name="_Toc1875"/>
      <w:r>
        <w:rPr>
          <w:rFonts w:ascii="Times New Roman" w:hAnsi="Times New Roman" w:eastAsia="仿宋_GB2312" w:cs="Times New Roman"/>
          <w:color w:val="000000" w:themeColor="text1"/>
          <w:sz w:val="32"/>
          <w:szCs w:val="32"/>
          <w14:textFill>
            <w14:solidFill>
              <w14:schemeClr w14:val="tx1"/>
            </w14:solidFill>
          </w14:textFill>
        </w:rPr>
        <w:t>高举中国特色社会主义伟大旗帜，深入贯彻党的十九大和十九届二中、三中、四中、五中全会精神，以马列主义、毛泽东思想、邓小平理论、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三个代表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重要思想、科学发展观、习近平新时代中国特色社会主义思想为指导，深入贯彻习近平总书记考察湖南重要讲话精神，全面贯彻党的基本理论、基本路线、基本方略，统筹推进经济建设、政治建设、文化建设、社会建设、生态文明建设的总体布局，协调推进全面建设社会主义现代化国家、全面深化改革、全面依法治国、全面从严治党的战略布局，坚持新发展理念，坚持稳中求进工作总基调，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推进治理体系和治理能力现代化，全面落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三高四新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战略，高质量建成湖南省域副中心、湘中湘西南经济文化体育中心、全国区域性综合交通枢纽，基本建成湘南湘西承接产业转移示范区，奋力在打造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三个高地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、担当</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使命、落实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五项重点任务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中展现邵阳新作为。</w:t>
      </w:r>
    </w:p>
    <w:bookmarkEnd w:id="240"/>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41" w:name="_Toc6764"/>
      <w:bookmarkStart w:id="242" w:name="_Toc27448"/>
      <w:bookmarkStart w:id="243" w:name="_Toc904"/>
      <w:bookmarkStart w:id="244" w:name="_Toc20987"/>
      <w:bookmarkStart w:id="245" w:name="_Toc7947"/>
      <w:bookmarkStart w:id="246" w:name="_Toc10680"/>
      <w:bookmarkStart w:id="247" w:name="_Toc9533"/>
      <w:bookmarkStart w:id="248" w:name="_Toc28553"/>
      <w:bookmarkStart w:id="249" w:name="_Toc10170"/>
      <w:bookmarkStart w:id="250" w:name="_Toc17940"/>
      <w:bookmarkStart w:id="251" w:name="_Toc19695"/>
      <w:bookmarkStart w:id="252" w:name="_Toc19762"/>
      <w:bookmarkStart w:id="253" w:name="_Toc24358"/>
      <w:bookmarkStart w:id="254" w:name="_Toc13127"/>
      <w:bookmarkStart w:id="255" w:name="_Toc19596"/>
      <w:bookmarkStart w:id="256" w:name="_Toc14538"/>
      <w:bookmarkStart w:id="257" w:name="_Toc14271"/>
      <w:bookmarkStart w:id="258" w:name="_Toc8822"/>
      <w:bookmarkStart w:id="259" w:name="_Toc22920"/>
      <w:bookmarkStart w:id="260" w:name="_Toc27158"/>
      <w:bookmarkStart w:id="261" w:name="_Toc28525"/>
      <w:bookmarkStart w:id="262" w:name="_Toc2706"/>
      <w:bookmarkStart w:id="263" w:name="_Toc9790"/>
      <w:bookmarkStart w:id="264" w:name="_Toc22394"/>
      <w:bookmarkStart w:id="265" w:name="_Toc6280"/>
      <w:bookmarkStart w:id="266" w:name="_Toc30089"/>
      <w:bookmarkStart w:id="267" w:name="_Toc1694"/>
      <w:bookmarkStart w:id="268" w:name="_Toc25101"/>
      <w:bookmarkStart w:id="269" w:name="_Toc18685"/>
      <w:bookmarkStart w:id="270" w:name="_Toc27227"/>
      <w:bookmarkStart w:id="271" w:name="_Toc3401"/>
      <w:bookmarkStart w:id="272" w:name="_Toc15544"/>
      <w:bookmarkStart w:id="273" w:name="_Toc31250"/>
      <w:bookmarkStart w:id="274" w:name="_Toc30999"/>
      <w:bookmarkStart w:id="275" w:name="_Toc6328"/>
      <w:bookmarkStart w:id="276" w:name="_Toc25956"/>
      <w:bookmarkStart w:id="277" w:name="_Toc12395"/>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发展原则</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必须坚持党的全面领导。</w:t>
      </w:r>
      <w:r>
        <w:rPr>
          <w:rFonts w:ascii="Times New Roman" w:hAnsi="Times New Roman" w:eastAsia="仿宋_GB2312" w:cs="Times New Roman"/>
          <w:color w:val="000000" w:themeColor="text1"/>
          <w:sz w:val="32"/>
          <w:szCs w:val="32"/>
          <w14:textFill>
            <w14:solidFill>
              <w14:schemeClr w14:val="tx1"/>
            </w14:solidFill>
          </w14:textFill>
        </w:rPr>
        <w:t>党的全面领导是实现经济社会持续健康发展的根本政治保证。要增强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四个意识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、坚定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四个自信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、做到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两个维护</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，坚持和完善党领导经济社会发展的体制机制，不断提高贯彻新发展理念、构建新发展格局能力和水平。</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必须坚持以人民为中心。</w:t>
      </w:r>
      <w:r>
        <w:rPr>
          <w:rFonts w:ascii="Times New Roman" w:hAnsi="Times New Roman" w:eastAsia="仿宋_GB2312" w:cs="Times New Roman"/>
          <w:color w:val="000000" w:themeColor="text1"/>
          <w:sz w:val="32"/>
          <w:szCs w:val="32"/>
          <w14:textFill>
            <w14:solidFill>
              <w14:schemeClr w14:val="tx1"/>
            </w14:solidFill>
          </w14:textFill>
        </w:rPr>
        <w:t>实现好、维护好、发展好最广大人民根本利益是发展的根本目的。要把实现人民对美好生活的向往作为发展的出发点和落脚点，发展人民民主，促进社会公平，增进民生福祉，充分调动人民群众的积极性、主动性、创造性。</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必须坚持新发展理念。</w:t>
      </w:r>
      <w:r>
        <w:rPr>
          <w:rFonts w:ascii="Times New Roman" w:hAnsi="Times New Roman" w:eastAsia="仿宋_GB2312" w:cs="Times New Roman"/>
          <w:color w:val="000000" w:themeColor="text1"/>
          <w:sz w:val="32"/>
          <w:szCs w:val="32"/>
          <w14:textFill>
            <w14:solidFill>
              <w14:schemeClr w14:val="tx1"/>
            </w14:solidFill>
          </w14:textFill>
        </w:rPr>
        <w:t>坚持新发展理念是实现更高质量、更有效率、更加公平、更可持续、更为安全发展的必由之路。要把创新、协调、绿色、开放、共享的新发展理念贯穿发展全过程和各领域，构建新发展格局，切实转变发展方式，推动质量变革、效率变革、动力变革。</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必须坚持深化改革开放。</w:t>
      </w:r>
      <w:r>
        <w:rPr>
          <w:rFonts w:ascii="Times New Roman" w:hAnsi="Times New Roman" w:eastAsia="仿宋_GB2312" w:cs="Times New Roman"/>
          <w:color w:val="000000" w:themeColor="text1"/>
          <w:sz w:val="32"/>
          <w:szCs w:val="32"/>
          <w14:textFill>
            <w14:solidFill>
              <w14:schemeClr w14:val="tx1"/>
            </w14:solidFill>
          </w14:textFill>
        </w:rPr>
        <w:t>改革开放是推动发展的强大动力。要坚定不移推进改革开放，破除制约高质量发展、高品质生活的体制机制障碍，推动更大范围更宽领域更深层次对外开放，持续增强发展动力和活力。</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必须坚持系统观念。</w:t>
      </w:r>
      <w:r>
        <w:rPr>
          <w:rFonts w:ascii="Times New Roman" w:hAnsi="Times New Roman" w:eastAsia="仿宋_GB2312" w:cs="Times New Roman"/>
          <w:color w:val="000000" w:themeColor="text1"/>
          <w:sz w:val="32"/>
          <w:szCs w:val="32"/>
          <w14:textFill>
            <w14:solidFill>
              <w14:schemeClr w14:val="tx1"/>
            </w14:solidFill>
          </w14:textFill>
        </w:rPr>
        <w:t>系统观念是具有基础性的思想和工作方法。要加强前瞻性思考、全局性谋划、战略性布局、整体性推进，办好发展安全两件大事，更好发挥各方面积极性，着力固根基、扬优势、补短板、强弱项，注重防范化解重大风险挑战，实现发展质量、结构、规模、速度、效益、安全相统一。</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必须坚持</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一带一部</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定位。</w:t>
      </w:r>
      <w:r>
        <w:rPr>
          <w:rFonts w:ascii="Times New Roman" w:hAnsi="Times New Roman" w:eastAsia="仿宋_GB2312" w:cs="Times New Roman"/>
          <w:color w:val="000000" w:themeColor="text1"/>
          <w:sz w:val="32"/>
          <w:szCs w:val="32"/>
          <w14:textFill>
            <w14:solidFill>
              <w14:schemeClr w14:val="tx1"/>
            </w14:solidFill>
          </w14:textFill>
        </w:rPr>
        <w:t>省域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定位决定了我市发展的战略布局和战略重点。要强化不辱使命、站位全局的担当，牢牢把握新发展格局的重大机遇，主动融入全国、全省发展全局，释放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区位开放优势的新引擎，扎实推动高质量发展。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必须坚持目标引领。</w:t>
      </w:r>
      <w:r>
        <w:rPr>
          <w:rFonts w:ascii="Times New Roman" w:hAnsi="Times New Roman" w:eastAsia="仿宋_GB2312" w:cs="Times New Roman"/>
          <w:color w:val="000000" w:themeColor="text1"/>
          <w:sz w:val="32"/>
          <w:szCs w:val="32"/>
          <w14:textFill>
            <w14:solidFill>
              <w14:schemeClr w14:val="tx1"/>
            </w14:solidFill>
          </w14:textFill>
        </w:rPr>
        <w:t>落实省委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三高四新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战略、高质量建成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二中心一枢纽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，是坚持从实际出发、主动融入新发展格局确定的奋斗目标。要保持定力不折腾，一张蓝图干到底，精准施策、统筹推进、务求实效，奋力建设社会主义现代化新邵阳。</w:t>
      </w: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78" w:name="_Toc31170"/>
      <w:bookmarkStart w:id="279" w:name="_Toc22967"/>
      <w:bookmarkStart w:id="280" w:name="_Toc16144"/>
      <w:bookmarkStart w:id="281" w:name="_Toc14231"/>
      <w:bookmarkStart w:id="282" w:name="_Toc168"/>
      <w:bookmarkStart w:id="283" w:name="_Toc4928"/>
      <w:bookmarkStart w:id="284" w:name="_Toc5836"/>
      <w:bookmarkStart w:id="285" w:name="_Toc24242"/>
      <w:bookmarkStart w:id="286" w:name="_Toc11130"/>
      <w:bookmarkStart w:id="287" w:name="_Toc28333"/>
      <w:bookmarkStart w:id="288" w:name="_Toc21268"/>
      <w:bookmarkStart w:id="289" w:name="_Toc302"/>
      <w:bookmarkStart w:id="290" w:name="_Toc24892"/>
      <w:bookmarkStart w:id="291" w:name="_Toc23058"/>
      <w:bookmarkStart w:id="292" w:name="_Toc13832"/>
      <w:bookmarkStart w:id="293" w:name="_Toc3092"/>
      <w:bookmarkStart w:id="294" w:name="_Toc14743"/>
      <w:bookmarkStart w:id="295" w:name="_Toc30307"/>
      <w:bookmarkStart w:id="296" w:name="_Toc6981"/>
      <w:bookmarkStart w:id="297" w:name="_Toc25239"/>
      <w:bookmarkStart w:id="298" w:name="_Toc20745"/>
      <w:bookmarkStart w:id="299" w:name="_Toc14931"/>
      <w:bookmarkStart w:id="300" w:name="_Toc10780"/>
      <w:bookmarkStart w:id="301" w:name="_Toc7901"/>
      <w:bookmarkStart w:id="302" w:name="_Toc5777"/>
      <w:bookmarkStart w:id="303" w:name="_Toc13442"/>
      <w:bookmarkStart w:id="304" w:name="_Toc29449"/>
      <w:bookmarkStart w:id="305" w:name="_Toc8312"/>
      <w:bookmarkStart w:id="306" w:name="_Toc423"/>
      <w:bookmarkStart w:id="307" w:name="_Toc435"/>
      <w:bookmarkStart w:id="308" w:name="_Toc25650"/>
      <w:bookmarkStart w:id="309" w:name="_Toc18876"/>
      <w:bookmarkStart w:id="310" w:name="_Toc18766"/>
      <w:bookmarkStart w:id="311" w:name="_Toc20945"/>
      <w:bookmarkStart w:id="312" w:name="_Toc31871"/>
      <w:bookmarkStart w:id="313" w:name="_Toc3804"/>
      <w:bookmarkStart w:id="314" w:name="_Toc22388"/>
      <w:r>
        <w:rPr>
          <w:rFonts w:ascii="Times New Roman" w:hAnsi="Times New Roman" w:cs="Times New Roman"/>
          <w:color w:val="000000" w:themeColor="text1"/>
          <w:szCs w:val="32"/>
          <w14:textFill>
            <w14:solidFill>
              <w14:schemeClr w14:val="tx1"/>
            </w14:solidFill>
          </w14:textFill>
        </w:rPr>
        <w:t xml:space="preserve">第三节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战略定位</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一张蓝图干到底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，进一步拓展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二中心一枢纽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战略定位新内容新目标新内涵。</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湖南省域副中心：</w:t>
      </w:r>
      <w:r>
        <w:rPr>
          <w:rFonts w:ascii="Times New Roman" w:hAnsi="Times New Roman" w:eastAsia="仿宋_GB2312" w:cs="Times New Roman"/>
          <w:color w:val="000000" w:themeColor="text1"/>
          <w:sz w:val="32"/>
          <w:szCs w:val="32"/>
          <w14:textFill>
            <w14:solidFill>
              <w14:schemeClr w14:val="tx1"/>
            </w14:solidFill>
          </w14:textFill>
        </w:rPr>
        <w:t>进一步发挥邵阳作为湖南地理中心和湖南</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（湖南东部长株潭到西部大湘西过渡带、北部洞庭湖到南部湘南结合部）及沪昆客运专线与呼南客运专线交汇十字架的区位优势，以近期建设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城市、远期建设中部地区大城市为目标，加快东部城镇群融合发展，将邵阳建设成湘中湘西南城区面积最大、人口最多、市容最美、实力最强、环境最优的城市。</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湘中湘西南经济文化体育中心：</w:t>
      </w:r>
      <w:r>
        <w:rPr>
          <w:rFonts w:ascii="Times New Roman" w:hAnsi="Times New Roman" w:eastAsia="仿宋_GB2312" w:cs="Times New Roman"/>
          <w:color w:val="000000" w:themeColor="text1"/>
          <w:sz w:val="32"/>
          <w:szCs w:val="32"/>
          <w14:textFill>
            <w14:solidFill>
              <w14:schemeClr w14:val="tx1"/>
            </w14:solidFill>
          </w14:textFill>
        </w:rPr>
        <w:t>围绕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一核一带多点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产业布局，加速培育先进装备制造、显示功能材料、智能家居家电、循环经济、中医药、时尚用品、互联网等优势产业，努力建成世界级中国（邵阳）特种玻璃谷、湘南湘西承接产业转移先行区、湘南湘西制造业转型升级示范区、湖南对接东盟地区最大的产业集聚区、中部地区最大的特色轻工产业开放合作区、湘中湘西南金融服务产业聚集区，高水平打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三个高地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。加快现代农业发展，形成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一县一特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产业格局，打造湘中地区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一县一特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名优特农产品示范集聚区，建设湘中湘西南最大的现代农业科技示范园。突出以崀山为龙头、南山国家公园为重点的旅游产业发展，努力把邵阳打造成世界著名的旅游胜地。完善医疗结构和布局，不断提升医疗服务能力,建设区域医疗中心。充分挖掘邵阳丰富的历史文化底蕴，加快地方传统文化特色产业发展，提升邵阳软实力，努力打造成湘中湘西南文化体育中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全国区域性综合交通枢纽：</w:t>
      </w:r>
      <w:r>
        <w:rPr>
          <w:rFonts w:ascii="Times New Roman" w:hAnsi="Times New Roman" w:eastAsia="仿宋_GB2312" w:cs="Times New Roman"/>
          <w:bCs/>
          <w:color w:val="000000" w:themeColor="text1"/>
          <w:sz w:val="32"/>
          <w:szCs w:val="32"/>
          <w14:textFill>
            <w14:solidFill>
              <w14:schemeClr w14:val="tx1"/>
            </w14:solidFill>
          </w14:textFill>
        </w:rPr>
        <w:t>加快培育</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四横四纵</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新骨架综合交通运输通道，</w:t>
      </w:r>
      <w:r>
        <w:rPr>
          <w:rFonts w:ascii="Times New Roman" w:hAnsi="Times New Roman" w:eastAsia="仿宋_GB2312" w:cs="Times New Roman"/>
          <w:color w:val="000000" w:themeColor="text1"/>
          <w:sz w:val="32"/>
          <w:szCs w:val="32"/>
          <w14:textFill>
            <w14:solidFill>
              <w14:schemeClr w14:val="tx1"/>
            </w14:solidFill>
          </w14:textFill>
        </w:rPr>
        <w:t>努力建成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三横七纵</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铁路运输网、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四横四纵二联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高速公路网、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一东一西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支线机场航空运输网，基本建成省内1小时交通圈、邻省主要城市2～4小时交通圈。提升农村运输通达能力，形成覆盖城乡的立体综合交通体系。在建成全国区域性综合交通枢纽的基础上，打造中部地区区域性现代物流中心城市。</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315" w:name="_Toc29976"/>
      <w:bookmarkStart w:id="316" w:name="_Toc10305"/>
      <w:bookmarkStart w:id="317" w:name="_Toc7287"/>
      <w:bookmarkStart w:id="318" w:name="_Toc32741"/>
      <w:bookmarkStart w:id="319" w:name="_Toc30263"/>
      <w:bookmarkStart w:id="320" w:name="_Toc10036"/>
      <w:bookmarkStart w:id="321" w:name="_Toc23186"/>
      <w:bookmarkStart w:id="322" w:name="_Toc22174"/>
      <w:bookmarkStart w:id="323" w:name="_Toc3735"/>
      <w:bookmarkStart w:id="324" w:name="_Toc24323"/>
      <w:bookmarkStart w:id="325" w:name="_Toc30139"/>
      <w:bookmarkStart w:id="326" w:name="_Toc14869"/>
      <w:bookmarkStart w:id="327" w:name="_Toc30881"/>
      <w:bookmarkStart w:id="328" w:name="_Toc22653"/>
      <w:bookmarkStart w:id="329" w:name="_Toc14699"/>
      <w:bookmarkStart w:id="330" w:name="_Toc14249"/>
      <w:bookmarkStart w:id="331" w:name="_Toc21928"/>
      <w:bookmarkStart w:id="332" w:name="_Toc11222"/>
      <w:bookmarkStart w:id="333" w:name="_Toc22834"/>
      <w:bookmarkStart w:id="334" w:name="_Toc27565"/>
      <w:bookmarkStart w:id="335" w:name="_Toc17847"/>
      <w:bookmarkStart w:id="336" w:name="_Toc562"/>
      <w:bookmarkStart w:id="337" w:name="_Toc27566"/>
      <w:bookmarkStart w:id="338" w:name="_Toc22006"/>
      <w:bookmarkStart w:id="339" w:name="_Toc12581"/>
      <w:bookmarkStart w:id="340" w:name="_Toc7070"/>
      <w:bookmarkStart w:id="341" w:name="_Toc11688"/>
      <w:bookmarkStart w:id="342" w:name="_Toc11214"/>
      <w:bookmarkStart w:id="343" w:name="_Toc28332"/>
      <w:bookmarkStart w:id="344" w:name="_Toc15743"/>
      <w:bookmarkStart w:id="345" w:name="_Toc15217"/>
      <w:bookmarkStart w:id="346" w:name="_Toc14464"/>
      <w:bookmarkStart w:id="347" w:name="_Toc20418"/>
      <w:bookmarkStart w:id="348" w:name="_Toc13719"/>
      <w:bookmarkStart w:id="349" w:name="_Toc12885"/>
      <w:bookmarkStart w:id="350" w:name="_Toc26638"/>
      <w:bookmarkStart w:id="351" w:name="_Toc23823"/>
      <w:r>
        <w:rPr>
          <w:rFonts w:ascii="Times New Roman" w:hAnsi="Times New Roman" w:cs="Times New Roman"/>
          <w:color w:val="000000" w:themeColor="text1"/>
          <w:szCs w:val="32"/>
          <w14:textFill>
            <w14:solidFill>
              <w14:schemeClr w14:val="tx1"/>
            </w14:solidFill>
          </w14:textFill>
        </w:rPr>
        <w:t>第四节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发展目标</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末，经济总量稳步提高，创新能力明显增强，经济结构更加优化，经济发展的质量和效益显著提升，基本公共服务配置更加均衡，人民生活水平不断提高，生态环境更加良好，高质量建成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二中心一枢纽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经济发展取得新成效。</w:t>
      </w:r>
      <w:r>
        <w:rPr>
          <w:rFonts w:ascii="Times New Roman" w:hAnsi="Times New Roman" w:eastAsia="仿宋_GB2312" w:cs="Times New Roman"/>
          <w:color w:val="000000" w:themeColor="text1"/>
          <w:sz w:val="32"/>
          <w:szCs w:val="32"/>
          <w14:textFill>
            <w14:solidFill>
              <w14:schemeClr w14:val="tx1"/>
            </w14:solidFill>
          </w14:textFill>
        </w:rPr>
        <w:t>增速高于全省平均水平，综合实力进入全省第一方阵，经济结构进一步优化，产业链现代化水平明显提高，国家重要先进制造业高地建设取得重大进展，农业基础更加稳固，城乡区域发展协调性明显增强。</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创新能力实现新提升。</w:t>
      </w:r>
      <w:r>
        <w:rPr>
          <w:rFonts w:ascii="Times New Roman" w:hAnsi="Times New Roman" w:eastAsia="仿宋_GB2312" w:cs="Times New Roman"/>
          <w:color w:val="000000" w:themeColor="text1"/>
          <w:sz w:val="32"/>
          <w:szCs w:val="32"/>
          <w14:textFill>
            <w14:solidFill>
              <w14:schemeClr w14:val="tx1"/>
            </w14:solidFill>
          </w14:textFill>
        </w:rPr>
        <w:t>研发投入大幅增加，创新制度不断健全，创新平台体系不断完善，创新人才加快聚集，一批关键核心技术取得突破，数字邵阳、智造邵阳加快推进，具有核心竞争力的科技创新高地建设取得重大进展。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改革开放迈出新步伐。</w:t>
      </w:r>
      <w:r>
        <w:rPr>
          <w:rFonts w:ascii="Times New Roman" w:hAnsi="Times New Roman" w:eastAsia="仿宋_GB2312" w:cs="Times New Roman"/>
          <w:color w:val="000000" w:themeColor="text1"/>
          <w:sz w:val="32"/>
          <w:szCs w:val="32"/>
          <w14:textFill>
            <w14:solidFill>
              <w14:schemeClr w14:val="tx1"/>
            </w14:solidFill>
          </w14:textFill>
        </w:rPr>
        <w:t>重点领域和关键环节改革取得决定性成果，高水平引进来和大规模走出去双向联动的开放发展新格局基本形成，湘南湘西承接产业转移示范区基本建成，内陆地区改革开放高地建设取得重大进展。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文明程度得到新提高。</w:t>
      </w:r>
      <w:r>
        <w:rPr>
          <w:rFonts w:ascii="Times New Roman" w:hAnsi="Times New Roman" w:eastAsia="仿宋_GB2312" w:cs="Times New Roman"/>
          <w:color w:val="000000" w:themeColor="text1"/>
          <w:sz w:val="32"/>
          <w:szCs w:val="32"/>
          <w14:textFill>
            <w14:solidFill>
              <w14:schemeClr w14:val="tx1"/>
            </w14:solidFill>
          </w14:textFill>
        </w:rPr>
        <w:t>社会主义核心价值观深入人心，人民思想道德、科学文化、身心健康素质明显提高，创建成为全国文明城市。公共文化服务体系和文化产业体系更加健全，人民精神文化生活日益丰富，建成湘中湘西南文化体育中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生态环境呈现新面貌。</w:t>
      </w:r>
      <w:r>
        <w:rPr>
          <w:rFonts w:ascii="Times New Roman" w:hAnsi="Times New Roman" w:eastAsia="仿宋_GB2312" w:cs="Times New Roman"/>
          <w:color w:val="000000" w:themeColor="text1"/>
          <w:sz w:val="32"/>
          <w:szCs w:val="32"/>
          <w14:textFill>
            <w14:solidFill>
              <w14:schemeClr w14:val="tx1"/>
            </w14:solidFill>
          </w14:textFill>
        </w:rPr>
        <w:t>基本建成以国家公园为主体的自然保护地体系，成功创建国家森林城市，城乡绿地系统进一步优化、扩容，重点环境问题得到有效整治，人居环境明显改善，建立湘西南生态屏障，打造全国生态文明先行示范区邵阳样板。</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民生福祉实现新改善。</w:t>
      </w:r>
      <w:r>
        <w:rPr>
          <w:rFonts w:ascii="Times New Roman" w:hAnsi="Times New Roman" w:eastAsia="仿宋_GB2312" w:cs="Times New Roman"/>
          <w:color w:val="000000" w:themeColor="text1"/>
          <w:sz w:val="32"/>
          <w:szCs w:val="32"/>
          <w14:textFill>
            <w14:solidFill>
              <w14:schemeClr w14:val="tx1"/>
            </w14:solidFill>
          </w14:textFill>
        </w:rPr>
        <w:t>居民收入增长与经济增长基本同步，覆盖城乡的就业、教育、医疗、住房等基本公共服务体系更加均衡完善，健康邵阳建设持续推进，建成区域医疗中心和湘中湘西南教育中心，多层次社会保障体系更加健全，脱贫攻坚成果巩固拓展，乡村振兴战略全面推进，人民生活质量和水平明显提高。</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治理效能达到新水平。</w:t>
      </w:r>
      <w:r>
        <w:rPr>
          <w:rFonts w:ascii="Times New Roman" w:hAnsi="Times New Roman" w:eastAsia="仿宋_GB2312" w:cs="Times New Roman"/>
          <w:color w:val="000000" w:themeColor="text1"/>
          <w:sz w:val="32"/>
          <w:szCs w:val="32"/>
          <w14:textFill>
            <w14:solidFill>
              <w14:schemeClr w14:val="tx1"/>
            </w14:solidFill>
          </w14:textFill>
        </w:rPr>
        <w:t>社会主义民主法治更加健全，社会公平正义进一步彰显，政府作用更好发挥，行政效率和公信力显著提升，社会治理特别是基层治理水平明显提高，防范化解重大风险体制机制更加健全，突发公共事件应急能力显著增强，自然灾害防御水平明显提升，发展安全保障更加有力，平安邵阳建设达到新水平，成功创建市域社会治理现代化试点合格城市。</w:t>
      </w:r>
    </w:p>
    <w:tbl>
      <w:tblPr>
        <w:tblStyle w:val="14"/>
        <w:tblpPr w:leftFromText="180" w:rightFromText="180" w:vertAnchor="text" w:horzAnchor="page" w:tblpX="1513" w:tblpY="580"/>
        <w:tblOverlap w:val="never"/>
        <w:tblW w:w="4997"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588"/>
        <w:gridCol w:w="579"/>
        <w:gridCol w:w="3698"/>
        <w:gridCol w:w="986"/>
        <w:gridCol w:w="899"/>
        <w:gridCol w:w="1163"/>
        <w:gridCol w:w="9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0" w:hRule="atLeast"/>
        </w:trPr>
        <w:tc>
          <w:tcPr>
            <w:tcW w:w="5000" w:type="pct"/>
            <w:gridSpan w:val="7"/>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lang w:bidi="ar"/>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专栏2：</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经济社会发展主要指标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7" w:hRule="atLeast"/>
        </w:trPr>
        <w:tc>
          <w:tcPr>
            <w:tcW w:w="332"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类别</w:t>
            </w: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序号</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指 标 名 称</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2020年</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2025年</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年均增速</w:t>
            </w:r>
            <w:r>
              <w:rPr>
                <w:rFonts w:hint="eastAsia" w:ascii="Times New Roman" w:hAnsi="Times New Roman" w:eastAsia="仿宋_GB2312" w:cs="Times New Roman"/>
                <w:b/>
                <w:bCs/>
                <w:color w:val="000000" w:themeColor="text1"/>
                <w:sz w:val="21"/>
                <w:szCs w:val="21"/>
                <w:lang w:bidi="ar"/>
                <w14:textFill>
                  <w14:solidFill>
                    <w14:schemeClr w14:val="tx1"/>
                  </w14:solidFill>
                </w14:textFill>
              </w:rPr>
              <w:t xml:space="preserve"> </w:t>
            </w:r>
            <w:r>
              <w:rPr>
                <w:rFonts w:ascii="Times New Roman" w:hAnsi="Times New Roman" w:eastAsia="仿宋_GB2312" w:cs="Times New Roman"/>
                <w:b/>
                <w:bCs/>
                <w:color w:val="000000" w:themeColor="text1"/>
                <w:sz w:val="21"/>
                <w:szCs w:val="21"/>
                <w:lang w:bidi="ar"/>
                <w14:textFill>
                  <w14:solidFill>
                    <w14:schemeClr w14:val="tx1"/>
                  </w14:solidFill>
                </w14:textFill>
              </w:rPr>
              <w:t>[累计]</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属 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restar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经济发展</w:t>
            </w: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地区生产总值（亿元）</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250.8</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3500</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7.5%</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人均地区生产总值（万元）</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w:t>
            </w:r>
            <w:r>
              <w:rPr>
                <w:rFonts w:hint="eastAsia" w:ascii="Times New Roman" w:hAnsi="Times New Roman" w:eastAsia="仿宋_GB2312" w:cs="Times New Roman"/>
                <w:color w:val="000000" w:themeColor="text1"/>
                <w:sz w:val="21"/>
                <w:szCs w:val="21"/>
                <w:lang w:bidi="ar"/>
                <w14:textFill>
                  <w14:solidFill>
                    <w14:schemeClr w14:val="tx1"/>
                  </w14:solidFill>
                </w14:textFill>
              </w:rPr>
              <w:t>43</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4.7</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7.5%</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全员劳动生产率（</w:t>
            </w:r>
            <w:r>
              <w:rPr>
                <w:rFonts w:hint="eastAsia" w:ascii="Times New Roman" w:hAnsi="Times New Roman" w:eastAsia="仿宋_GB2312" w:cs="Times New Roman"/>
                <w:color w:val="000000" w:themeColor="text1"/>
                <w:sz w:val="21"/>
                <w:szCs w:val="21"/>
                <w:lang w:bidi="ar"/>
                <w14:textFill>
                  <w14:solidFill>
                    <w14:schemeClr w14:val="tx1"/>
                  </w14:solidFill>
                </w14:textFill>
              </w:rPr>
              <w:t>%</w:t>
            </w: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6</w:t>
            </w: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制造业增加值占GDP比例（%）</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16</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25</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5</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固定资产投资（亿元）</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规模工业增加值(亿元)</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产业投资占固定资产投资比重（%）</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61</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63</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战略性新兴产业产值占规模工业</w:t>
            </w:r>
          </w:p>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总产值比例（%）</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25</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36</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[11%]</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最终消费对GDP贡献率（%）</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65</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进出口总额占GDP比重（%）</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11.6</w:t>
            </w:r>
            <w:r>
              <w:rPr>
                <w:rFonts w:hint="eastAsia" w:ascii="Times New Roman" w:hAnsi="Times New Roman" w:eastAsia="仿宋_GB2312" w:cs="Times New Roman"/>
                <w:color w:val="000000" w:themeColor="text1"/>
                <w:sz w:val="21"/>
                <w:szCs w:val="21"/>
                <w:lang w:bidi="ar"/>
                <w14:textFill>
                  <w14:solidFill>
                    <w14:schemeClr w14:val="tx1"/>
                  </w14:solidFill>
                </w14:textFill>
              </w:rPr>
              <w:t>8</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12.4</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[0.8%]</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11</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一般公共预算收入（亿元）</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105</w:t>
            </w:r>
            <w:r>
              <w:rPr>
                <w:rFonts w:hint="eastAsia" w:ascii="Times New Roman" w:hAnsi="Times New Roman" w:eastAsia="仿宋_GB2312" w:cs="Times New Roman"/>
                <w:color w:val="000000" w:themeColor="text1"/>
                <w:sz w:val="21"/>
                <w:szCs w:val="21"/>
                <w:lang w:bidi="ar"/>
                <w14:textFill>
                  <w14:solidFill>
                    <w14:schemeClr w14:val="tx1"/>
                  </w14:solidFill>
                </w14:textFill>
              </w:rPr>
              <w:t>.3</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41</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地方税收占GDP比重（%）</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2.93</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2.7</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13</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对外贸易依存度（%）</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11.68</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12.1</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4</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常住人口城镇化率（%）</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5</w:t>
            </w:r>
            <w:r>
              <w:rPr>
                <w:rFonts w:hint="eastAsia" w:ascii="Times New Roman" w:hAnsi="Times New Roman" w:eastAsia="仿宋_GB2312" w:cs="Times New Roman"/>
                <w:color w:val="000000" w:themeColor="text1"/>
                <w:sz w:val="21"/>
                <w:szCs w:val="21"/>
                <w:lang w:bidi="ar"/>
                <w14:textFill>
                  <w14:solidFill>
                    <w14:schemeClr w14:val="tx1"/>
                  </w14:solidFill>
                </w14:textFill>
              </w:rPr>
              <w:t>2.16</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57.5</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r>
              <w:rPr>
                <w:rFonts w:hint="eastAsia" w:ascii="Times New Roman" w:hAnsi="Times New Roman" w:eastAsia="仿宋_GB2312" w:cs="Times New Roman"/>
                <w:color w:val="000000" w:themeColor="text1"/>
                <w:sz w:val="21"/>
                <w:szCs w:val="21"/>
                <w:lang w:bidi="ar"/>
                <w14:textFill>
                  <w14:solidFill>
                    <w14:schemeClr w14:val="tx1"/>
                  </w14:solidFill>
                </w14:textFill>
              </w:rPr>
              <w:t>5.34</w:t>
            </w: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restar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创新驱动</w:t>
            </w: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5</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R&amp;D经费投入占GDP比例（%）</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1.5</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.2</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w:t>
            </w:r>
            <w:r>
              <w:rPr>
                <w:rFonts w:hint="eastAsia" w:ascii="Times New Roman" w:hAnsi="Times New Roman" w:eastAsia="仿宋_GB2312" w:cs="Times New Roman"/>
                <w:color w:val="000000" w:themeColor="text1"/>
                <w:sz w:val="21"/>
                <w:szCs w:val="21"/>
                <w:lang w:bidi="ar"/>
                <w14:textFill>
                  <w14:solidFill>
                    <w14:schemeClr w14:val="tx1"/>
                  </w14:solidFill>
                </w14:textFill>
              </w:rPr>
              <w:t>7</w:t>
            </w: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6</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每万人口有效发明专利拥有量（件）</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0.82</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20%</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7</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数字经济增加值占GDP比例（%）</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20</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32</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[12%]</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restar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民生福祉</w:t>
            </w: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8</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居民人均可支配收入（元）</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210</w:t>
            </w:r>
            <w:r>
              <w:rPr>
                <w:rFonts w:hint="eastAsia" w:ascii="Times New Roman" w:hAnsi="Times New Roman" w:eastAsia="仿宋_GB2312" w:cs="Times New Roman"/>
                <w:color w:val="000000" w:themeColor="text1"/>
                <w:sz w:val="21"/>
                <w:szCs w:val="21"/>
                <w:lang w:bidi="ar"/>
                <w14:textFill>
                  <w14:solidFill>
                    <w14:schemeClr w14:val="tx1"/>
                  </w14:solidFill>
                </w14:textFill>
              </w:rPr>
              <w:t>67</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30220</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7.5%</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w:t>
            </w:r>
            <w:r>
              <w:rPr>
                <w:rFonts w:hint="eastAsia" w:ascii="Times New Roman" w:hAnsi="Times New Roman" w:eastAsia="仿宋_GB2312" w:cs="Times New Roman"/>
                <w:color w:val="000000" w:themeColor="text1"/>
                <w:sz w:val="21"/>
                <w:szCs w:val="21"/>
                <w:lang w:bidi="ar"/>
                <w14:textFill>
                  <w14:solidFill>
                    <w14:schemeClr w14:val="tx1"/>
                  </w14:solidFill>
                </w14:textFill>
              </w:rPr>
              <w:t>9</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城镇调查失业率（%）</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&lt;6</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&lt;5.5</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20</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劳动年龄人口平均受教育年限（年）</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9.47</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11.</w:t>
            </w:r>
            <w:r>
              <w:rPr>
                <w:rFonts w:hint="eastAsia" w:ascii="Times New Roman" w:hAnsi="Times New Roman" w:eastAsia="仿宋_GB2312" w:cs="Times New Roman"/>
                <w:color w:val="000000" w:themeColor="text1"/>
                <w:sz w:val="21"/>
                <w:szCs w:val="21"/>
                <w:lang w:bidi="ar"/>
                <w14:textFill>
                  <w14:solidFill>
                    <w14:schemeClr w14:val="tx1"/>
                  </w14:solidFill>
                </w14:textFill>
              </w:rPr>
              <w:t>2</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w:t>
            </w:r>
            <w:r>
              <w:rPr>
                <w:rFonts w:hint="eastAsia" w:ascii="Times New Roman" w:hAnsi="Times New Roman" w:eastAsia="仿宋_GB2312" w:cs="Times New Roman"/>
                <w:color w:val="000000" w:themeColor="text1"/>
                <w:sz w:val="21"/>
                <w:szCs w:val="21"/>
                <w:lang w:bidi="ar"/>
                <w14:textFill>
                  <w14:solidFill>
                    <w14:schemeClr w14:val="tx1"/>
                  </w14:solidFill>
                </w14:textFill>
              </w:rPr>
              <w:t>4</w:t>
            </w: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5"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1</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每千人口拥有执业（助理）</w:t>
            </w:r>
          </w:p>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医师数（人）</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sz w:val="21"/>
                <w:szCs w:val="21"/>
                <w:lang w:bidi="ar"/>
              </w:rPr>
              <w:t>2.2</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2.95</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0.15</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2</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基本养老保险参保率（%）</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81</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91</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[10%]</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3</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每千人口拥有三岁以下婴幼儿</w:t>
            </w:r>
          </w:p>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托位数（个）</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0.38</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4.5</w:t>
            </w:r>
          </w:p>
        </w:tc>
        <w:tc>
          <w:tcPr>
            <w:tcW w:w="656" w:type="pct"/>
            <w:tcBorders>
              <w:tl2br w:val="nil"/>
              <w:tr2bl w:val="nil"/>
            </w:tcBorders>
            <w:shd w:val="clear" w:color="auto" w:fill="auto"/>
            <w:tcMar>
              <w:top w:w="12" w:type="dxa"/>
              <w:left w:w="12" w:type="dxa"/>
              <w:right w:w="12" w:type="dxa"/>
            </w:tcMar>
            <w:vAlign w:val="center"/>
          </w:tcPr>
          <w:p>
            <w:pPr>
              <w:spacing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[4.12]</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4</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人均预期寿命（岁）</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77.1</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79</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[1.9]</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预期性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8" w:hRule="atLeast"/>
        </w:trPr>
        <w:tc>
          <w:tcPr>
            <w:tcW w:w="332" w:type="pct"/>
            <w:vMerge w:val="restar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绿色</w:t>
            </w:r>
            <w:r>
              <w:rPr>
                <w:rFonts w:hint="eastAsia" w:ascii="Times New Roman" w:hAnsi="Times New Roman" w:eastAsia="仿宋_GB2312" w:cs="Times New Roman"/>
                <w:b/>
                <w:bCs/>
                <w:color w:val="000000" w:themeColor="text1"/>
                <w:sz w:val="21"/>
                <w:szCs w:val="21"/>
                <w:lang w:bidi="ar"/>
                <w14:textFill>
                  <w14:solidFill>
                    <w14:schemeClr w14:val="tx1"/>
                  </w14:solidFill>
                </w14:textFill>
              </w:rPr>
              <w:t>生态</w:t>
            </w: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5</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单位GDP能源消耗降幅（%）</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完成省定下达任务</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6</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单位GDP二氧化碳排放降幅（%）</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完成省定下达任务</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8"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7</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地级及以上城市空气质量优良</w:t>
            </w:r>
          </w:p>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天数比例（%）</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93.4</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90</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8</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地表水达到或优于Ⅲ类水体比例（%）</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≥93.3</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≥9</w:t>
            </w:r>
            <w:r>
              <w:rPr>
                <w:rFonts w:hint="eastAsia" w:ascii="Times New Roman" w:hAnsi="Times New Roman" w:eastAsia="仿宋_GB2312" w:cs="Times New Roman"/>
                <w:color w:val="000000" w:themeColor="text1"/>
                <w:sz w:val="21"/>
                <w:szCs w:val="21"/>
                <w:lang w:bidi="ar"/>
                <w14:textFill>
                  <w14:solidFill>
                    <w14:schemeClr w14:val="tx1"/>
                  </w14:solidFill>
                </w14:textFill>
              </w:rPr>
              <w:t>0.4</w:t>
            </w:r>
            <w:r>
              <w:rPr>
                <w:rFonts w:ascii="Times New Roman" w:hAnsi="Times New Roman" w:eastAsia="仿宋_GB2312" w:cs="Times New Roman"/>
                <w:color w:val="000000" w:themeColor="text1"/>
                <w:sz w:val="21"/>
                <w:szCs w:val="21"/>
                <w:lang w:bidi="ar"/>
                <w14:textFill>
                  <w14:solidFill>
                    <w14:schemeClr w14:val="tx1"/>
                  </w14:solidFill>
                </w14:textFill>
              </w:rPr>
              <w:t xml:space="preserve"> （省定）</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2</w:t>
            </w:r>
            <w:r>
              <w:rPr>
                <w:rFonts w:hint="eastAsia" w:ascii="Times New Roman" w:hAnsi="Times New Roman" w:eastAsia="仿宋_GB2312" w:cs="Times New Roman"/>
                <w:color w:val="000000" w:themeColor="text1"/>
                <w:sz w:val="21"/>
                <w:szCs w:val="21"/>
                <w:lang w:bidi="ar"/>
                <w14:textFill>
                  <w14:solidFill>
                    <w14:schemeClr w14:val="tx1"/>
                  </w14:solidFill>
                </w14:textFill>
              </w:rPr>
              <w:t>9</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森林覆盖率（%）</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≥60</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≥60</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restar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b/>
                <w:bCs/>
                <w:color w:val="000000" w:themeColor="text1"/>
                <w:sz w:val="21"/>
                <w:szCs w:val="21"/>
                <w:lang w:bidi="ar"/>
                <w14:textFill>
                  <w14:solidFill>
                    <w14:schemeClr w14:val="tx1"/>
                  </w14:solidFill>
                </w14:textFill>
              </w:rPr>
              <w:t>安全保障</w:t>
            </w: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30</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粮食综合生产能力（万吨）</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323.96</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≥324</w:t>
            </w:r>
          </w:p>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（省定）</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 xml:space="preserve">/  </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b/>
                <w:bCs/>
                <w:color w:val="000000" w:themeColor="text1"/>
                <w:sz w:val="21"/>
                <w:szCs w:val="21"/>
                <w:lang w:bidi="ar"/>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31</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能源综合生产能力（万吨标准煤）</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280</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300</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5" w:hRule="atLeast"/>
        </w:trPr>
        <w:tc>
          <w:tcPr>
            <w:tcW w:w="332" w:type="pct"/>
            <w:vMerge w:val="continue"/>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p>
        </w:tc>
        <w:tc>
          <w:tcPr>
            <w:tcW w:w="32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3</w:t>
            </w:r>
            <w:r>
              <w:rPr>
                <w:rFonts w:hint="eastAsia" w:ascii="Times New Roman" w:hAnsi="Times New Roman" w:eastAsia="仿宋_GB2312" w:cs="Times New Roman"/>
                <w:color w:val="000000" w:themeColor="text1"/>
                <w:sz w:val="21"/>
                <w:szCs w:val="21"/>
                <w:lang w:bidi="ar"/>
                <w14:textFill>
                  <w14:solidFill>
                    <w14:schemeClr w14:val="tx1"/>
                  </w14:solidFill>
                </w14:textFill>
              </w:rPr>
              <w:t>2</w:t>
            </w:r>
          </w:p>
        </w:tc>
        <w:tc>
          <w:tcPr>
            <w:tcW w:w="208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亿元GDP生产安全事故死亡率（%）</w:t>
            </w:r>
          </w:p>
        </w:tc>
        <w:tc>
          <w:tcPr>
            <w:tcW w:w="5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507"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w:t>
            </w:r>
          </w:p>
        </w:tc>
        <w:tc>
          <w:tcPr>
            <w:tcW w:w="656"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lang w:bidi="ar"/>
                <w14:textFill>
                  <w14:solidFill>
                    <w14:schemeClr w14:val="tx1"/>
                  </w14:solidFill>
                </w14:textFill>
              </w:rPr>
            </w:pPr>
            <w:r>
              <w:rPr>
                <w:rFonts w:hint="eastAsia" w:ascii="Times New Roman" w:hAnsi="Times New Roman" w:eastAsia="仿宋_GB2312" w:cs="Times New Roman"/>
                <w:color w:val="000000" w:themeColor="text1"/>
                <w:sz w:val="21"/>
                <w:szCs w:val="21"/>
                <w:lang w:bidi="ar"/>
                <w14:textFill>
                  <w14:solidFill>
                    <w14:schemeClr w14:val="tx1"/>
                  </w14:solidFill>
                </w14:textFill>
              </w:rPr>
              <w:t>[-33%]</w:t>
            </w:r>
          </w:p>
        </w:tc>
        <w:tc>
          <w:tcPr>
            <w:tcW w:w="533" w:type="pct"/>
            <w:tcBorders>
              <w:tl2br w:val="nil"/>
              <w:tr2bl w:val="nil"/>
            </w:tcBorders>
            <w:shd w:val="clear" w:color="auto" w:fill="auto"/>
            <w:tcMar>
              <w:top w:w="12" w:type="dxa"/>
              <w:left w:w="12" w:type="dxa"/>
              <w:right w:w="12" w:type="dxa"/>
            </w:tcMar>
            <w:vAlign w:val="center"/>
          </w:tcPr>
          <w:p>
            <w:pPr>
              <w:spacing w:before="0" w:after="0" w:line="300" w:lineRule="exact"/>
              <w:jc w:val="center"/>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约束性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 w:hRule="atLeast"/>
        </w:trPr>
        <w:tc>
          <w:tcPr>
            <w:tcW w:w="5000" w:type="pct"/>
            <w:gridSpan w:val="7"/>
            <w:tcBorders>
              <w:tl2br w:val="nil"/>
              <w:tr2bl w:val="nil"/>
            </w:tcBorders>
            <w:shd w:val="clear" w:color="auto" w:fill="auto"/>
            <w:tcMar>
              <w:top w:w="12" w:type="dxa"/>
              <w:left w:w="12" w:type="dxa"/>
              <w:right w:w="12" w:type="dxa"/>
            </w:tcMar>
            <w:vAlign w:val="center"/>
          </w:tcPr>
          <w:p>
            <w:pPr>
              <w:spacing w:before="0" w:after="0" w:line="300" w:lineRule="exact"/>
              <w:textAlignment w:val="center"/>
              <w:rPr>
                <w:rFonts w:ascii="Times New Roman" w:hAnsi="Times New Roman" w:eastAsia="仿宋_GB2312" w:cs="Times New Roman"/>
                <w:color w:val="000000" w:themeColor="text1"/>
                <w:sz w:val="21"/>
                <w:szCs w:val="21"/>
                <w14:textFill>
                  <w14:solidFill>
                    <w14:schemeClr w14:val="tx1"/>
                  </w14:solidFill>
                </w14:textFill>
              </w:rPr>
            </w:pPr>
            <w:r>
              <w:rPr>
                <w:rFonts w:ascii="Times New Roman" w:hAnsi="Times New Roman" w:eastAsia="仿宋_GB2312" w:cs="Times New Roman"/>
                <w:color w:val="000000" w:themeColor="text1"/>
                <w:sz w:val="21"/>
                <w:szCs w:val="21"/>
                <w:lang w:bidi="ar"/>
                <w14:textFill>
                  <w14:solidFill>
                    <w14:schemeClr w14:val="tx1"/>
                  </w14:solidFill>
                </w14:textFill>
              </w:rPr>
              <w:t>注：1.</w:t>
            </w:r>
            <w:r>
              <w:rPr>
                <w:rFonts w:hint="eastAsia" w:ascii="Times New Roman" w:hAnsi="Times New Roman" w:eastAsia="仿宋_GB2312" w:cs="Times New Roman"/>
                <w:color w:val="000000" w:themeColor="text1"/>
                <w:sz w:val="21"/>
                <w:szCs w:val="21"/>
                <w:lang w:bidi="ar"/>
                <w14:textFill>
                  <w14:solidFill>
                    <w14:schemeClr w14:val="tx1"/>
                  </w14:solidFill>
                </w14:textFill>
              </w:rPr>
              <w:t>人均预期寿命</w:t>
            </w:r>
            <w:r>
              <w:rPr>
                <w:rFonts w:ascii="Times New Roman" w:hAnsi="Times New Roman" w:eastAsia="仿宋_GB2312" w:cs="Times New Roman"/>
                <w:color w:val="000000" w:themeColor="text1"/>
                <w:sz w:val="21"/>
                <w:szCs w:val="21"/>
                <w:lang w:bidi="ar"/>
                <w14:textFill>
                  <w14:solidFill>
                    <w14:schemeClr w14:val="tx1"/>
                  </w14:solidFill>
                </w14:textFill>
              </w:rPr>
              <w:t>2020年数据均为预计数。</w:t>
            </w:r>
            <w:r>
              <w:rPr>
                <w:rFonts w:hint="eastAsia" w:ascii="Times New Roman" w:hAnsi="Times New Roman" w:eastAsia="仿宋_GB2312" w:cs="Times New Roman"/>
                <w:color w:val="000000" w:themeColor="text1"/>
                <w:sz w:val="21"/>
                <w:szCs w:val="21"/>
                <w:lang w:bidi="ar"/>
                <w14:textFill>
                  <w14:solidFill>
                    <w14:schemeClr w14:val="tx1"/>
                  </w14:solidFill>
                </w14:textFill>
              </w:rPr>
              <w:t>2.[ ]为5年累计数。3.地表水因国家调整水环境质量监测网络，考核断面发生变化，2025年预期目标低于2020年。</w:t>
            </w:r>
          </w:p>
        </w:tc>
      </w:tr>
    </w:tbl>
    <w:p>
      <w:pPr>
        <w:spacing w:line="579" w:lineRule="exact"/>
        <w:ind w:firstLine="560"/>
        <w:rPr>
          <w:rFonts w:ascii="Times New Roman" w:hAnsi="Times New Roman" w:cs="Times New Roman"/>
          <w:color w:val="000000" w:themeColor="text1"/>
          <w14:textFill>
            <w14:solidFill>
              <w14:schemeClr w14:val="tx1"/>
            </w14:solidFill>
          </w14:textFill>
        </w:rPr>
      </w:pPr>
      <w:bookmarkStart w:id="352" w:name="_Toc24592"/>
      <w:bookmarkStart w:id="353" w:name="_Toc7145"/>
      <w:bookmarkStart w:id="354" w:name="_Toc10219"/>
      <w:bookmarkStart w:id="355" w:name="_Toc5232"/>
      <w:bookmarkStart w:id="356" w:name="_Toc3965"/>
      <w:bookmarkStart w:id="357" w:name="_Toc9401"/>
      <w:r>
        <w:rPr>
          <w:rFonts w:ascii="Times New Roman" w:hAnsi="Times New Roman" w:cs="Times New Roman"/>
          <w:color w:val="000000" w:themeColor="text1"/>
          <w14:textFill>
            <w14:solidFill>
              <w14:schemeClr w14:val="tx1"/>
            </w14:solidFill>
          </w14:textFill>
        </w:rPr>
        <w:br w:type="page"/>
      </w:r>
    </w:p>
    <w:p>
      <w:pPr>
        <w:pStyle w:val="3"/>
        <w:widowControl w:val="0"/>
        <w:spacing w:before="0" w:after="0" w:line="560" w:lineRule="exact"/>
        <w:rPr>
          <w:rFonts w:ascii="Times New Roman" w:hAnsi="Times New Roman" w:cs="Times New Roman"/>
          <w:color w:val="000000" w:themeColor="text1"/>
          <w14:textFill>
            <w14:solidFill>
              <w14:schemeClr w14:val="tx1"/>
            </w14:solidFill>
          </w14:textFill>
        </w:rPr>
      </w:pPr>
      <w:bookmarkStart w:id="358" w:name="_Toc12653"/>
      <w:bookmarkStart w:id="359" w:name="_Toc3863"/>
      <w:bookmarkStart w:id="360" w:name="_Toc20039"/>
      <w:bookmarkStart w:id="361" w:name="_Toc14679"/>
      <w:bookmarkStart w:id="362" w:name="_Toc20310"/>
      <w:bookmarkStart w:id="363" w:name="_Toc20129"/>
      <w:bookmarkStart w:id="364" w:name="_Toc20128"/>
      <w:bookmarkStart w:id="365" w:name="_Toc8575"/>
      <w:bookmarkStart w:id="366" w:name="_Toc891"/>
      <w:bookmarkStart w:id="367" w:name="_Toc20265"/>
      <w:bookmarkStart w:id="368" w:name="_Toc25779"/>
      <w:bookmarkStart w:id="369" w:name="_Toc13446"/>
      <w:bookmarkStart w:id="370" w:name="_Toc3345"/>
      <w:bookmarkStart w:id="371" w:name="_Toc796"/>
      <w:bookmarkStart w:id="372" w:name="_Toc23620"/>
      <w:bookmarkStart w:id="373" w:name="_Toc2383"/>
      <w:bookmarkStart w:id="374" w:name="_Toc77"/>
      <w:bookmarkStart w:id="375" w:name="_Toc26972"/>
      <w:bookmarkStart w:id="376" w:name="_Toc27421"/>
      <w:bookmarkStart w:id="377" w:name="_Toc27804"/>
      <w:bookmarkStart w:id="378" w:name="_Toc7619"/>
      <w:bookmarkStart w:id="379" w:name="_Toc16360"/>
      <w:bookmarkStart w:id="380" w:name="_Toc21294"/>
      <w:bookmarkStart w:id="381" w:name="_Toc10489"/>
      <w:bookmarkStart w:id="382" w:name="_Toc12055"/>
      <w:bookmarkStart w:id="383" w:name="_Toc27259"/>
      <w:bookmarkStart w:id="384" w:name="_Toc26425"/>
      <w:bookmarkStart w:id="385" w:name="_Toc24828"/>
      <w:bookmarkStart w:id="386" w:name="_Toc11469"/>
      <w:bookmarkStart w:id="387" w:name="_Toc7957"/>
      <w:bookmarkStart w:id="388" w:name="_Toc25119"/>
      <w:r>
        <w:rPr>
          <w:rFonts w:ascii="Times New Roman" w:hAnsi="Times New Roman" w:cs="Times New Roman"/>
          <w:color w:val="000000" w:themeColor="text1"/>
          <w14:textFill>
            <w14:solidFill>
              <w14:schemeClr w14:val="tx1"/>
            </w14:solidFill>
          </w14:textFill>
        </w:rPr>
        <w:t xml:space="preserve">第三章 </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坚持协调联动 构建协同梯度发展新格局</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pPr>
        <w:widowControl w:val="0"/>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健全区域协调发展新机制，构建以中心城市和城市群为核心的动力系统，充分发挥枢纽、通道和县域比较优势，优化市域空间格局、工业发展格局和物流发展格局。</w:t>
      </w:r>
    </w:p>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389" w:name="_Toc19505"/>
      <w:bookmarkStart w:id="390" w:name="_Toc228"/>
      <w:bookmarkStart w:id="391" w:name="_Toc32012"/>
      <w:bookmarkStart w:id="392" w:name="_Toc5048"/>
      <w:bookmarkStart w:id="393" w:name="_Toc10273"/>
      <w:bookmarkStart w:id="394" w:name="_Toc10465"/>
      <w:bookmarkStart w:id="395" w:name="_Toc8695"/>
      <w:bookmarkStart w:id="396" w:name="_Toc6168"/>
      <w:bookmarkStart w:id="397" w:name="_Toc16469"/>
      <w:bookmarkStart w:id="398" w:name="_Toc10922"/>
      <w:bookmarkStart w:id="399" w:name="_Toc12985"/>
      <w:bookmarkStart w:id="400" w:name="_Toc29839"/>
      <w:bookmarkStart w:id="401" w:name="_Toc8220"/>
      <w:bookmarkStart w:id="402" w:name="_Toc25857"/>
      <w:bookmarkStart w:id="403" w:name="_Toc12481"/>
      <w:bookmarkStart w:id="404" w:name="_Toc2977"/>
      <w:bookmarkStart w:id="405" w:name="_Toc6163"/>
      <w:bookmarkStart w:id="406" w:name="_Toc17862"/>
      <w:bookmarkStart w:id="407" w:name="_Toc877"/>
      <w:bookmarkStart w:id="408" w:name="_Toc11325"/>
      <w:bookmarkStart w:id="409" w:name="_Toc24265"/>
      <w:bookmarkStart w:id="410" w:name="_Toc32594"/>
      <w:bookmarkStart w:id="411" w:name="_Toc3230"/>
      <w:bookmarkStart w:id="412" w:name="_Toc12425"/>
      <w:bookmarkStart w:id="413" w:name="_Toc29455"/>
      <w:bookmarkStart w:id="414" w:name="_Toc2252"/>
      <w:bookmarkStart w:id="415" w:name="_Toc2466"/>
      <w:bookmarkStart w:id="416" w:name="_Toc5330"/>
      <w:bookmarkStart w:id="417" w:name="_Toc10458"/>
      <w:bookmarkStart w:id="418" w:name="_Toc5080"/>
      <w:bookmarkStart w:id="419" w:name="_Toc8969"/>
      <w:bookmarkStart w:id="420" w:name="_Toc2884"/>
      <w:bookmarkStart w:id="421" w:name="_Toc25513"/>
      <w:bookmarkStart w:id="422" w:name="_Toc2565"/>
      <w:bookmarkStart w:id="423" w:name="_Toc12386"/>
      <w:bookmarkStart w:id="424" w:name="_Toc4096"/>
      <w:bookmarkStart w:id="425" w:name="_Toc30461"/>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构建</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一群一圈</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市域空间格局</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pPr>
        <w:widowControl w:val="0"/>
        <w:adjustRightInd/>
        <w:snapToGrid/>
        <w:spacing w:before="0" w:after="193" w:afterLines="50" w:line="570" w:lineRule="exact"/>
        <w:ind w:firstLine="640" w:firstLineChars="200"/>
        <w:jc w:val="both"/>
        <w:rPr>
          <w:rFonts w:ascii="Times New Roman" w:hAnsi="Times New Roman" w:cs="Times New Roman"/>
        </w:rPr>
      </w:pPr>
      <w:r>
        <w:rPr>
          <w:rFonts w:ascii="Times New Roman" w:hAnsi="Times New Roman" w:eastAsia="仿宋_GB2312" w:cs="Times New Roman"/>
          <w:color w:val="000000" w:themeColor="text1"/>
          <w:sz w:val="32"/>
          <w:szCs w:val="32"/>
          <w14:textFill>
            <w14:solidFill>
              <w14:schemeClr w14:val="tx1"/>
            </w14:solidFill>
          </w14:textFill>
        </w:rPr>
        <w:t>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核心引领、轴带集聚、东西联动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思路，构建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一群一圈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市域空间格局。</w:t>
      </w:r>
    </w:p>
    <w:p>
      <w:pPr>
        <w:pStyle w:val="2"/>
        <w:widowControl w:val="0"/>
        <w:spacing w:before="0" w:after="0"/>
        <w:jc w:val="center"/>
        <w:rPr>
          <w:rFonts w:ascii="Times New Roman" w:hAnsi="Times New Roman" w:eastAsia="楷体_GB2312" w:cs="Times New Roman"/>
          <w:b/>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drawing>
          <wp:inline distT="0" distB="0" distL="114300" distR="114300">
            <wp:extent cx="5798185" cy="3930015"/>
            <wp:effectExtent l="0" t="0" r="12065" b="13335"/>
            <wp:docPr id="2" name="图片 2" descr="邵阳空间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邵阳空间结构图"/>
                    <pic:cNvPicPr>
                      <a:picLocks noChangeAspect="1"/>
                    </pic:cNvPicPr>
                  </pic:nvPicPr>
                  <pic:blipFill>
                    <a:blip r:embed="rId10" cstate="print"/>
                    <a:stretch>
                      <a:fillRect/>
                    </a:stretch>
                  </pic:blipFill>
                  <pic:spPr>
                    <a:xfrm>
                      <a:off x="0" y="0"/>
                      <a:ext cx="5798185" cy="3930015"/>
                    </a:xfrm>
                    <a:prstGeom prst="rect">
                      <a:avLst/>
                    </a:prstGeom>
                  </pic:spPr>
                </pic:pic>
              </a:graphicData>
            </a:graphic>
          </wp:inline>
        </w:drawing>
      </w:r>
    </w:p>
    <w:p>
      <w:pPr>
        <w:pStyle w:val="2"/>
        <w:spacing w:before="193" w:beforeLines="50" w:after="193" w:afterLines="50"/>
        <w:jc w:val="center"/>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图3：市域空间结构图</w:t>
      </w:r>
    </w:p>
    <w:p>
      <w:pPr>
        <w:widowControl w:val="0"/>
        <w:adjustRightInd/>
        <w:snapToGrid/>
        <w:spacing w:before="0" w:after="193" w:afterLines="50" w:line="57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东部城镇群。</w:t>
      </w:r>
      <w:r>
        <w:rPr>
          <w:rFonts w:ascii="Times New Roman" w:hAnsi="Times New Roman" w:eastAsia="仿宋_GB2312" w:cs="Times New Roman"/>
          <w:color w:val="000000" w:themeColor="text1"/>
          <w:sz w:val="32"/>
          <w:szCs w:val="32"/>
          <w14:textFill>
            <w14:solidFill>
              <w14:schemeClr w14:val="tx1"/>
            </w14:solidFill>
          </w14:textFill>
        </w:rPr>
        <w:t>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以路连城、以镇扩城、以业兴城</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的发展思路，以融城发展为重点，突出</w:t>
      </w:r>
      <w:r>
        <w:rPr>
          <w:rFonts w:hint="eastAsia" w:ascii="Times New Roman" w:hAnsi="Times New Roman" w:eastAsia="仿宋_GB2312" w:cs="Times New Roman"/>
          <w:color w:val="000000" w:themeColor="text1"/>
          <w:sz w:val="32"/>
          <w:szCs w:val="32"/>
          <w14:textFill>
            <w14:solidFill>
              <w14:schemeClr w14:val="tx1"/>
            </w14:solidFill>
          </w14:textFill>
        </w:rPr>
        <w:t>市</w:t>
      </w:r>
      <w:r>
        <w:rPr>
          <w:rFonts w:ascii="Times New Roman" w:hAnsi="Times New Roman" w:eastAsia="仿宋_GB2312" w:cs="Times New Roman"/>
          <w:color w:val="000000" w:themeColor="text1"/>
          <w:sz w:val="32"/>
          <w:szCs w:val="32"/>
          <w14:textFill>
            <w14:solidFill>
              <w14:schemeClr w14:val="tx1"/>
            </w14:solidFill>
          </w14:textFill>
        </w:rPr>
        <w:t>中心城区引领作用，推进东部城镇群联动发展，形成协同整合、有机分工的核心载体，成为湘中湘西南具有区域竞争力的经济发展引擎。到2025年建成中心核心城区面积105平方公里、常住人口100万的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双百城市</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快建设湘中湘西南经济文化体育中心、金融中心和科技创新中心。加快中心城区与邵东市、新邵县、隆回县、邵阳县的融合发展和交通体系构建，加速科技创新和产业融合发展，加快推进延链、补链、强链，培育提升集聚效应和规模效应，加快交通、公交一体化发展，建成半小时交通圈。到2025年，东部城镇群整体城镇化率达到63%，成为湖南中西部最大的核心城镇群。</w:t>
      </w:r>
    </w:p>
    <w:tbl>
      <w:tblPr>
        <w:tblStyle w:val="14"/>
        <w:tblW w:w="5000" w:type="pct"/>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tcBorders>
              <w:bottom w:val="single" w:color="auto" w:sz="8" w:space="0"/>
            </w:tcBorders>
            <w:shd w:val="clear" w:color="auto" w:fill="auto"/>
            <w:vAlign w:val="center"/>
          </w:tcPr>
          <w:p>
            <w:pPr>
              <w:adjustRightInd/>
              <w:snapToGrid/>
              <w:spacing w:before="0" w:after="0" w:line="579" w:lineRule="exact"/>
              <w:jc w:val="center"/>
              <w:rPr>
                <w:rFonts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专栏3：东部城镇群发展重点</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tcBorders>
              <w:top w:val="single" w:color="auto" w:sz="8" w:space="0"/>
              <w:tl2br w:val="nil"/>
              <w:tr2bl w:val="nil"/>
            </w:tcBorders>
            <w:shd w:val="clear" w:color="auto" w:fill="auto"/>
            <w:vAlign w:val="center"/>
          </w:tcPr>
          <w:p>
            <w:pPr>
              <w:adjustRightInd/>
              <w:snapToGrid/>
              <w:spacing w:before="0" w:after="0" w:line="579"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邵阳市区：</w:t>
            </w:r>
            <w:r>
              <w:rPr>
                <w:rFonts w:ascii="Times New Roman" w:hAnsi="Times New Roman" w:eastAsia="宋体" w:cs="Times New Roman"/>
                <w:color w:val="000000" w:themeColor="text1"/>
                <w:szCs w:val="28"/>
                <w14:textFill>
                  <w14:solidFill>
                    <w14:schemeClr w14:val="tx1"/>
                  </w14:solidFill>
                </w14:textFill>
              </w:rPr>
              <w:t>加快推进呼南高铁、渝湘粤高铁、沪昆高速扩容等一批重大工程建设，主动对接粤港澳大湾区、长三角、东盟地区，打通对外开放大通道。加快拓城步伐，推进产城融合，成为邵阳东部城镇群新型工业化、城镇化的核心。</w:t>
            </w:r>
            <w:r>
              <w:rPr>
                <w:rFonts w:hint="eastAsia" w:ascii="Times New Roman" w:hAnsi="Times New Roman" w:eastAsia="宋体" w:cs="Times New Roman"/>
                <w:color w:val="000000" w:themeColor="text1"/>
                <w:szCs w:val="28"/>
                <w14:textFill>
                  <w14:solidFill>
                    <w14:schemeClr w14:val="tx1"/>
                  </w14:solidFill>
                </w14:textFill>
              </w:rPr>
              <w:t>以大祥区为依托，建设集智慧、教育、体育、文化于一体的融合示范先行区，邵阳市湘西湘南文化体育中心引领区</w:t>
            </w:r>
            <w:r>
              <w:rPr>
                <w:rFonts w:ascii="Times New Roman" w:hAnsi="Times New Roman" w:eastAsia="宋体" w:cs="Times New Roman"/>
                <w:color w:val="000000" w:themeColor="text1"/>
                <w:szCs w:val="28"/>
                <w14:textFill>
                  <w14:solidFill>
                    <w14:schemeClr w14:val="tx1"/>
                  </w14:solidFill>
                </w14:textFill>
              </w:rPr>
              <w:t>；以北塔区为依托，充分发挥</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全省特色文化服务业示范集聚区</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的平台优势，发展电子商务、总部经济、信息等现代服务业，打造邵阳现代服务新城；以双清区为依托，充分利用商贸、物流、金融等资源要素，打造湘中湘西南商贸物流集聚区</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以邵阳经开区为依托，全力建成国内一流、世界领先的</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中国（邵阳）特种玻璃谷</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，打造具有国际竞争力的千亿级国家一流园区、湘南湘西承接产业转移示范区排头兵和先行区、沪昆百里工业走廊核心引领区</w:t>
            </w:r>
            <w:r>
              <w:rPr>
                <w:rFonts w:hint="eastAsia" w:ascii="Times New Roman" w:hAnsi="Times New Roman" w:eastAsia="宋体" w:cs="Times New Roman"/>
                <w:color w:val="000000" w:themeColor="text1"/>
                <w:szCs w:val="28"/>
                <w14:textFill>
                  <w14:solidFill>
                    <w14:schemeClr w14:val="tx1"/>
                  </w14:solidFill>
                </w14:textFill>
              </w:rPr>
              <w:t>。</w:t>
            </w:r>
          </w:p>
          <w:p>
            <w:pPr>
              <w:adjustRightInd/>
              <w:snapToGrid/>
              <w:spacing w:before="0" w:after="0" w:line="579"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邵东市：</w:t>
            </w:r>
            <w:r>
              <w:rPr>
                <w:rFonts w:ascii="Times New Roman" w:hAnsi="Times New Roman" w:eastAsia="宋体" w:cs="Times New Roman"/>
                <w:color w:val="000000" w:themeColor="text1"/>
                <w:spacing w:val="-6"/>
                <w:szCs w:val="28"/>
                <w14:textFill>
                  <w14:solidFill>
                    <w14:schemeClr w14:val="tx1"/>
                  </w14:solidFill>
                </w14:textFill>
              </w:rPr>
              <w:t>继续实施</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兴工旺商、转型升级</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战略，以轻工纺织（五金、打火机、时尚用品）、生物医药（中医药）、装备制造（智能制造）、新一代信息技术、现代物流等为主导产业，打造国家级创新创业实验区、中部地区商品物流集散区、湖南轻工业振兴发展先行区，培育发展成为湘中湘西南重要的智能制造基地。争创国家级高新区、全国创新型城市、全国消费品</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三品</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示范城市，力争进入全国县（市）百强。</w:t>
            </w:r>
          </w:p>
          <w:p>
            <w:pPr>
              <w:adjustRightInd/>
              <w:snapToGrid/>
              <w:spacing w:before="0" w:after="0" w:line="579"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新邵县：</w:t>
            </w:r>
            <w:r>
              <w:rPr>
                <w:rFonts w:hint="eastAsia" w:ascii="Times New Roman" w:hAnsi="Times New Roman" w:eastAsia="宋体" w:cs="Times New Roman"/>
                <w:color w:val="000000" w:themeColor="text1"/>
                <w:szCs w:val="28"/>
                <w14:textFill>
                  <w14:solidFill>
                    <w14:schemeClr w14:val="tx1"/>
                  </w14:solidFill>
                </w14:textFill>
              </w:rPr>
              <w:t>加快</w:t>
            </w:r>
            <w:r>
              <w:rPr>
                <w:rFonts w:ascii="Times New Roman" w:hAnsi="Times New Roman" w:eastAsia="宋体" w:cs="Times New Roman"/>
                <w:color w:val="000000" w:themeColor="text1"/>
                <w:szCs w:val="28"/>
                <w14:textFill>
                  <w14:solidFill>
                    <w14:schemeClr w14:val="tx1"/>
                  </w14:solidFill>
                </w14:textFill>
              </w:rPr>
              <w:t>与中心城区融城步伐，强化基础设施、产业布局、生态治理等融合对接，重点培育医养健康、循环经济、轻工业制造（家居产业）、现代农业与特色农产品、新一代信息技术等产业，加快发展文化、旅游、休闲等服务业。</w:t>
            </w:r>
            <w:r>
              <w:rPr>
                <w:rFonts w:hint="eastAsia" w:ascii="Times New Roman" w:hAnsi="Times New Roman" w:eastAsia="宋体" w:cs="Times New Roman"/>
                <w:color w:val="000000" w:themeColor="text1"/>
                <w:szCs w:val="28"/>
                <w14:textFill>
                  <w14:solidFill>
                    <w14:schemeClr w14:val="tx1"/>
                  </w14:solidFill>
                </w14:textFill>
              </w:rPr>
              <w:t>争创全国文明城市、全国森林城市、全国生态文明建设示范县、</w:t>
            </w:r>
            <w:r>
              <w:rPr>
                <w:rFonts w:ascii="Times New Roman" w:hAnsi="Times New Roman" w:eastAsia="宋体" w:cs="Times New Roman"/>
                <w:color w:val="000000" w:themeColor="text1"/>
                <w:szCs w:val="28"/>
                <w14:textFill>
                  <w14:solidFill>
                    <w14:schemeClr w14:val="tx1"/>
                  </w14:solidFill>
                </w14:textFill>
              </w:rPr>
              <w:t>国家全域旅游示范县。</w:t>
            </w:r>
          </w:p>
          <w:p>
            <w:pPr>
              <w:adjustRightInd/>
              <w:snapToGrid/>
              <w:spacing w:before="0" w:after="0" w:line="579"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邵阳县：</w:t>
            </w:r>
            <w:r>
              <w:rPr>
                <w:rFonts w:ascii="Times New Roman" w:hAnsi="Times New Roman" w:eastAsia="宋体" w:cs="Times New Roman"/>
                <w:color w:val="000000" w:themeColor="text1"/>
                <w:spacing w:val="-6"/>
                <w:szCs w:val="28"/>
                <w14:textFill>
                  <w14:solidFill>
                    <w14:schemeClr w14:val="tx1"/>
                  </w14:solidFill>
                </w14:textFill>
              </w:rPr>
              <w:t>重点发展以油茶为特色的食品加工产业、建筑材料、轻工制造、旅游休闲服务业，加快融合发展，实现产业互补，成为邵阳市</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油罐子</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菜篮子</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米袋子</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。打造中国油茶创新实践示范中心、渝湘粤经济发展合作区、邵阳东部城市群内循环经济先行区，争创全国休闲农业重点县、循环经济试点县，打造全市乡村旅游目的地、养老休闲首选地。</w:t>
            </w:r>
          </w:p>
          <w:p>
            <w:pPr>
              <w:adjustRightInd/>
              <w:snapToGrid/>
              <w:spacing w:before="0" w:after="0" w:line="579"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隆回县：</w:t>
            </w:r>
            <w:r>
              <w:rPr>
                <w:rFonts w:ascii="Times New Roman" w:hAnsi="Times New Roman" w:eastAsia="宋体" w:cs="Times New Roman"/>
                <w:color w:val="000000" w:themeColor="text1"/>
                <w:szCs w:val="28"/>
                <w14:textFill>
                  <w14:solidFill>
                    <w14:schemeClr w14:val="tx1"/>
                  </w14:solidFill>
                </w14:textFill>
              </w:rPr>
              <w:t>重点发展农副产品深加工、生物医药、现代加工业，依托花瑶的生态景观资源发展现代旅游业，打造湘中地区赶超发展样板、城乡融合发展样板，争创国家生态文明示范县、全省全域旅游示范县，发展成为东部城镇群和西部生态圈的节点城市。</w:t>
            </w:r>
          </w:p>
        </w:tc>
      </w:tr>
    </w:tbl>
    <w:p>
      <w:pPr>
        <w:widowControl w:val="0"/>
        <w:adjustRightInd/>
        <w:snapToGrid/>
        <w:spacing w:before="193" w:beforeLines="50" w:after="193" w:afterLines="50" w:line="57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西部生态圈。</w:t>
      </w:r>
      <w:r>
        <w:rPr>
          <w:rFonts w:ascii="Times New Roman" w:hAnsi="Times New Roman" w:eastAsia="仿宋_GB2312" w:cs="Times New Roman"/>
          <w:color w:val="000000" w:themeColor="text1"/>
          <w:sz w:val="32"/>
          <w:szCs w:val="32"/>
          <w14:textFill>
            <w14:solidFill>
              <w14:schemeClr w14:val="tx1"/>
            </w14:solidFill>
          </w14:textFill>
        </w:rPr>
        <w:t>按照生态功能保护区和绿色发展示范区定位，充分发挥西部五县市作为区域生态屏障的重要生态功能，构建生态产业体系，推动绿色发展崛起，打造全国知名的生态旅游休闲康养度假目的地和优质农产品供应基地。推动五县市发挥湘南和湘西两大产业承接区过渡带优势、高速航空交通优势、旅游资源丰富优势、高山反气候优势、良好生态优势，建设湘西南物流服务基地、生态文化旅游发展带、绿色经济发展带。到2025年，以武冈市为中心的西部五县市互联互通能力大大增强，建成半小时交通圈，产业协同水平明显提高，西部整体经济发展水平跃升一个台阶，步入全省中游水平。</w:t>
      </w:r>
    </w:p>
    <w:tbl>
      <w:tblPr>
        <w:tblStyle w:val="14"/>
        <w:tblW w:w="5000" w:type="pct"/>
        <w:tblInd w:w="0" w:type="dxa"/>
        <w:tblLayout w:type="autofit"/>
        <w:tblCellMar>
          <w:top w:w="0" w:type="dxa"/>
          <w:left w:w="108" w:type="dxa"/>
          <w:bottom w:w="0" w:type="dxa"/>
          <w:right w:w="108" w:type="dxa"/>
        </w:tblCellMar>
      </w:tblPr>
      <w:tblGrid>
        <w:gridCol w:w="9060"/>
      </w:tblGrid>
      <w:tr>
        <w:tc>
          <w:tcPr>
            <w:tcW w:w="5000" w:type="pct"/>
            <w:tcBorders>
              <w:top w:val="single" w:color="auto" w:sz="8" w:space="0"/>
              <w:left w:val="single" w:color="auto" w:sz="8" w:space="0"/>
              <w:bottom w:val="single" w:color="auto" w:sz="8" w:space="0"/>
              <w:right w:val="single" w:color="auto" w:sz="8" w:space="0"/>
            </w:tcBorders>
            <w:shd w:val="clear" w:color="auto" w:fill="auto"/>
            <w:vAlign w:val="center"/>
          </w:tcPr>
          <w:p>
            <w:pPr>
              <w:adjustRightInd/>
              <w:snapToGrid/>
              <w:spacing w:before="0" w:after="0" w:line="579" w:lineRule="exact"/>
              <w:jc w:val="center"/>
              <w:rPr>
                <w:rFonts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专栏4：西部生态圈发展重点</w:t>
            </w:r>
          </w:p>
        </w:tc>
      </w:tr>
      <w:tr>
        <w:tblPrEx>
          <w:tblCellMar>
            <w:top w:w="0" w:type="dxa"/>
            <w:left w:w="108" w:type="dxa"/>
            <w:bottom w:w="0" w:type="dxa"/>
            <w:right w:w="108" w:type="dxa"/>
          </w:tblCellMar>
        </w:tblPrEx>
        <w:trPr>
          <w:trHeight w:val="812" w:hRule="atLeast"/>
        </w:trPr>
        <w:tc>
          <w:tcPr>
            <w:tcW w:w="5000" w:type="pct"/>
            <w:tcBorders>
              <w:top w:val="nil"/>
              <w:left w:val="single" w:color="auto" w:sz="8" w:space="0"/>
              <w:bottom w:val="single" w:color="auto" w:sz="8" w:space="0"/>
              <w:right w:val="single" w:color="auto" w:sz="8" w:space="0"/>
            </w:tcBorders>
            <w:shd w:val="clear" w:color="auto" w:fill="auto"/>
            <w:vAlign w:val="center"/>
          </w:tcPr>
          <w:p>
            <w:pPr>
              <w:adjustRightInd/>
              <w:snapToGrid/>
              <w:spacing w:before="0" w:after="0" w:line="48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支持武冈市、新宁县、城步苗族自治县、绥宁县、洞口县等西部县市打造湘西南桂北经济协作示范区。</w:t>
            </w:r>
          </w:p>
          <w:p>
            <w:pPr>
              <w:adjustRightInd/>
              <w:snapToGrid/>
              <w:spacing w:before="0" w:after="0" w:line="48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支持武冈市打造邵阳</w:t>
            </w:r>
            <w:r>
              <w:rPr>
                <w:rFonts w:hint="eastAsia" w:ascii="Times New Roman" w:hAnsi="Times New Roman" w:eastAsia="宋体" w:cs="Times New Roman"/>
                <w:color w:val="000000" w:themeColor="text1"/>
                <w:szCs w:val="28"/>
                <w14:textFill>
                  <w14:solidFill>
                    <w14:schemeClr w14:val="tx1"/>
                  </w14:solidFill>
                </w14:textFill>
              </w:rPr>
              <w:t>市次中心城市、</w:t>
            </w:r>
            <w:r>
              <w:rPr>
                <w:rFonts w:ascii="Times New Roman" w:hAnsi="Times New Roman" w:eastAsia="宋体" w:cs="Times New Roman"/>
                <w:color w:val="000000" w:themeColor="text1"/>
                <w:szCs w:val="28"/>
                <w14:textFill>
                  <w14:solidFill>
                    <w14:schemeClr w14:val="tx1"/>
                  </w14:solidFill>
                </w14:textFill>
              </w:rPr>
              <w:t>西部生态圈中心城市、湘西南明珠城市，到2025年，城区面积达到35平方公里、人口达到35万人；支持洞口打造特色优势产业发展集聚区、国家现代农业示范区、湘西南生态文化旅游示范区；支持新宁以百里脐橙连崀山为总揽，创建国家全域旅游示范区，国家级农旅融合示范区，打造国内知名生态文化旅游休闲康养度假目的地、国家现代农业发展示范区和优质农产品供应基地；支持绥宁打造国家生态文旅康养示范区、湖南省西部竹木绿色循环经济产业集聚区；支持城步打造中国南方乳业之都、全国重要旅游目的地、中西部生态康养样板区、中西部地区现代特色农业示范区。</w:t>
            </w:r>
          </w:p>
          <w:p>
            <w:pPr>
              <w:adjustRightInd/>
              <w:snapToGrid/>
              <w:spacing w:before="0" w:after="0" w:line="48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谋划</w:t>
            </w:r>
            <w:r>
              <w:rPr>
                <w:rFonts w:ascii="Times New Roman" w:hAnsi="Times New Roman" w:eastAsia="宋体" w:cs="Times New Roman"/>
                <w:color w:val="000000" w:themeColor="text1"/>
                <w:szCs w:val="28"/>
                <w14:textFill>
                  <w14:solidFill>
                    <w14:schemeClr w14:val="tx1"/>
                  </w14:solidFill>
                </w14:textFill>
              </w:rPr>
              <w:t>推进兴永郴赣铁路、怀邵桂高铁、怀邵永清广高铁、溆浦-洞口-新宁高速、城步-龙胜高速、白</w:t>
            </w:r>
            <w:r>
              <w:rPr>
                <w:rFonts w:hint="eastAsia" w:ascii="Times New Roman" w:hAnsi="Times New Roman" w:eastAsia="宋体" w:cs="Times New Roman"/>
                <w:color w:val="000000" w:themeColor="text1"/>
                <w:szCs w:val="28"/>
                <w14:textFill>
                  <w14:solidFill>
                    <w14:schemeClr w14:val="tx1"/>
                  </w14:solidFill>
                </w14:textFill>
              </w:rPr>
              <w:t>仓</w:t>
            </w:r>
            <w:r>
              <w:rPr>
                <w:rFonts w:ascii="Times New Roman" w:hAnsi="Times New Roman" w:eastAsia="宋体" w:cs="Times New Roman"/>
                <w:color w:val="000000" w:themeColor="text1"/>
                <w:szCs w:val="28"/>
                <w14:textFill>
                  <w14:solidFill>
                    <w14:schemeClr w14:val="tx1"/>
                  </w14:solidFill>
                </w14:textFill>
              </w:rPr>
              <w:t>新</w:t>
            </w:r>
            <w:r>
              <w:rPr>
                <w:rFonts w:hint="eastAsia" w:ascii="Times New Roman" w:hAnsi="Times New Roman" w:eastAsia="宋体" w:cs="Times New Roman"/>
                <w:color w:val="000000" w:themeColor="text1"/>
                <w:szCs w:val="28"/>
                <w14:textFill>
                  <w14:solidFill>
                    <w14:schemeClr w14:val="tx1"/>
                  </w14:solidFill>
                </w14:textFill>
              </w:rPr>
              <w:t>宁</w:t>
            </w:r>
            <w:r>
              <w:rPr>
                <w:rFonts w:ascii="Times New Roman" w:hAnsi="Times New Roman" w:eastAsia="宋体" w:cs="Times New Roman"/>
                <w:color w:val="000000" w:themeColor="text1"/>
                <w:szCs w:val="28"/>
                <w14:textFill>
                  <w14:solidFill>
                    <w14:schemeClr w14:val="tx1"/>
                  </w14:solidFill>
                </w14:textFill>
              </w:rPr>
              <w:t>高速、新化-新宁高速、沪昆高速扩容、永州至新宁高速、怀化洪江至绥宁至武冈高速等重大交通项目建设，推进景区间一级公路连接、景点间等级公路改造，实现景区景点间的整体联结，打通主通道，推进大融合。</w:t>
            </w:r>
          </w:p>
          <w:p>
            <w:pPr>
              <w:adjustRightInd/>
              <w:snapToGrid/>
              <w:spacing w:before="0" w:after="0" w:line="48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支持新宁崀山世界自然遗产</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城步南山国家公园</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新宁舜皇山</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绥宁黄桑</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寨市</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武冈古王城、云山</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洞口</w:t>
            </w:r>
            <w:r>
              <w:rPr>
                <w:rFonts w:hint="eastAsia" w:ascii="Times New Roman" w:hAnsi="Times New Roman" w:eastAsia="宋体" w:cs="Times New Roman"/>
                <w:color w:val="000000" w:themeColor="text1"/>
                <w:szCs w:val="28"/>
                <w14:textFill>
                  <w14:solidFill>
                    <w14:schemeClr w14:val="tx1"/>
                  </w14:solidFill>
                </w14:textFill>
              </w:rPr>
              <w:t>罗</w:t>
            </w:r>
            <w:r>
              <w:rPr>
                <w:rFonts w:ascii="Times New Roman" w:hAnsi="Times New Roman" w:eastAsia="宋体" w:cs="Times New Roman"/>
                <w:color w:val="000000" w:themeColor="text1"/>
                <w:szCs w:val="28"/>
                <w14:textFill>
                  <w14:solidFill>
                    <w14:schemeClr w14:val="tx1"/>
                  </w14:solidFill>
                </w14:textFill>
              </w:rPr>
              <w:t>溪等景区建设。</w:t>
            </w:r>
          </w:p>
          <w:p>
            <w:pPr>
              <w:adjustRightInd/>
              <w:snapToGrid/>
              <w:spacing w:before="0" w:after="0" w:line="48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以世界自然遗产地、国家5A景区崀山为龙头，以南山国家公园</w:t>
            </w:r>
            <w:r>
              <w:rPr>
                <w:rFonts w:hint="eastAsia" w:ascii="Times New Roman" w:hAnsi="Times New Roman" w:eastAsia="宋体" w:cs="Times New Roman"/>
                <w:color w:val="000000" w:themeColor="text1"/>
                <w:szCs w:val="28"/>
                <w14:textFill>
                  <w14:solidFill>
                    <w14:schemeClr w14:val="tx1"/>
                  </w14:solidFill>
                </w14:textFill>
              </w:rPr>
              <w:t>为重点</w:t>
            </w:r>
            <w:r>
              <w:rPr>
                <w:rFonts w:ascii="Times New Roman" w:hAnsi="Times New Roman" w:eastAsia="宋体" w:cs="Times New Roman"/>
                <w:color w:val="000000" w:themeColor="text1"/>
                <w:szCs w:val="28"/>
                <w14:textFill>
                  <w14:solidFill>
                    <w14:schemeClr w14:val="tx1"/>
                  </w14:solidFill>
                </w14:textFill>
              </w:rPr>
              <w:t>，建设一批精品旅游小镇、美丽乡村、古寨名村。加强与桂林、张家界、永州、怀化等周边旅游城市的对接，形成张-崀-桂世界遗产国际旅游</w:t>
            </w:r>
            <w:r>
              <w:rPr>
                <w:rFonts w:hint="eastAsia" w:ascii="Times New Roman" w:hAnsi="Times New Roman" w:eastAsia="宋体" w:cs="Times New Roman"/>
                <w:color w:val="000000" w:themeColor="text1"/>
                <w:szCs w:val="28"/>
                <w14:textFill>
                  <w14:solidFill>
                    <w14:schemeClr w14:val="tx1"/>
                  </w14:solidFill>
                </w14:textFill>
              </w:rPr>
              <w:t>黄金</w:t>
            </w:r>
            <w:r>
              <w:rPr>
                <w:rFonts w:ascii="Times New Roman" w:hAnsi="Times New Roman" w:eastAsia="宋体" w:cs="Times New Roman"/>
                <w:color w:val="000000" w:themeColor="text1"/>
                <w:szCs w:val="28"/>
                <w14:textFill>
                  <w14:solidFill>
                    <w14:schemeClr w14:val="tx1"/>
                  </w14:solidFill>
                </w14:textFill>
              </w:rPr>
              <w:t>精品线路和</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生态丹霞、古城商道、神韵梅山、湘军寻古</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大湘西精品旅游线路，促进与大湘西旅游圈、大湘中梅山文化旅游圈和湘桂黔旅游圈的融合。</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426" w:name="_Toc20830"/>
      <w:bookmarkStart w:id="427" w:name="_Toc16149"/>
      <w:bookmarkStart w:id="428" w:name="_Toc19281"/>
      <w:bookmarkStart w:id="429" w:name="_Toc699"/>
      <w:bookmarkStart w:id="430" w:name="_Toc7716"/>
      <w:bookmarkStart w:id="431" w:name="_Toc2132"/>
      <w:bookmarkStart w:id="432" w:name="_Toc12752"/>
      <w:bookmarkStart w:id="433" w:name="_Toc31625"/>
      <w:bookmarkStart w:id="434" w:name="_Toc13408"/>
      <w:bookmarkStart w:id="435" w:name="_Toc11760"/>
      <w:bookmarkStart w:id="436" w:name="_Toc11668"/>
      <w:bookmarkStart w:id="437" w:name="_Toc4022"/>
      <w:bookmarkStart w:id="438" w:name="_Toc914"/>
      <w:bookmarkStart w:id="439" w:name="_Toc30953"/>
      <w:bookmarkStart w:id="440" w:name="_Toc32492"/>
      <w:bookmarkStart w:id="441" w:name="_Toc2842"/>
      <w:bookmarkStart w:id="442" w:name="_Toc5098"/>
      <w:bookmarkStart w:id="443" w:name="_Toc19287"/>
      <w:bookmarkStart w:id="444" w:name="_Toc9196"/>
      <w:bookmarkStart w:id="445" w:name="_Toc28936"/>
      <w:bookmarkStart w:id="446" w:name="_Toc31479"/>
      <w:bookmarkStart w:id="447" w:name="_Toc14563"/>
      <w:bookmarkStart w:id="448" w:name="_Toc32631"/>
      <w:bookmarkStart w:id="449" w:name="_Toc1240"/>
      <w:bookmarkStart w:id="450" w:name="_Toc28429"/>
      <w:bookmarkStart w:id="451" w:name="_Toc21077"/>
      <w:bookmarkStart w:id="452" w:name="_Toc13656"/>
      <w:bookmarkStart w:id="453" w:name="_Toc4099"/>
      <w:bookmarkStart w:id="454" w:name="_Toc21385"/>
      <w:bookmarkStart w:id="455" w:name="_Toc9847"/>
      <w:bookmarkStart w:id="456" w:name="_Toc28840"/>
      <w:bookmarkStart w:id="457" w:name="_Toc9766"/>
      <w:bookmarkStart w:id="458" w:name="_Toc4027"/>
      <w:bookmarkStart w:id="459" w:name="_Toc13711"/>
      <w:bookmarkStart w:id="460" w:name="_Toc21171"/>
      <w:bookmarkStart w:id="461" w:name="_Toc25552"/>
      <w:bookmarkStart w:id="462" w:name="_Toc317"/>
      <w:r>
        <w:rPr>
          <w:rFonts w:ascii="Times New Roman" w:hAnsi="Times New Roman" w:cs="Times New Roman"/>
          <w:color w:val="000000" w:themeColor="text1"/>
          <w:szCs w:val="32"/>
          <w14:textFill>
            <w14:solidFill>
              <w14:schemeClr w14:val="tx1"/>
            </w14:solidFill>
          </w14:textFill>
        </w:rPr>
        <w:t xml:space="preserve">第二节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构建</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一核一带多点</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产业发展格局</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按照邵阳城市总体规划和国土空间规划要求，顺应产业转移、分工趋势，结合产城融合发展要求，形成层次清晰、各显优势、融合互动、高质量发展的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一核一带多点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的产业协调发展格局，推动沪昆百里工业走廊提质提效。</w:t>
      </w:r>
    </w:p>
    <w:p>
      <w:pPr>
        <w:pStyle w:val="2"/>
        <w:widowControl w:val="0"/>
        <w:spacing w:before="0" w:after="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720715" cy="4042410"/>
            <wp:effectExtent l="0" t="0" r="13335" b="15240"/>
            <wp:docPr id="4" name="图片 4" descr="邵阳工业布局示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邵阳工业布局示意图2"/>
                    <pic:cNvPicPr>
                      <a:picLocks noChangeAspect="1"/>
                    </pic:cNvPicPr>
                  </pic:nvPicPr>
                  <pic:blipFill>
                    <a:blip r:embed="rId11" cstate="print"/>
                    <a:stretch>
                      <a:fillRect/>
                    </a:stretch>
                  </pic:blipFill>
                  <pic:spPr>
                    <a:xfrm>
                      <a:off x="0" y="0"/>
                      <a:ext cx="5720715" cy="4042410"/>
                    </a:xfrm>
                    <a:prstGeom prst="rect">
                      <a:avLst/>
                    </a:prstGeom>
                  </pic:spPr>
                </pic:pic>
              </a:graphicData>
            </a:graphic>
          </wp:inline>
        </w:drawing>
      </w:r>
    </w:p>
    <w:p>
      <w:pPr>
        <w:pStyle w:val="2"/>
        <w:widowControl w:val="0"/>
        <w:spacing w:before="0" w:after="0"/>
        <w:jc w:val="center"/>
        <w:rPr>
          <w:rFonts w:ascii="Times New Roman" w:hAnsi="Times New Roman" w:eastAsia="楷体_GB2312" w:cs="Times New Roman"/>
          <w:b/>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图4：市域产业布局示意图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一核。</w:t>
      </w:r>
      <w:r>
        <w:rPr>
          <w:rFonts w:ascii="Times New Roman" w:hAnsi="Times New Roman" w:eastAsia="仿宋_GB2312" w:cs="Times New Roman"/>
          <w:color w:val="000000" w:themeColor="text1"/>
          <w:sz w:val="32"/>
          <w:szCs w:val="32"/>
          <w14:textFill>
            <w14:solidFill>
              <w14:schemeClr w14:val="tx1"/>
            </w14:solidFill>
          </w14:textFill>
        </w:rPr>
        <w:t>即邵阳经开区，积极争创国家级开发区，借助国家级创新创业示范基地、国家产城融合示范区等现有平台，打造邵阳经济发展的中枢核心。依托</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核</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引领，辐射邵阳市区、邵东市、新邵县、隆回县、邵阳县，打造东部工业集聚引领区。到2025年，</w:t>
      </w:r>
      <w:r>
        <w:rPr>
          <w:rFonts w:hint="eastAsia" w:ascii="Times New Roman" w:hAnsi="Times New Roman" w:eastAsia="仿宋_GB2312" w:cs="Times New Roman"/>
          <w:color w:val="000000" w:themeColor="text1"/>
          <w:sz w:val="32"/>
          <w:szCs w:val="32"/>
          <w14:textFill>
            <w14:solidFill>
              <w14:schemeClr w14:val="tx1"/>
            </w14:solidFill>
          </w14:textFill>
        </w:rPr>
        <w:t>力争</w:t>
      </w:r>
      <w:r>
        <w:rPr>
          <w:rFonts w:ascii="Times New Roman" w:hAnsi="Times New Roman" w:eastAsia="仿宋_GB2312" w:cs="Times New Roman"/>
          <w:color w:val="000000" w:themeColor="text1"/>
          <w:sz w:val="32"/>
          <w:szCs w:val="32"/>
          <w14:textFill>
            <w14:solidFill>
              <w14:schemeClr w14:val="tx1"/>
            </w14:solidFill>
          </w14:textFill>
        </w:rPr>
        <w:t>实现园区技工贸总收入过</w:t>
      </w:r>
      <w:r>
        <w:rPr>
          <w:rFonts w:hint="eastAsia" w:ascii="Times New Roman" w:hAnsi="Times New Roman" w:eastAsia="仿宋_GB2312" w:cs="Times New Roman"/>
          <w:color w:val="000000" w:themeColor="text1"/>
          <w:sz w:val="32"/>
          <w:szCs w:val="32"/>
          <w14:textFill>
            <w14:solidFill>
              <w14:schemeClr w14:val="tx1"/>
            </w14:solidFill>
          </w14:textFill>
        </w:rPr>
        <w:t>1500</w:t>
      </w:r>
      <w:r>
        <w:rPr>
          <w:rFonts w:ascii="Times New Roman" w:hAnsi="Times New Roman" w:eastAsia="仿宋_GB2312" w:cs="Times New Roman"/>
          <w:color w:val="000000" w:themeColor="text1"/>
          <w:sz w:val="32"/>
          <w:szCs w:val="32"/>
          <w14:textFill>
            <w14:solidFill>
              <w14:schemeClr w14:val="tx1"/>
            </w14:solidFill>
          </w14:textFill>
        </w:rPr>
        <w:t>亿</w:t>
      </w:r>
      <w:r>
        <w:rPr>
          <w:rFonts w:hint="eastAsia" w:ascii="Times New Roman" w:hAnsi="Times New Roman" w:eastAsia="仿宋_GB2312" w:cs="Times New Roman"/>
          <w:color w:val="000000" w:themeColor="text1"/>
          <w:sz w:val="32"/>
          <w:szCs w:val="32"/>
          <w14:textFill>
            <w14:solidFill>
              <w14:schemeClr w14:val="tx1"/>
            </w14:solidFill>
          </w14:textFill>
        </w:rPr>
        <w:t>元</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一带。</w:t>
      </w:r>
      <w:r>
        <w:rPr>
          <w:rFonts w:ascii="Times New Roman" w:hAnsi="Times New Roman" w:eastAsia="仿宋_GB2312" w:cs="Times New Roman"/>
          <w:color w:val="000000" w:themeColor="text1"/>
          <w:sz w:val="32"/>
          <w:szCs w:val="32"/>
          <w14:textFill>
            <w14:solidFill>
              <w14:schemeClr w14:val="tx1"/>
            </w14:solidFill>
          </w14:textFill>
        </w:rPr>
        <w:t>即沪昆百里工业走廊产业带，东西以沪昆高速、G320国道为依托（包括邵东、市区、隆回、洞口、武冈），南北以二广高速、G207国道为依托（包括新邵、市区、邵阳县），重点发展装备制造、显示功能材料、智能家居、互联网、循环经济、中医药、时尚轻工、特色农产品加工等产业，形成传统产业和战略性新兴工业集聚轴，培育一条产值过5000亿元的产业带。</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多点。</w:t>
      </w:r>
      <w:r>
        <w:rPr>
          <w:rFonts w:ascii="Times New Roman" w:hAnsi="Times New Roman" w:eastAsia="仿宋_GB2312" w:cs="Times New Roman"/>
          <w:color w:val="000000" w:themeColor="text1"/>
          <w:sz w:val="32"/>
          <w:szCs w:val="32"/>
          <w14:textFill>
            <w14:solidFill>
              <w14:schemeClr w14:val="tx1"/>
            </w14:solidFill>
          </w14:textFill>
        </w:rPr>
        <w:t>即各县市城区和中心城镇，依托经济开发区、高新技术开发区和产业集聚区，形成多个特色明显的产业经济增长点，各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通过市域交通内循环，实现资源共享、互融互通、竞相发展，打造一批全省乃至全国闻名的特色产业小镇。</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463" w:name="_Toc25569"/>
      <w:bookmarkStart w:id="464" w:name="_Toc5380"/>
      <w:bookmarkStart w:id="465" w:name="_Toc24808"/>
      <w:bookmarkStart w:id="466" w:name="_Toc14908"/>
      <w:bookmarkStart w:id="467" w:name="_Toc13754"/>
      <w:bookmarkStart w:id="468" w:name="_Toc732"/>
      <w:bookmarkStart w:id="469" w:name="_Toc24781"/>
      <w:bookmarkStart w:id="470" w:name="_Toc3436"/>
      <w:bookmarkStart w:id="471" w:name="_Toc17586"/>
      <w:bookmarkStart w:id="472" w:name="_Toc5287"/>
      <w:bookmarkStart w:id="473" w:name="_Toc27149"/>
      <w:bookmarkStart w:id="474" w:name="_Toc13501"/>
      <w:bookmarkStart w:id="475" w:name="_Toc29394"/>
      <w:bookmarkStart w:id="476" w:name="_Toc14442"/>
      <w:bookmarkStart w:id="477" w:name="_Toc29889"/>
      <w:bookmarkStart w:id="478" w:name="_Toc17314"/>
      <w:bookmarkStart w:id="479" w:name="_Toc13619"/>
      <w:bookmarkStart w:id="480" w:name="_Toc7499"/>
      <w:bookmarkStart w:id="481" w:name="_Toc30938"/>
      <w:bookmarkStart w:id="482" w:name="_Toc22496"/>
      <w:bookmarkStart w:id="483" w:name="_Toc16117"/>
      <w:bookmarkStart w:id="484" w:name="_Toc30462"/>
      <w:bookmarkStart w:id="485" w:name="_Toc27344"/>
      <w:bookmarkStart w:id="486" w:name="_Toc32556"/>
      <w:bookmarkStart w:id="487" w:name="_Toc30531"/>
      <w:bookmarkStart w:id="488" w:name="_Toc23009"/>
      <w:bookmarkStart w:id="489" w:name="_Toc20383"/>
      <w:bookmarkStart w:id="490" w:name="_Toc23700"/>
      <w:bookmarkStart w:id="491" w:name="_Toc27108"/>
      <w:bookmarkStart w:id="492" w:name="_Toc461"/>
      <w:bookmarkStart w:id="493" w:name="_Toc15791"/>
      <w:bookmarkStart w:id="494" w:name="_Toc15430"/>
      <w:bookmarkStart w:id="495" w:name="_Toc3087"/>
      <w:bookmarkStart w:id="496" w:name="_Toc12208"/>
      <w:bookmarkStart w:id="497" w:name="_Toc5418"/>
      <w:bookmarkStart w:id="498" w:name="_Toc27732"/>
      <w:bookmarkStart w:id="499" w:name="_Toc6644"/>
      <w:r>
        <w:rPr>
          <w:rFonts w:ascii="Times New Roman" w:hAnsi="Times New Roman" w:cs="Times New Roman"/>
          <w:color w:val="000000" w:themeColor="text1"/>
          <w:szCs w:val="32"/>
          <w14:textFill>
            <w14:solidFill>
              <w14:schemeClr w14:val="tx1"/>
            </w14:solidFill>
          </w14:textFill>
        </w:rPr>
        <w:t xml:space="preserve">第三节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构建</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一体两翼多点</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物流发展格局</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建设一批功能齐全、规模较大、外向度高的综合物流园区、物流中心和</w:t>
      </w:r>
      <w:r>
        <w:rPr>
          <w:rFonts w:ascii="Times New Roman" w:hAnsi="Times New Roman" w:eastAsia="仿宋_GB2312" w:cs="Times New Roman"/>
          <w:color w:val="000000" w:themeColor="text1"/>
          <w:spacing w:val="-6"/>
          <w:sz w:val="32"/>
          <w:szCs w:val="32"/>
          <w14:textFill>
            <w14:solidFill>
              <w14:schemeClr w14:val="tx1"/>
            </w14:solidFill>
          </w14:textFill>
        </w:rPr>
        <w:t>配送中心，形成现代物流业</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一体两翼多点</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的网络化发展格局，加快建设中部地区区域性现代物流中心城市。</w:t>
      </w:r>
    </w:p>
    <w:p>
      <w:pPr>
        <w:pStyle w:val="2"/>
        <w:spacing w:before="0" w:after="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405755" cy="3817620"/>
            <wp:effectExtent l="0" t="0" r="444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5755" cy="3817620"/>
                    </a:xfrm>
                    <a:prstGeom prst="rect">
                      <a:avLst/>
                    </a:prstGeom>
                  </pic:spPr>
                </pic:pic>
              </a:graphicData>
            </a:graphic>
          </wp:inline>
        </w:drawing>
      </w:r>
    </w:p>
    <w:p>
      <w:pPr>
        <w:pStyle w:val="6"/>
        <w:spacing w:before="0" w:after="0" w:line="579" w:lineRule="exact"/>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图5：市域物流布局示意图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一体</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即主城区。</w:t>
      </w:r>
      <w:r>
        <w:rPr>
          <w:rFonts w:hint="eastAsia" w:ascii="Times New Roman" w:hAnsi="Times New Roman" w:eastAsia="仿宋_GB2312" w:cs="Times New Roman"/>
          <w:color w:val="000000" w:themeColor="text1"/>
          <w:sz w:val="32"/>
          <w:szCs w:val="32"/>
          <w14:textFill>
            <w14:solidFill>
              <w14:schemeClr w14:val="tx1"/>
            </w14:solidFill>
          </w14:textFill>
        </w:rPr>
        <w:t>以邵阳东货场智慧物流园为重点，</w:t>
      </w:r>
      <w:r>
        <w:rPr>
          <w:rFonts w:ascii="Times New Roman" w:hAnsi="Times New Roman" w:eastAsia="仿宋_GB2312" w:cs="Times New Roman"/>
          <w:color w:val="000000" w:themeColor="text1"/>
          <w:sz w:val="32"/>
          <w:szCs w:val="32"/>
          <w14:textFill>
            <w14:solidFill>
              <w14:schemeClr w14:val="tx1"/>
            </w14:solidFill>
          </w14:textFill>
        </w:rPr>
        <w:t>规划建设2-3平方公里的综合物流园区，依托邵阳</w:t>
      </w:r>
      <w:r>
        <w:rPr>
          <w:rFonts w:ascii="Times New Roman" w:hAnsi="Times New Roman" w:eastAsia="仿宋_GB2312" w:cs="Times New Roman"/>
          <w:color w:val="000000" w:themeColor="text1"/>
          <w:spacing w:val="-6"/>
          <w:sz w:val="32"/>
          <w:szCs w:val="32"/>
          <w14:textFill>
            <w14:solidFill>
              <w14:schemeClr w14:val="tx1"/>
            </w14:solidFill>
          </w14:textFill>
        </w:rPr>
        <w:t>经开区重点发展装备制造物流、保税物流、冷链物流。到2025年，将园区打造成集多式联运、仓储配送、保税监管于一体的生产服务型物流园区，争取建设国家级示范性物流园。</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东翼</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即邵东物流区。</w:t>
      </w:r>
      <w:r>
        <w:rPr>
          <w:rFonts w:hint="eastAsia" w:ascii="Times New Roman" w:hAnsi="Times New Roman" w:eastAsia="仿宋_GB2312" w:cs="Times New Roman"/>
          <w:color w:val="000000" w:themeColor="text1"/>
          <w:sz w:val="32"/>
          <w:szCs w:val="32"/>
          <w14:textFill>
            <w14:solidFill>
              <w14:schemeClr w14:val="tx1"/>
            </w14:solidFill>
          </w14:textFill>
        </w:rPr>
        <w:t>以邵东星沙物流园为重点，</w:t>
      </w:r>
      <w:r>
        <w:rPr>
          <w:rFonts w:ascii="Times New Roman" w:hAnsi="Times New Roman" w:eastAsia="仿宋_GB2312" w:cs="Times New Roman"/>
          <w:color w:val="000000" w:themeColor="text1"/>
          <w:sz w:val="32"/>
          <w:szCs w:val="32"/>
          <w14:textFill>
            <w14:solidFill>
              <w14:schemeClr w14:val="tx1"/>
            </w14:solidFill>
          </w14:textFill>
        </w:rPr>
        <w:t>规划建设1-2平方公里的综合物流园区，依托邵东经开区重点发展保税物流、（跨境）电商物流、小商品物流。到2025年，将园区打造成物流标准化、智能化、高效配送、绿色发展和商贸一体的多式联运综合性物流园区，争取建设省级示范性综合物流园。</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西翼</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即武冈物流区。</w:t>
      </w:r>
      <w:r>
        <w:rPr>
          <w:rFonts w:hint="eastAsia" w:ascii="Times New Roman" w:hAnsi="Times New Roman" w:eastAsia="仿宋_GB2312" w:cs="Times New Roman"/>
          <w:color w:val="000000" w:themeColor="text1"/>
          <w:sz w:val="32"/>
          <w:szCs w:val="32"/>
          <w14:textFill>
            <w14:solidFill>
              <w14:schemeClr w14:val="tx1"/>
            </w14:solidFill>
          </w14:textFill>
        </w:rPr>
        <w:t>以武冈现代物流园为重点</w:t>
      </w:r>
      <w:r>
        <w:rPr>
          <w:rFonts w:ascii="Times New Roman" w:hAnsi="Times New Roman" w:eastAsia="仿宋_GB2312" w:cs="Times New Roman"/>
          <w:color w:val="000000" w:themeColor="text1"/>
          <w:sz w:val="32"/>
          <w:szCs w:val="32"/>
          <w14:textFill>
            <w14:solidFill>
              <w14:schemeClr w14:val="tx1"/>
            </w14:solidFill>
          </w14:textFill>
        </w:rPr>
        <w:t>规划建设1-2平方公里的综合物流园区，依托西部生态圈及武冈机场重点发展农副产品物流、空港物流、冷链物流。到2025年，将园区打造成集农产品仓配一体化服务、物流信息服务、物流咨询服务为一体的综合物流园区，争取建设省级示范性农产品智慧型物流园。</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多点</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即其他县域物流中心、配送中心。以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一县一特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为依托，以服务农产品和日用消费品商贸流通为重点，打造以生产、生活资料集散地为特征的区域性物流走廊。</w:t>
      </w:r>
    </w:p>
    <w:p>
      <w:pPr>
        <w:rPr>
          <w:rFonts w:ascii="Times New Roman" w:hAnsi="Times New Roman" w:cs="Times New Roman"/>
          <w:color w:val="000000" w:themeColor="text1"/>
          <w14:textFill>
            <w14:solidFill>
              <w14:schemeClr w14:val="tx1"/>
            </w14:solidFill>
          </w14:textFill>
        </w:rPr>
      </w:pPr>
      <w:bookmarkStart w:id="500" w:name="_Toc31824"/>
      <w:bookmarkStart w:id="501" w:name="_Toc31576"/>
      <w:bookmarkStart w:id="502" w:name="_Toc14278"/>
      <w:bookmarkStart w:id="503" w:name="_Toc25467"/>
      <w:bookmarkStart w:id="504" w:name="_Toc4590"/>
      <w:bookmarkStart w:id="505" w:name="_Toc18903"/>
      <w:bookmarkStart w:id="506" w:name="_Toc7580"/>
      <w:bookmarkStart w:id="507" w:name="_Toc13339"/>
      <w:bookmarkStart w:id="508" w:name="_Toc6103"/>
      <w:bookmarkStart w:id="509" w:name="_Toc20637"/>
      <w:bookmarkStart w:id="510" w:name="_Toc20644"/>
      <w:bookmarkStart w:id="511" w:name="_Toc20286"/>
      <w:r>
        <w:rPr>
          <w:rFonts w:ascii="Times New Roman" w:hAnsi="Times New Roman" w:cs="Times New Roman"/>
          <w:color w:val="000000" w:themeColor="text1"/>
          <w14:textFill>
            <w14:solidFill>
              <w14:schemeClr w14:val="tx1"/>
            </w14:solidFill>
          </w14:textFill>
        </w:rPr>
        <w:br w:type="page"/>
      </w:r>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512" w:name="_Toc21910"/>
      <w:bookmarkStart w:id="513" w:name="_Toc11602"/>
      <w:bookmarkStart w:id="514" w:name="_Toc22110"/>
      <w:bookmarkStart w:id="515" w:name="_Toc1364"/>
      <w:bookmarkStart w:id="516" w:name="_Toc6608"/>
      <w:bookmarkStart w:id="517" w:name="_Toc23568"/>
      <w:bookmarkStart w:id="518" w:name="_Toc14750"/>
      <w:bookmarkStart w:id="519" w:name="_Toc76"/>
      <w:bookmarkStart w:id="520" w:name="_Toc1046"/>
      <w:bookmarkStart w:id="521" w:name="_Toc9798"/>
      <w:bookmarkStart w:id="522" w:name="_Toc19633"/>
      <w:bookmarkStart w:id="523" w:name="_Toc7224"/>
      <w:bookmarkStart w:id="524" w:name="_Toc15030"/>
      <w:bookmarkStart w:id="525" w:name="_Toc18789"/>
      <w:bookmarkStart w:id="526" w:name="_Toc15242"/>
      <w:bookmarkStart w:id="527" w:name="_Toc2932"/>
      <w:bookmarkStart w:id="528" w:name="_Toc1557"/>
      <w:bookmarkStart w:id="529" w:name="_Toc201"/>
      <w:bookmarkStart w:id="530" w:name="_Toc9404"/>
      <w:bookmarkStart w:id="531" w:name="_Toc20293"/>
      <w:bookmarkStart w:id="532" w:name="_Toc15354"/>
      <w:bookmarkStart w:id="533" w:name="_Toc3173"/>
      <w:bookmarkStart w:id="534" w:name="_Toc8109"/>
      <w:bookmarkStart w:id="535" w:name="_Toc10550"/>
      <w:bookmarkStart w:id="536" w:name="_Toc19024"/>
      <w:r>
        <w:rPr>
          <w:rFonts w:ascii="Times New Roman" w:hAnsi="Times New Roman" w:cs="Times New Roman"/>
          <w:color w:val="000000" w:themeColor="text1"/>
          <w14:textFill>
            <w14:solidFill>
              <w14:schemeClr w14:val="tx1"/>
            </w14:solidFill>
          </w14:textFill>
        </w:rPr>
        <w:t xml:space="preserve">第四章 </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承接产业转移 打造国家重要先进制造业高地</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pPr>
        <w:widowControl w:val="0"/>
        <w:adjustRightInd/>
        <w:snapToGrid/>
        <w:spacing w:before="0" w:after="0" w:line="579"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积极对接粤港澳大湾区、长三角、东盟地区等，着力推进</w:t>
      </w:r>
      <w:bookmarkStart w:id="537" w:name="_Hlk59187340"/>
      <w:r>
        <w:rPr>
          <w:rFonts w:ascii="Times New Roman" w:hAnsi="Times New Roman" w:eastAsia="仿宋_GB2312" w:cs="Times New Roman"/>
          <w:color w:val="000000" w:themeColor="text1"/>
          <w:sz w:val="32"/>
          <w:szCs w:val="32"/>
          <w14:textFill>
            <w14:solidFill>
              <w14:schemeClr w14:val="tx1"/>
            </w14:solidFill>
          </w14:textFill>
        </w:rPr>
        <w:t>制造强市</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一二三工程</w:t>
      </w:r>
      <w:bookmarkEnd w:id="537"/>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行动，加快引链、补链、延链、强链，推动制造业向产业链供应链价值链高端发展，基本建成湘南湘西承接产业转移示范区。到2025年，实现工业增加值年均增长6.5%，工业总产值达到3700亿元。</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538" w:name="_Toc9956"/>
      <w:bookmarkStart w:id="539" w:name="_Toc5387"/>
      <w:bookmarkStart w:id="540" w:name="_Toc2524"/>
      <w:bookmarkStart w:id="541" w:name="_Toc4605"/>
      <w:bookmarkStart w:id="542" w:name="_Toc20204"/>
      <w:bookmarkStart w:id="543" w:name="_Toc25345"/>
      <w:bookmarkStart w:id="544" w:name="_Toc7735"/>
      <w:bookmarkStart w:id="545" w:name="_Toc12211"/>
      <w:bookmarkStart w:id="546" w:name="_Toc32155"/>
      <w:bookmarkStart w:id="547" w:name="_Toc2170"/>
      <w:bookmarkStart w:id="548" w:name="_Toc30250"/>
      <w:bookmarkStart w:id="549" w:name="_Toc1552"/>
      <w:bookmarkStart w:id="550" w:name="_Toc23338"/>
      <w:bookmarkStart w:id="551" w:name="_Toc27213"/>
      <w:bookmarkStart w:id="552" w:name="_Toc2260"/>
      <w:bookmarkStart w:id="553" w:name="_Toc22651"/>
      <w:bookmarkStart w:id="554" w:name="_Toc5489"/>
      <w:bookmarkStart w:id="555" w:name="_Toc23771"/>
      <w:bookmarkStart w:id="556" w:name="_Toc15574"/>
      <w:bookmarkStart w:id="557" w:name="_Toc22019"/>
      <w:bookmarkStart w:id="558" w:name="_Toc26604"/>
      <w:bookmarkStart w:id="559" w:name="_Toc15158"/>
      <w:bookmarkStart w:id="560" w:name="_Toc12340"/>
      <w:bookmarkStart w:id="561" w:name="_Toc10255"/>
      <w:bookmarkStart w:id="562" w:name="_Toc14543"/>
      <w:bookmarkStart w:id="563" w:name="_Toc9473"/>
      <w:bookmarkStart w:id="564" w:name="_Toc25057"/>
      <w:bookmarkStart w:id="565" w:name="_Toc11460"/>
      <w:bookmarkStart w:id="566" w:name="_Toc27247"/>
      <w:bookmarkStart w:id="567" w:name="_Toc1313"/>
      <w:bookmarkStart w:id="568" w:name="_Toc6165"/>
      <w:bookmarkStart w:id="569" w:name="_Toc12977"/>
      <w:bookmarkStart w:id="570" w:name="_Toc13837"/>
      <w:bookmarkStart w:id="571" w:name="_Toc3520"/>
      <w:bookmarkStart w:id="572" w:name="_Toc31650"/>
      <w:bookmarkStart w:id="573" w:name="_Toc25602"/>
      <w:bookmarkStart w:id="574" w:name="_Toc16045"/>
      <w:bookmarkStart w:id="575" w:name="_Toc13107"/>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提升产业链供应链现代化水平</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认真贯彻新发展理念，融入新发展格局，深化供给侧结构性改革，延伸产业链，稳定供应链，提升创新链，畅通物流链，提升产业基础能力和产业链供应链现代化水平。</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打造智能化现代供应链体系。</w:t>
      </w:r>
      <w:r>
        <w:rPr>
          <w:rFonts w:ascii="Times New Roman" w:hAnsi="Times New Roman" w:eastAsia="仿宋_GB2312" w:cs="Times New Roman"/>
          <w:color w:val="000000" w:themeColor="text1"/>
          <w:sz w:val="32"/>
          <w:szCs w:val="32"/>
          <w14:textFill>
            <w14:solidFill>
              <w14:schemeClr w14:val="tx1"/>
            </w14:solidFill>
          </w14:textFill>
        </w:rPr>
        <w:t>围绕</w:t>
      </w:r>
      <w:bookmarkStart w:id="576" w:name="_Hlk59179010"/>
      <w:r>
        <w:rPr>
          <w:rFonts w:ascii="Times New Roman" w:hAnsi="Times New Roman" w:eastAsia="仿宋_GB2312" w:cs="Times New Roman"/>
          <w:color w:val="000000" w:themeColor="text1"/>
          <w:sz w:val="32"/>
          <w:szCs w:val="32"/>
          <w14:textFill>
            <w14:solidFill>
              <w14:schemeClr w14:val="tx1"/>
            </w14:solidFill>
          </w14:textFill>
        </w:rPr>
        <w:t>先进装备制造、显示功能材料、智能家居家电、循环经济、中医药、时尚用品、互联网</w:t>
      </w:r>
      <w:bookmarkEnd w:id="576"/>
      <w:r>
        <w:rPr>
          <w:rFonts w:ascii="Times New Roman" w:hAnsi="Times New Roman" w:eastAsia="仿宋_GB2312" w:cs="Times New Roman"/>
          <w:color w:val="000000" w:themeColor="text1"/>
          <w:sz w:val="32"/>
          <w:szCs w:val="32"/>
          <w14:textFill>
            <w14:solidFill>
              <w14:schemeClr w14:val="tx1"/>
            </w14:solidFill>
          </w14:textFill>
        </w:rPr>
        <w:t>等七大工业新兴优势产业链，大力实施产业基础再造和产业链提升工程。推动制造企业应用精益供应链等管理技术，完善从研发设计、生产制造到售后服务的全链条供应链体系。打造供应链服务平台，构建以企业为主导、产学研用协同的供应链创新网络，建设跨界融合的创新服务平台，提供技术研发、品牌培育、市场开拓、检验检测认证等服务。制定供应链产品信息、数据采集等关键共性标准，推进供应链服务标准化，提高供应链系统集成和资源整合能力。</w:t>
      </w:r>
    </w:p>
    <w:p>
      <w:pPr>
        <w:pStyle w:val="2"/>
        <w:spacing w:before="0" w:after="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drawing>
          <wp:inline distT="0" distB="0" distL="114300" distR="114300">
            <wp:extent cx="5181600" cy="2743200"/>
            <wp:effectExtent l="4445" t="4445" r="10795" b="1079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2"/>
        <w:spacing w:before="0" w:after="0" w:line="579" w:lineRule="exact"/>
        <w:jc w:val="center"/>
        <w:rPr>
          <w:rFonts w:ascii="Times New Roman" w:hAnsi="Times New Roman" w:eastAsia="楷体_GB2312" w:cs="Times New Roman"/>
          <w:b/>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图6：</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楷体_GB2312" w:cs="Times New Roman"/>
          <w:b/>
          <w:color w:val="000000" w:themeColor="text1"/>
          <w:sz w:val="32"/>
          <w:szCs w:val="32"/>
          <w14:textFill>
            <w14:solidFill>
              <w14:schemeClr w14:val="tx1"/>
            </w14:solidFill>
          </w14:textFill>
        </w:rPr>
        <w:t>十四五</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楷体_GB2312" w:cs="Times New Roman"/>
          <w:b/>
          <w:color w:val="000000" w:themeColor="text1"/>
          <w:sz w:val="32"/>
          <w:szCs w:val="32"/>
          <w14:textFill>
            <w14:solidFill>
              <w14:schemeClr w14:val="tx1"/>
            </w14:solidFill>
          </w14:textFill>
        </w:rPr>
        <w:t>七大新兴优势工业产业链产值分布（亿元）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全面提升供应链的稳定性。</w:t>
      </w:r>
      <w:r>
        <w:rPr>
          <w:rFonts w:ascii="Times New Roman" w:hAnsi="Times New Roman" w:eastAsia="仿宋_GB2312" w:cs="Times New Roman"/>
          <w:color w:val="000000" w:themeColor="text1"/>
          <w:sz w:val="32"/>
          <w:szCs w:val="32"/>
          <w14:textFill>
            <w14:solidFill>
              <w14:schemeClr w14:val="tx1"/>
            </w14:solidFill>
          </w14:textFill>
        </w:rPr>
        <w:t>加大优质粮食和农副产品保供力度，稳定粮食种植面积，严守耕地保护红线，提高粮食和菜肉蛋奶果生产能力，确保产量充足、质量可靠、供应安全。提高协作配套水平，立足产业发展需要，精准对接上下游、产供销需求，完善从研发设计、生产制造到售后服务的全链条供应体系。推进数字化智能化建设，依托工业互联网和区块链、大数据等技术，建立全链条信息共享平台，确保供应链安全稳定。加快引进和培育国内外供应链龙头企业，打通供应链信息流、商流、物流、资金流、产品流，构建智慧供应链网络和产业生态。推进工业 APP 等新兴技术在物流枢纽的应用，积极争取现代供应链体系建设试点。鼓励制造企业与上下游企业、第三方物流企业建立战略联盟，实现风险共担和利益共享。</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打造系统高效的创新链。</w:t>
      </w:r>
      <w:r>
        <w:rPr>
          <w:rFonts w:ascii="Times New Roman" w:hAnsi="Times New Roman" w:eastAsia="仿宋_GB2312" w:cs="Times New Roman"/>
          <w:color w:val="000000" w:themeColor="text1"/>
          <w:sz w:val="32"/>
          <w:szCs w:val="32"/>
          <w14:textFill>
            <w14:solidFill>
              <w14:schemeClr w14:val="tx1"/>
            </w14:solidFill>
          </w14:textFill>
        </w:rPr>
        <w:t>扎实推进协同创新，充分发挥承接产业转移示范区等平台的创新引领作用，建好用好产业技术研究院、科技成果展示交易中心，积极承接粤港澳大湾区、长三角创新要素资源。打通显示功能材料、先进装备制造等重点产业应用基础研究和产业化连接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瓶颈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，促进关键核心技术攻关成果转化为高科技产品。</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推动物流链发展向高层次迈进。</w:t>
      </w:r>
      <w:r>
        <w:rPr>
          <w:rFonts w:ascii="Times New Roman" w:hAnsi="Times New Roman" w:eastAsia="仿宋_GB2312" w:cs="Times New Roman"/>
          <w:color w:val="000000" w:themeColor="text1"/>
          <w:sz w:val="32"/>
          <w:szCs w:val="32"/>
          <w14:textFill>
            <w14:solidFill>
              <w14:schemeClr w14:val="tx1"/>
            </w14:solidFill>
          </w14:textFill>
        </w:rPr>
        <w:t>加强交通基础设施建设，加大公路、铁路、机场、港口建设，重点发展多式联运与集散型物流，大力发展第三方物流和冷链物流。积极对接中欧班列、中老专列、粤港澳直通车等国际物流通道，争取中欧班列、国际铁海联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五定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班列、港澳直通车延长至邵阳，实现邵阳与大湾区海关资源信息共享。积极申请开通武冈机场临时开放口岸功能，争取开通邵阳至大湾区的全货班机。</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577" w:name="_Toc14243"/>
      <w:bookmarkStart w:id="578" w:name="_Toc26967"/>
      <w:bookmarkStart w:id="579" w:name="_Toc6094"/>
      <w:bookmarkStart w:id="580" w:name="_Toc5972"/>
      <w:bookmarkStart w:id="581" w:name="_Toc16241"/>
      <w:bookmarkStart w:id="582" w:name="_Toc23682"/>
      <w:bookmarkStart w:id="583" w:name="_Toc6953"/>
      <w:bookmarkStart w:id="584" w:name="_Toc25311"/>
      <w:bookmarkStart w:id="585" w:name="_Toc3273"/>
      <w:bookmarkStart w:id="586" w:name="_Toc18580"/>
      <w:bookmarkStart w:id="587" w:name="_Toc20276"/>
      <w:bookmarkStart w:id="588" w:name="_Toc31336"/>
      <w:bookmarkStart w:id="589" w:name="_Toc18070"/>
      <w:bookmarkStart w:id="590" w:name="_Toc31505"/>
      <w:bookmarkStart w:id="591" w:name="_Toc15822"/>
      <w:bookmarkStart w:id="592" w:name="_Toc29437"/>
      <w:bookmarkStart w:id="593" w:name="_Toc15899"/>
      <w:bookmarkStart w:id="594" w:name="_Toc7196"/>
      <w:bookmarkStart w:id="595" w:name="_Toc11742"/>
      <w:bookmarkStart w:id="596" w:name="_Toc20880"/>
      <w:bookmarkStart w:id="597" w:name="_Toc23233"/>
      <w:bookmarkStart w:id="598" w:name="_Toc11342"/>
      <w:bookmarkStart w:id="599" w:name="_Toc9599"/>
      <w:bookmarkStart w:id="600" w:name="_Toc5630"/>
      <w:bookmarkStart w:id="601" w:name="_Toc26800"/>
      <w:bookmarkStart w:id="602" w:name="_Toc9314"/>
      <w:bookmarkStart w:id="603" w:name="_Toc10695"/>
      <w:bookmarkStart w:id="604" w:name="_Toc28474"/>
      <w:bookmarkStart w:id="605" w:name="_Toc28446"/>
      <w:bookmarkStart w:id="606" w:name="_Toc10558"/>
      <w:bookmarkStart w:id="607" w:name="_Toc32451"/>
      <w:bookmarkStart w:id="608" w:name="_Toc3050"/>
      <w:bookmarkStart w:id="609" w:name="_Toc7052"/>
      <w:bookmarkStart w:id="610" w:name="_Toc20782"/>
      <w:bookmarkStart w:id="611" w:name="_Toc16353"/>
      <w:bookmarkStart w:id="612" w:name="_Toc20688"/>
      <w:bookmarkStart w:id="613" w:name="_Toc11479"/>
      <w:bookmarkStart w:id="614" w:name="_Toc29366"/>
      <w:r>
        <w:rPr>
          <w:rFonts w:ascii="Times New Roman" w:hAnsi="Times New Roman" w:cs="Times New Roman"/>
          <w:color w:val="000000" w:themeColor="text1"/>
          <w:szCs w:val="32"/>
          <w14:textFill>
            <w14:solidFill>
              <w14:schemeClr w14:val="tx1"/>
            </w14:solidFill>
          </w14:textFill>
        </w:rPr>
        <w:t xml:space="preserve">第二节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培育壮大新兴优势产业</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以产业高端、产品终端、科技尖端、服务前端为导向，培育壮大先进装备制造、显示功能材料、循环经济、中医药、互联网经济等战略性新兴产业，推动战略性新兴产业跨越发展。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bookmarkStart w:id="615" w:name="_Hlk56460304"/>
      <w:r>
        <w:rPr>
          <w:rFonts w:ascii="Times New Roman" w:hAnsi="Times New Roman" w:eastAsia="仿宋_GB2312" w:cs="Times New Roman"/>
          <w:b/>
          <w:bCs/>
          <w:color w:val="000000" w:themeColor="text1"/>
          <w:sz w:val="32"/>
          <w:szCs w:val="32"/>
          <w14:textFill>
            <w14:solidFill>
              <w14:schemeClr w14:val="tx1"/>
            </w14:solidFill>
          </w14:textFill>
        </w:rPr>
        <w:t>先进装备制造。</w:t>
      </w:r>
      <w:r>
        <w:rPr>
          <w:rFonts w:ascii="Times New Roman" w:hAnsi="Times New Roman" w:eastAsia="仿宋_GB2312" w:cs="Times New Roman"/>
          <w:color w:val="000000" w:themeColor="text1"/>
          <w:sz w:val="32"/>
          <w:szCs w:val="32"/>
          <w14:textFill>
            <w14:solidFill>
              <w14:schemeClr w14:val="tx1"/>
            </w14:solidFill>
          </w14:textFill>
        </w:rPr>
        <w:t>以三一专汽、邵纺机、维克液压、通达汽零、兴达精密、亚太汽零、亚太宝隆、亿利金属、永锐电子、帝立德智能制造等骨干企业为依托，加快推进三一配套产业园、三一智能生态汽车城、亚太汽车零部件、液压产业园和智能智造（工业4.0）产业小镇等重大项目建设，着力提升装备制造技术水平、智能化水平和核心竞争力，着力构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四机（纺织机械、水轮机械、农业机械、提升机械）、两车（工程搅拌车、环卫专用车）、两基础（基础液压元件和成套液压系统、风机和空调机组及通风配套设备）、一器（低空航空器）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的产业支撑体系，建设在中部地区具有较强影响力的装备制造研发生产基地。到2025年，实现总产值过700亿元。</w:t>
      </w:r>
    </w:p>
    <w:p>
      <w:pPr>
        <w:widowControl w:val="0"/>
        <w:adjustRightInd/>
        <w:snapToGrid/>
        <w:spacing w:before="0" w:after="0" w:line="560" w:lineRule="exact"/>
        <w:ind w:firstLine="643"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显示功能材料</w:t>
      </w:r>
      <w:bookmarkEnd w:id="615"/>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以彩虹特种玻璃、讯源电子、北创光电、创亿达实业、佧腾科技、凯通电子、世荣电子</w:t>
      </w:r>
      <w:r>
        <w:rPr>
          <w:rFonts w:hint="eastAsia" w:ascii="Times New Roman" w:hAnsi="Times New Roman" w:eastAsia="仿宋_GB2312" w:cs="Times New Roman"/>
          <w:color w:val="000000" w:themeColor="text1"/>
          <w:sz w:val="32"/>
          <w:szCs w:val="32"/>
          <w14:textFill>
            <w14:solidFill>
              <w14:schemeClr w14:val="tx1"/>
            </w14:solidFill>
          </w14:textFill>
        </w:rPr>
        <w:t>、金鑫电子</w:t>
      </w:r>
      <w:r>
        <w:rPr>
          <w:rFonts w:ascii="Times New Roman" w:hAnsi="Times New Roman" w:eastAsia="仿宋_GB2312" w:cs="Times New Roman"/>
          <w:color w:val="000000" w:themeColor="text1"/>
          <w:sz w:val="32"/>
          <w:szCs w:val="32"/>
          <w14:textFill>
            <w14:solidFill>
              <w14:schemeClr w14:val="tx1"/>
            </w14:solidFill>
          </w14:textFill>
        </w:rPr>
        <w:t>等企业为依托，加快推进特种玻璃研究院、电子信息产业园、东盟产业园等项目建设，重点承接发展显示功能材料上下游产业，大力发展显示功能材料产业集群，打造全产业链的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中国（邵阳）特种玻璃谷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。到2025年，实现总产值过500亿元。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循环经济。</w:t>
      </w:r>
      <w:r>
        <w:rPr>
          <w:rFonts w:ascii="Times New Roman" w:hAnsi="Times New Roman" w:eastAsia="仿宋_GB2312" w:cs="Times New Roman"/>
          <w:color w:val="000000" w:themeColor="text1"/>
          <w:sz w:val="32"/>
          <w:szCs w:val="32"/>
          <w14:textFill>
            <w14:solidFill>
              <w14:schemeClr w14:val="tx1"/>
            </w14:solidFill>
          </w14:textFill>
        </w:rPr>
        <w:t>以鸿远金属、桑德恒誉、众科新材料、国恩塑业、同方化纤等骨干企业为龙头，构建以新邵雀塘再生资源产业园为主体、邵阳县塑胶科技产业园为补充的再生资源循环利用全产业链；通过接通断链、孤链，做粗产业链，加快形成集综合服务、交易物流、废旧塑胶回收利用、废旧金属（家电）回收利用、废纸回收利用、汽车拆解、产品深加工为一体的循环经济产业集群，发展以企业循环式生产、园区循环式发展、产业循环式组合、社会循环式消费为主要内容的循环经济发展模式，构建覆盖全社会的资源循环利用体系。努力打造大湘西地区承接循环经济产业转移新高地。到2025年，实现总产值过500亿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中医药。</w:t>
      </w:r>
      <w:r>
        <w:rPr>
          <w:rFonts w:hint="eastAsia" w:ascii="Times New Roman" w:hAnsi="Times New Roman" w:eastAsia="仿宋_GB2312" w:cs="Times New Roman"/>
          <w:color w:val="000000" w:themeColor="text1"/>
          <w:sz w:val="32"/>
          <w:szCs w:val="32"/>
          <w14:textFill>
            <w14:solidFill>
              <w14:schemeClr w14:val="tx1"/>
            </w14:solidFill>
          </w14:textFill>
        </w:rPr>
        <w:t>加快编制</w:t>
      </w:r>
      <w:r>
        <w:rPr>
          <w:rFonts w:ascii="Times New Roman" w:hAnsi="Times New Roman" w:eastAsia="仿宋_GB2312" w:cs="Times New Roman"/>
          <w:color w:val="000000" w:themeColor="text1"/>
          <w:sz w:val="32"/>
          <w:szCs w:val="32"/>
          <w14:textFill>
            <w14:solidFill>
              <w14:schemeClr w14:val="tx1"/>
            </w14:solidFill>
          </w14:textFill>
        </w:rPr>
        <w:t>中医药发展规划，以湘中制药、玉新药业、盛世丰花、中南制药、科瑞生物、松龄堂</w:t>
      </w:r>
      <w:r>
        <w:rPr>
          <w:rFonts w:hint="eastAsia" w:ascii="Times New Roman" w:hAnsi="Times New Roman" w:eastAsia="仿宋_GB2312" w:cs="Times New Roman"/>
          <w:color w:val="000000" w:themeColor="text1"/>
          <w:sz w:val="32"/>
          <w:szCs w:val="32"/>
          <w14:textFill>
            <w14:solidFill>
              <w14:schemeClr w14:val="tx1"/>
            </w14:solidFill>
          </w14:textFill>
        </w:rPr>
        <w:t>、天宏药业</w:t>
      </w:r>
      <w:r>
        <w:rPr>
          <w:rFonts w:ascii="Times New Roman" w:hAnsi="Times New Roman" w:eastAsia="仿宋_GB2312" w:cs="Times New Roman"/>
          <w:color w:val="000000" w:themeColor="text1"/>
          <w:sz w:val="32"/>
          <w:szCs w:val="32"/>
          <w14:textFill>
            <w14:solidFill>
              <w14:schemeClr w14:val="tx1"/>
            </w14:solidFill>
          </w14:textFill>
        </w:rPr>
        <w:t>等重点企业为龙头，重点推进邵东生物医药生产线、廉桥医药工业科技园、隆回大健康产业园、新邵医疗健康产业园、隆回金银花、龙牙百合产业化、邵东玉竹等项目建设。规划建设中药材种苗基地，瞄准国内外生物医药领域的前沿方向，推进与国内外大型企业或团队战略合作，加强应用技术研究，加强中成药新药开发和质量控制及甾体激素、抗癫痫、抗精神病化学药物的研发与生产，实现关键共性技术的重大突破，抢占产业发展制高点，推动新医药产业快速发展，打造湘中湘西南中医药产业园。到2025年，实现总产值过300亿元。</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互联网经济。</w:t>
      </w:r>
      <w:r>
        <w:rPr>
          <w:rFonts w:ascii="Times New Roman" w:hAnsi="Times New Roman" w:eastAsia="仿宋_GB2312" w:cs="Times New Roman"/>
          <w:color w:val="000000" w:themeColor="text1"/>
          <w:sz w:val="32"/>
          <w:szCs w:val="32"/>
          <w14:textFill>
            <w14:solidFill>
              <w14:schemeClr w14:val="tx1"/>
            </w14:solidFill>
          </w14:textFill>
        </w:rPr>
        <w:t>以中国电子系统技术、邵阳百竞科技、腾创电子商务等企业为依托，重点推进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数字邵阳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新经济产业园、中工硅谷、智慧谷、大数据湖等项目建设。聚焦无人工厂、工业互联网、远程办公、在线文娱、在线教育、在线研发设计、在线医疗等领域，加快推进应用场景开放拓展、品牌网络营销推广、数据资源共享开放，推动互联网产业飞速发展。到2025年，实现总产值过500亿元。</w:t>
      </w:r>
    </w:p>
    <w:p>
      <w:pPr>
        <w:widowControl w:val="0"/>
        <w:adjustRightInd/>
        <w:snapToGrid/>
        <w:spacing w:before="0" w:after="193" w:afterLines="5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pStyle w:val="2"/>
      </w:pP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rPr>
          <w:trHeight w:val="52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adjustRightInd/>
              <w:snapToGrid/>
              <w:spacing w:before="0" w:after="0" w:line="579" w:lineRule="exact"/>
              <w:ind w:firstLine="640" w:firstLineChars="20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专栏5：优势产业链培育行动</w:t>
            </w:r>
          </w:p>
        </w:tc>
      </w:tr>
      <w:tr>
        <w:tblPrEx>
          <w:tblCellMar>
            <w:top w:w="0" w:type="dxa"/>
            <w:left w:w="0" w:type="dxa"/>
            <w:bottom w:w="0" w:type="dxa"/>
            <w:right w:w="0" w:type="dxa"/>
          </w:tblCellMar>
        </w:tblPrEx>
        <w:trPr>
          <w:trHeight w:val="9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先进装备制造：</w:t>
            </w:r>
            <w:r>
              <w:rPr>
                <w:rFonts w:ascii="Times New Roman" w:hAnsi="Times New Roman" w:eastAsia="宋体" w:cs="Times New Roman"/>
                <w:color w:val="000000" w:themeColor="text1"/>
                <w:szCs w:val="28"/>
                <w14:textFill>
                  <w14:solidFill>
                    <w14:schemeClr w14:val="tx1"/>
                  </w14:solidFill>
                </w14:textFill>
              </w:rPr>
              <w:t>提质升级工程机械、纺织机械、液压基础件、汽车及零部件、电气设备制造等产业，实现生产换线、机器换人、设备换芯，加快引进电力装备、能源装备、风电装备、专用设备等一批大型骨干企业，拓宽发展领域，夯实发展基础。加快引进科技研发、咨询服务、机械加工、精密铸造、精密装造等配套服务企业，形成门类齐全、配套完备的装备制造产业基地。</w:t>
            </w:r>
          </w:p>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显示功能材料：</w:t>
            </w:r>
            <w:r>
              <w:rPr>
                <w:rFonts w:ascii="Times New Roman" w:hAnsi="Times New Roman" w:eastAsia="宋体" w:cs="Times New Roman"/>
                <w:color w:val="000000" w:themeColor="text1"/>
                <w:szCs w:val="28"/>
                <w14:textFill>
                  <w14:solidFill>
                    <w14:schemeClr w14:val="tx1"/>
                  </w14:solidFill>
                </w14:textFill>
              </w:rPr>
              <w:t>积极引进元器件、配件、智能终端生产企业，加快建设一心一带两区六基地（一心：特种玻璃谷（研发中心）；一带：生态绿带；两区：生活配套区和产业配套区；六基地：盖板玻璃基地、交通应用玻璃基地、智能家居玻璃基地、电子信息应用玻璃基地、光学玻璃基地、基板玻璃基地），建成以特种玻璃（触屏盖板玻璃、半导体玻璃、高纯度光纤玻璃、生物医药玻璃、3D玻璃、军用玻璃等）和触控模组、触控移动终端以及相关新型复合材料研发和应用为特色、具有国际先进水平的显示功能材料产业集群。</w:t>
            </w:r>
          </w:p>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循环经济：</w:t>
            </w:r>
            <w:r>
              <w:rPr>
                <w:rFonts w:ascii="Times New Roman" w:hAnsi="Times New Roman" w:eastAsia="宋体" w:cs="Times New Roman"/>
                <w:color w:val="000000" w:themeColor="text1"/>
                <w:szCs w:val="28"/>
                <w14:textFill>
                  <w14:solidFill>
                    <w14:schemeClr w14:val="tx1"/>
                  </w14:solidFill>
                </w14:textFill>
              </w:rPr>
              <w:t>加快引进再生铜、再生铝、再生塑料、再生不锈钢、再生锌、再生铅、再生轮胎、再制造等产业，打造集回收、加工、研发、应用于一体的全产业链条，举办全国资源循环利用博览会，支持雀塘循环经济产业园创建国家级循环经济产业园。</w:t>
            </w:r>
          </w:p>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中医药：</w:t>
            </w:r>
            <w:r>
              <w:rPr>
                <w:rFonts w:ascii="Times New Roman" w:hAnsi="Times New Roman" w:eastAsia="宋体" w:cs="Times New Roman"/>
                <w:color w:val="000000" w:themeColor="text1"/>
                <w:szCs w:val="28"/>
                <w14:textFill>
                  <w14:solidFill>
                    <w14:schemeClr w14:val="tx1"/>
                  </w14:solidFill>
                </w14:textFill>
              </w:rPr>
              <w:t>充分利用</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南国药都</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中国金银花之乡</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孙思邈药王文化</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三块金字招牌，引进原料药、中间体、药品包装、中成药、保健品、中药饮品等上下游配套企业以及中医药检验检测和交易中心，加速形成中国最大的集科研、种植、加工、制造、销售、服务于一体的中医药全产业链条，打造享誉全国的中医药研发生产基地。</w:t>
            </w:r>
          </w:p>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互联网经济：</w:t>
            </w:r>
            <w:r>
              <w:rPr>
                <w:rFonts w:ascii="Times New Roman" w:hAnsi="Times New Roman" w:eastAsia="宋体" w:cs="Times New Roman"/>
                <w:color w:val="000000" w:themeColor="text1"/>
                <w:szCs w:val="28"/>
                <w14:textFill>
                  <w14:solidFill>
                    <w14:schemeClr w14:val="tx1"/>
                  </w14:solidFill>
                </w14:textFill>
              </w:rPr>
              <w:t>发展网络新媒体、网络动漫及游戏、数字文旅等互联网产业，进一步完善光纤网络及5G移动网络基础设施，大力引进华为大数据、阿里金融等互联网品牌企业，促进互联网与工业、农业、交通、移动电商、生活服务业等领域深度融合。</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616" w:name="_Toc11796"/>
      <w:bookmarkStart w:id="617" w:name="_Toc22671"/>
      <w:bookmarkStart w:id="618" w:name="_Toc26030"/>
      <w:bookmarkStart w:id="619" w:name="_Toc15506"/>
      <w:bookmarkStart w:id="620" w:name="_Toc3455"/>
      <w:bookmarkStart w:id="621" w:name="_Toc17992"/>
      <w:bookmarkStart w:id="622" w:name="_Toc29428"/>
      <w:bookmarkStart w:id="623" w:name="_Toc11607"/>
      <w:bookmarkStart w:id="624" w:name="_Toc21104"/>
      <w:bookmarkStart w:id="625" w:name="_Toc24883"/>
      <w:bookmarkStart w:id="626" w:name="_Toc7825"/>
      <w:bookmarkStart w:id="627" w:name="_Toc15352"/>
      <w:bookmarkStart w:id="628" w:name="_Toc31832"/>
      <w:bookmarkStart w:id="629" w:name="_Toc4975"/>
      <w:bookmarkStart w:id="630" w:name="_Toc22409"/>
      <w:bookmarkStart w:id="631" w:name="_Toc10602"/>
      <w:bookmarkStart w:id="632" w:name="_Toc17366"/>
      <w:bookmarkStart w:id="633" w:name="_Toc10461"/>
      <w:bookmarkStart w:id="634" w:name="_Toc4216"/>
      <w:bookmarkStart w:id="635" w:name="_Toc13217"/>
      <w:bookmarkStart w:id="636" w:name="_Toc14344"/>
      <w:bookmarkStart w:id="637" w:name="_Toc15239"/>
      <w:bookmarkStart w:id="638" w:name="_Toc26660"/>
      <w:bookmarkStart w:id="639" w:name="_Toc31275"/>
      <w:bookmarkStart w:id="640" w:name="_Toc30823"/>
      <w:bookmarkStart w:id="641" w:name="_Toc30289"/>
      <w:bookmarkStart w:id="642" w:name="_Toc25881"/>
      <w:bookmarkStart w:id="643" w:name="_Toc30177"/>
      <w:bookmarkStart w:id="644" w:name="_Toc26044"/>
      <w:bookmarkStart w:id="645" w:name="_Toc31796"/>
      <w:bookmarkStart w:id="646" w:name="_Toc29173"/>
      <w:bookmarkStart w:id="647" w:name="_Toc17279"/>
      <w:bookmarkStart w:id="648" w:name="_Toc3279"/>
      <w:bookmarkStart w:id="649" w:name="_Toc15724"/>
      <w:bookmarkStart w:id="650" w:name="_Toc14215"/>
      <w:bookmarkStart w:id="651" w:name="_Toc23426"/>
      <w:bookmarkStart w:id="652" w:name="_Toc31699"/>
      <w:bookmarkStart w:id="653" w:name="_Toc23534"/>
      <w:r>
        <w:rPr>
          <w:rFonts w:ascii="Times New Roman" w:hAnsi="Times New Roman" w:cs="Times New Roman"/>
          <w:color w:val="000000" w:themeColor="text1"/>
          <w:szCs w:val="32"/>
          <w14:textFill>
            <w14:solidFill>
              <w14:schemeClr w14:val="tx1"/>
            </w14:solidFill>
          </w14:textFill>
        </w:rPr>
        <w:t>第三节 促进传统产业转型升级</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特色农产品加工、智能家居家电、新型建材等产业为重点，实施传统产业改造提升行动，运用绿色化、信息化、智能化手段，推动传统优势产业转型升级，支持企业建设智能生产线、智能车间、智能工厂，实现产品技术、工艺装备、能效环保等水平全面提升。</w:t>
      </w:r>
    </w:p>
    <w:p>
      <w:pPr>
        <w:widowControl w:val="0"/>
        <w:adjustRightInd/>
        <w:snapToGrid/>
        <w:spacing w:before="0" w:after="193" w:afterLines="50" w:line="560" w:lineRule="exact"/>
        <w:ind w:firstLine="643" w:firstLineChars="200"/>
        <w:jc w:val="both"/>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特色农产品加工。</w:t>
      </w:r>
      <w:r>
        <w:rPr>
          <w:rFonts w:ascii="Times New Roman" w:hAnsi="Times New Roman" w:eastAsia="仿宋_GB2312" w:cs="Times New Roman"/>
          <w:color w:val="000000" w:themeColor="text1"/>
          <w:sz w:val="32"/>
          <w:szCs w:val="32"/>
          <w14:textFill>
            <w14:solidFill>
              <w14:schemeClr w14:val="tx1"/>
            </w14:solidFill>
          </w14:textFill>
        </w:rPr>
        <w:t>以大祥国家农业科技园、新邵、双清省级农业科技园以及现代农业产业园和特色产业园为依托，按照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一县一特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产业布局，着力建设一批全省全国闻名的农产品基地，引进精深加工龙头企业，大力发展楠竹、油茶、茶叶、乳制品、果蔬制品、肉禽制品、卤制食品、玫瑰花等特色产业。以湘窖酒业、南山乳业、军杰食品、</w:t>
      </w:r>
      <w:r>
        <w:rPr>
          <w:rFonts w:hint="eastAsia" w:ascii="Times New Roman" w:hAnsi="Times New Roman" w:eastAsia="仿宋_GB2312" w:cs="Times New Roman"/>
          <w:color w:val="000000" w:themeColor="text1"/>
          <w:sz w:val="32"/>
          <w:szCs w:val="32"/>
          <w14:textFill>
            <w14:solidFill>
              <w14:schemeClr w14:val="tx1"/>
            </w14:solidFill>
          </w14:textFill>
        </w:rPr>
        <w:t>贵太太油茶、</w:t>
      </w:r>
      <w:r>
        <w:rPr>
          <w:rFonts w:ascii="Times New Roman" w:hAnsi="Times New Roman" w:eastAsia="仿宋_GB2312" w:cs="Times New Roman"/>
          <w:color w:val="000000" w:themeColor="text1"/>
          <w:sz w:val="32"/>
          <w:szCs w:val="32"/>
          <w14:textFill>
            <w14:solidFill>
              <w14:schemeClr w14:val="tx1"/>
            </w14:solidFill>
          </w14:textFill>
        </w:rPr>
        <w:t>口味王集团等重点企业为龙头，推进绿色食品生产标准体系建设，完善食品加工质检、食品安全等配套支撑，创新发展绿色食品、时尚食品、功能特色食品，打造邵阳特色食品品牌，树立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邵酒</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文化品牌。大力发展楠竹产业，以丰源科技、佰龙竹木、中集新材料、湘南竹业、银山竹业等重点企业为龙头，推动由低端楠竹产品向竹原纤维、竹缠绕复合压力管道、竹活性炭、重组竹等高端产品转变。加快建设冷链、冷藏等大宗农产品物流交易中心，完善电子商务平台交易，推动农业丰产、营养素提取、保鲜等技术升级，提高行业现代工业化水平，建设全国知名的特色农产品加工贸易基地。到2025年，力争实现总产值1000亿元。</w:t>
      </w:r>
    </w:p>
    <w:tbl>
      <w:tblPr>
        <w:tblStyle w:val="14"/>
        <w:tblW w:w="5000" w:type="pct"/>
        <w:tblInd w:w="0" w:type="dxa"/>
        <w:tblLayout w:type="autofit"/>
        <w:tblCellMar>
          <w:top w:w="0" w:type="dxa"/>
          <w:left w:w="0" w:type="dxa"/>
          <w:bottom w:w="0" w:type="dxa"/>
          <w:right w:w="0" w:type="dxa"/>
        </w:tblCellMar>
      </w:tblPr>
      <w:tblGrid>
        <w:gridCol w:w="8868"/>
      </w:tblGrid>
      <w:tr>
        <w:trPr>
          <w:trHeight w:val="23"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adjustRightInd/>
              <w:snapToGrid/>
              <w:spacing w:before="0" w:after="0" w:line="579" w:lineRule="exact"/>
              <w:ind w:firstLine="640" w:firstLineChars="200"/>
              <w:jc w:val="center"/>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专栏6：特色农产品加工发展行动</w:t>
            </w:r>
          </w:p>
        </w:tc>
      </w:tr>
      <w:tr>
        <w:tblPrEx>
          <w:tblCellMar>
            <w:top w:w="0" w:type="dxa"/>
            <w:left w:w="0" w:type="dxa"/>
            <w:bottom w:w="0" w:type="dxa"/>
            <w:right w:w="0" w:type="dxa"/>
          </w:tblCellMar>
        </w:tblPrEx>
        <w:trPr>
          <w:trHeight w:val="23"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卤制品：</w:t>
            </w:r>
            <w:r>
              <w:rPr>
                <w:rFonts w:ascii="Times New Roman" w:hAnsi="Times New Roman" w:eastAsia="宋体" w:cs="Times New Roman"/>
                <w:color w:val="000000" w:themeColor="text1"/>
                <w:szCs w:val="28"/>
                <w14:textFill>
                  <w14:solidFill>
                    <w14:schemeClr w14:val="tx1"/>
                  </w14:solidFill>
                </w14:textFill>
              </w:rPr>
              <w:t>以武冈为核心，传承历史悠久特色卤制品文化，引进豆制品、休闲食品加工企业，不断推进产品升级和生产工艺改良，加快形成绿色风味卤制品特色产业集群。</w:t>
            </w:r>
          </w:p>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油茶：</w:t>
            </w:r>
            <w:r>
              <w:rPr>
                <w:rFonts w:ascii="Times New Roman" w:hAnsi="Times New Roman" w:eastAsia="宋体" w:cs="Times New Roman"/>
                <w:color w:val="000000" w:themeColor="text1"/>
                <w:szCs w:val="28"/>
                <w14:textFill>
                  <w14:solidFill>
                    <w14:schemeClr w14:val="tx1"/>
                  </w14:solidFill>
                </w14:textFill>
              </w:rPr>
              <w:t>以邵阳县为核心，加大油茶生产企业扶持力度，引进油茶精深加工、生态有机肥等配套企业，支持邵阳县打造</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中国油茶第一县</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w:t>
            </w:r>
          </w:p>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乳制品：</w:t>
            </w:r>
            <w:r>
              <w:rPr>
                <w:rFonts w:ascii="Times New Roman" w:hAnsi="Times New Roman" w:eastAsia="宋体" w:cs="Times New Roman"/>
                <w:color w:val="000000" w:themeColor="text1"/>
                <w:szCs w:val="28"/>
                <w14:textFill>
                  <w14:solidFill>
                    <w14:schemeClr w14:val="tx1"/>
                  </w14:solidFill>
                </w14:textFill>
              </w:rPr>
              <w:t>以城步为核心，引进国内外奶粉及液体奶制品生产企业，延长产业链，拓宽产品门类，打造中部地区重要乳制品产业基地。</w:t>
            </w:r>
          </w:p>
          <w:p>
            <w:pPr>
              <w:adjustRightInd/>
              <w:snapToGrid/>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楠竹：</w:t>
            </w:r>
            <w:r>
              <w:rPr>
                <w:rFonts w:ascii="Times New Roman" w:hAnsi="Times New Roman" w:eastAsia="宋体" w:cs="Times New Roman"/>
                <w:color w:val="000000" w:themeColor="text1"/>
                <w:szCs w:val="28"/>
                <w14:textFill>
                  <w14:solidFill>
                    <w14:schemeClr w14:val="tx1"/>
                  </w14:solidFill>
                </w14:textFill>
              </w:rPr>
              <w:t>以绥宁、新宁为核心，引进竹制品餐具、工艺品、环保建材等生产企业，打造有地域特色的楠竹精深加工绿色产业集群，建设全国知名的楠竹新材料产业基地。</w:t>
            </w:r>
          </w:p>
          <w:p>
            <w:pPr>
              <w:adjustRightInd/>
              <w:snapToGrid/>
              <w:spacing w:before="0" w:after="0" w:line="500" w:lineRule="exact"/>
              <w:ind w:firstLine="562"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果蔬制品：</w:t>
            </w:r>
            <w:r>
              <w:rPr>
                <w:rFonts w:ascii="Times New Roman" w:hAnsi="Times New Roman" w:eastAsia="宋体" w:cs="Times New Roman"/>
                <w:color w:val="000000" w:themeColor="text1"/>
                <w:szCs w:val="28"/>
                <w14:textFill>
                  <w14:solidFill>
                    <w14:schemeClr w14:val="tx1"/>
                  </w14:solidFill>
                </w14:textFill>
              </w:rPr>
              <w:t>以崀山脐橙、雪峰蜜桔、高山蔬菜等特色优质农产品为重点，加快引进现代农业企业，推进生物资源产品由初加工向深加工、低端向高端、低附加值向高附加值转变，努力打造中南地区优质农副产品基地。</w:t>
            </w:r>
          </w:p>
        </w:tc>
      </w:tr>
    </w:tbl>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智能家居家电。</w:t>
      </w:r>
      <w:r>
        <w:rPr>
          <w:rFonts w:ascii="Times New Roman" w:hAnsi="Times New Roman" w:eastAsia="仿宋_GB2312" w:cs="Times New Roman"/>
          <w:color w:val="000000" w:themeColor="text1"/>
          <w:sz w:val="32"/>
          <w:szCs w:val="32"/>
          <w14:textFill>
            <w14:solidFill>
              <w14:schemeClr w14:val="tx1"/>
            </w14:solidFill>
          </w14:textFill>
        </w:rPr>
        <w:t>以拓浦精工、慕容集团等骨干企业为龙头，积极引进人工智能、智能制造等领域上下游产业链，加速推进工业4.0智能制造小镇、邵东智谷、中工硅谷、智能家居产业园、绿色家居产业园、新邵智能制造产业园等重点项目建设，全面提升智能家居家电创新、研发、生产能力，打造中南地区领先的智能家居家电产业集群。到2025年，实现总产值过200亿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时尚用品。</w:t>
      </w:r>
      <w:r>
        <w:rPr>
          <w:rFonts w:ascii="Times New Roman" w:hAnsi="Times New Roman" w:eastAsia="仿宋_GB2312" w:cs="Times New Roman"/>
          <w:color w:val="000000" w:themeColor="text1"/>
          <w:sz w:val="32"/>
          <w:szCs w:val="32"/>
          <w14:textFill>
            <w14:solidFill>
              <w14:schemeClr w14:val="tx1"/>
            </w14:solidFill>
          </w14:textFill>
        </w:rPr>
        <w:t>以连泰鞋业、阳光发品、醇龙箱包、和亚运动、圣菲达服饰、昌冠隆体育等企业为龙头，加快推进邵阳发制品产业园建设，大力发展发制品、体育用品、裘革制品、鞋帽、箱包、精品服饰等特色产业，发展具有邵阳特色的轻工产业集群，实现产业规模化集约化发展，打造全省重要的轻工产业集群。到2025年，实现总产值过600亿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小五金及打火机。</w:t>
      </w:r>
      <w:r>
        <w:rPr>
          <w:rFonts w:ascii="Times New Roman" w:hAnsi="Times New Roman" w:eastAsia="仿宋_GB2312" w:cs="Times New Roman"/>
          <w:color w:val="000000" w:themeColor="text1"/>
          <w:sz w:val="32"/>
          <w:szCs w:val="32"/>
          <w14:textFill>
            <w14:solidFill>
              <w14:schemeClr w14:val="tx1"/>
            </w14:solidFill>
          </w14:textFill>
        </w:rPr>
        <w:t xml:space="preserve">以仙槎桥镇五金产业园为核心，以东方神鹰、小巨人智能锻造、邵峰新材料、瀚达工具之家等五金工具、金属制品骨干企业为依托，坚持走特色化发展道路，着力实施 </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专精特新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工程，全面提升产品自主创新设计能力。强化品牌意识，注重品牌培育和营销，积极创建一批自主的国际知名品牌，努力打造全国最大、国际知名的小五金与打火机生产基地。到2025年，实现总产值过700亿元。</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新型建材。</w:t>
      </w:r>
      <w:r>
        <w:rPr>
          <w:rFonts w:ascii="Times New Roman" w:hAnsi="Times New Roman" w:eastAsia="仿宋_GB2312" w:cs="Times New Roman"/>
          <w:color w:val="000000" w:themeColor="text1"/>
          <w:sz w:val="32"/>
          <w:szCs w:val="32"/>
          <w14:textFill>
            <w14:solidFill>
              <w14:schemeClr w14:val="tx1"/>
            </w14:solidFill>
          </w14:textFill>
        </w:rPr>
        <w:t>以为百水泥、湘木豪廷、广信科技、奥托科技、孚瓯科技</w:t>
      </w:r>
      <w:r>
        <w:rPr>
          <w:rFonts w:hint="eastAsia" w:ascii="Times New Roman" w:hAnsi="Times New Roman" w:eastAsia="仿宋_GB2312" w:cs="Times New Roman"/>
          <w:color w:val="000000" w:themeColor="text1"/>
          <w:sz w:val="32"/>
          <w:szCs w:val="32"/>
          <w14:textFill>
            <w14:solidFill>
              <w14:schemeClr w14:val="tx1"/>
            </w14:solidFill>
          </w14:textFill>
        </w:rPr>
        <w:t>、云峰海螺、漆雕氏</w:t>
      </w:r>
      <w:r>
        <w:rPr>
          <w:rFonts w:ascii="Times New Roman" w:hAnsi="Times New Roman" w:eastAsia="仿宋_GB2312" w:cs="Times New Roman"/>
          <w:color w:val="000000" w:themeColor="text1"/>
          <w:sz w:val="32"/>
          <w:szCs w:val="32"/>
          <w14:textFill>
            <w14:solidFill>
              <w14:schemeClr w14:val="tx1"/>
            </w14:solidFill>
          </w14:textFill>
        </w:rPr>
        <w:t>等重点企业为龙头，加快推进湖南超/特高压绝缘材料及特种纤维制品产业园、TPU新型环保材料生产基地、特丽斯新型环保材料制造基地等项目建设。鼓励企业通过兼并、联合、重组等方式，提高产业集中度，培养建材领域有较强竞争力的大型骨干企业集团，做强做优耐火材料、高分子化工材料、新能源及节能环保材料、纳米材料等领域的技术开发和市场开拓。到2025年，实现总产值过300亿元。</w:t>
      </w:r>
    </w:p>
    <w:p>
      <w:pPr>
        <w:pStyle w:val="2"/>
        <w:rPr>
          <w:rFonts w:ascii="Times New Roman" w:hAnsi="Times New Roman" w:cs="Times New Roman"/>
        </w:rPr>
      </w:pP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adjustRightInd/>
              <w:snapToGrid/>
              <w:spacing w:before="0" w:after="0" w:line="579" w:lineRule="exact"/>
              <w:jc w:val="center"/>
              <w:rPr>
                <w:rFonts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专栏7：传统产业改造提升行动</w:t>
            </w:r>
          </w:p>
        </w:tc>
      </w:tr>
      <w:tr>
        <w:tblPrEx>
          <w:tblCellMar>
            <w:top w:w="0" w:type="dxa"/>
            <w:left w:w="0" w:type="dxa"/>
            <w:bottom w:w="0" w:type="dxa"/>
            <w:right w:w="0" w:type="dxa"/>
          </w:tblCellMar>
        </w:tblPrEx>
        <w:trPr>
          <w:trHeight w:val="9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智能家居家电：</w:t>
            </w:r>
            <w:r>
              <w:rPr>
                <w:rFonts w:ascii="Times New Roman" w:hAnsi="Times New Roman" w:eastAsia="宋体" w:cs="Times New Roman"/>
                <w:color w:val="000000" w:themeColor="text1"/>
                <w:szCs w:val="28"/>
                <w14:textFill>
                  <w14:solidFill>
                    <w14:schemeClr w14:val="tx1"/>
                  </w14:solidFill>
                </w14:textFill>
              </w:rPr>
              <w:t>积极引进上游传感器、智能芯片硬件生产企业、人工智能操作系统、电器操作系统软件开发运营企业，同时大力引进智能化系统、设备领域优秀企业和高端家居生产企业，加快形成产业链核心；加快建设5G、WIFI等信息网络平台，为智能家居产业壮大提供外围信息技术支持。</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时尚用品：</w:t>
            </w:r>
            <w:r>
              <w:rPr>
                <w:rFonts w:ascii="Times New Roman" w:hAnsi="Times New Roman" w:eastAsia="宋体" w:cs="Times New Roman"/>
                <w:color w:val="000000" w:themeColor="text1"/>
                <w:szCs w:val="28"/>
                <w14:textFill>
                  <w14:solidFill>
                    <w14:schemeClr w14:val="tx1"/>
                  </w14:solidFill>
                </w14:textFill>
              </w:rPr>
              <w:t>积极引进国内品牌服饰、发制品、休闲帽品、针纺织品、创意亮化灯具、品牌眼镜、皮具箱包、新潮饰品生产企业，不断引入时尚潮流元素，扩大产品门类和产业规模，加快形成市场分析、时尚发布、产品展销、信息交流等服务网络，打造邵阳美丽时尚之城。</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小五金及打火机：</w:t>
            </w:r>
            <w:r>
              <w:rPr>
                <w:rFonts w:ascii="Times New Roman" w:hAnsi="Times New Roman" w:eastAsia="宋体" w:cs="Times New Roman"/>
                <w:color w:val="000000" w:themeColor="text1"/>
                <w:szCs w:val="28"/>
                <w14:textFill>
                  <w14:solidFill>
                    <w14:schemeClr w14:val="tx1"/>
                  </w14:solidFill>
                </w14:textFill>
              </w:rPr>
              <w:t>积极引进相关金属原材料加工配套企业及国内外知名五金工具生产企业，完善全产业链条，打造享誉全球的小五金研发、生产基地。</w:t>
            </w:r>
          </w:p>
          <w:p>
            <w:pPr>
              <w:adjustRightInd/>
              <w:snapToGrid/>
              <w:spacing w:before="0" w:after="0" w:line="520" w:lineRule="exact"/>
              <w:ind w:firstLine="562" w:firstLineChars="200"/>
              <w:jc w:val="both"/>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新型建材：</w:t>
            </w:r>
            <w:r>
              <w:rPr>
                <w:rFonts w:ascii="Times New Roman" w:hAnsi="Times New Roman" w:eastAsia="宋体" w:cs="Times New Roman"/>
                <w:color w:val="000000" w:themeColor="text1"/>
                <w:szCs w:val="28"/>
                <w14:textFill>
                  <w14:solidFill>
                    <w14:schemeClr w14:val="tx1"/>
                  </w14:solidFill>
                </w14:textFill>
              </w:rPr>
              <w:t>积极引进新型墙体材料、新型装饰材料、绿色环保材料生产企业，提升行业规模和产品品质，打造湘中湘西南地区最大新型建材产业基地。</w:t>
            </w:r>
          </w:p>
        </w:tc>
      </w:tr>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654" w:name="_Toc25988"/>
      <w:bookmarkStart w:id="655" w:name="_Toc10353"/>
      <w:bookmarkStart w:id="656" w:name="_Toc32041"/>
      <w:bookmarkStart w:id="657" w:name="_Toc5533"/>
      <w:bookmarkStart w:id="658" w:name="_Toc25336"/>
      <w:bookmarkStart w:id="659" w:name="_Toc10629"/>
      <w:bookmarkStart w:id="660" w:name="_Toc23342"/>
      <w:bookmarkStart w:id="661" w:name="_Toc16887"/>
      <w:bookmarkStart w:id="662" w:name="_Toc1803"/>
      <w:bookmarkStart w:id="663" w:name="_Toc22316"/>
      <w:bookmarkStart w:id="664" w:name="_Toc10062"/>
      <w:bookmarkStart w:id="665" w:name="_Toc22053"/>
      <w:bookmarkStart w:id="666" w:name="_Toc3989"/>
      <w:bookmarkStart w:id="667" w:name="_Toc16351"/>
      <w:bookmarkStart w:id="668" w:name="_Toc20163"/>
      <w:bookmarkStart w:id="669" w:name="_Toc28933"/>
      <w:bookmarkStart w:id="670" w:name="_Toc13926"/>
      <w:bookmarkStart w:id="671" w:name="_Toc20764"/>
      <w:bookmarkStart w:id="672" w:name="_Toc8682"/>
      <w:bookmarkStart w:id="673" w:name="_Toc22167"/>
      <w:bookmarkStart w:id="674" w:name="_Toc13479"/>
      <w:bookmarkStart w:id="675" w:name="_Toc123"/>
      <w:bookmarkStart w:id="676" w:name="_Toc15988"/>
      <w:bookmarkStart w:id="677" w:name="_Toc13875"/>
      <w:bookmarkStart w:id="678" w:name="_Toc16857"/>
      <w:bookmarkStart w:id="679" w:name="_Toc18561"/>
      <w:bookmarkStart w:id="680" w:name="_Toc16355"/>
      <w:bookmarkStart w:id="681" w:name="_Toc18642"/>
      <w:bookmarkStart w:id="682" w:name="_Toc23460"/>
      <w:bookmarkStart w:id="683" w:name="_Toc7430"/>
      <w:bookmarkStart w:id="684" w:name="_Toc2508"/>
      <w:bookmarkStart w:id="685" w:name="_Toc4144"/>
      <w:bookmarkStart w:id="686" w:name="_Toc22895"/>
      <w:bookmarkStart w:id="687" w:name="_Toc9426"/>
      <w:bookmarkStart w:id="688" w:name="_Toc21737"/>
      <w:bookmarkStart w:id="689" w:name="_Toc88"/>
      <w:bookmarkStart w:id="690" w:name="_Toc26501"/>
      <w:bookmarkStart w:id="691" w:name="_Toc16556"/>
      <w:r>
        <w:rPr>
          <w:rFonts w:ascii="Times New Roman" w:hAnsi="Times New Roman" w:cs="Times New Roman"/>
          <w:color w:val="000000" w:themeColor="text1"/>
          <w:szCs w:val="32"/>
          <w14:textFill>
            <w14:solidFill>
              <w14:schemeClr w14:val="tx1"/>
            </w14:solidFill>
          </w14:textFill>
        </w:rPr>
        <w:t>第四节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大力推动数字经济发展</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深入贯彻实施国家和省大数据发展战略，以数据要素为关键，发挥信息技术在资源合理配置和高效利用中的重要作用，加快培育信息化建设和数字经济发展新模式、新业态，推动数字经济与实体经济深度融合，构筑经济社会发展新动力和新优势。</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推动数字产业化。</w:t>
      </w:r>
      <w:r>
        <w:rPr>
          <w:rFonts w:ascii="Times New Roman" w:hAnsi="Times New Roman" w:eastAsia="仿宋_GB2312" w:cs="Times New Roman"/>
          <w:color w:val="000000" w:themeColor="text1"/>
          <w:sz w:val="32"/>
          <w:szCs w:val="32"/>
          <w14:textFill>
            <w14:solidFill>
              <w14:schemeClr w14:val="tx1"/>
            </w14:solidFill>
          </w14:textFill>
        </w:rPr>
        <w:t>以发达地区产业转移为契机，在市区、邵东等地建设智能终端产业集聚区，支持多模、多频终端芯片及高效能的智能终端产品技术研发与产业化，大力发展智能手机、平板电脑、服务器、智能家电、教育多媒体机、医疗健康电子设备、智能可穿戴设备、智能车载设备等智能数字终端产品，打造智能数字终端产品产业链。加强新兴数字技术领域布局，积极谋划发展计算机视听觉、生物特征识别、复杂环境识别、新型人机交互、智能决策控制、智能翻译系统、智能客服系统等产品和服务，推进重点领域智能产品创新。加快推进邵阳数字经济产业园、邵阳数字经济孵化园、电子商务产业园等重点项目建设。到2025年，力争将邵阳经开区、邵东经开区打造为对接国家数字经济发展的示范基地、对接全球数字贸易市场的前沿阵地。</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推进产业数字化。</w:t>
      </w:r>
      <w:r>
        <w:rPr>
          <w:rFonts w:ascii="Times New Roman" w:hAnsi="Times New Roman" w:eastAsia="仿宋_GB2312" w:cs="Times New Roman"/>
          <w:color w:val="000000" w:themeColor="text1"/>
          <w:sz w:val="32"/>
          <w:szCs w:val="32"/>
          <w14:textFill>
            <w14:solidFill>
              <w14:schemeClr w14:val="tx1"/>
            </w14:solidFill>
          </w14:textFill>
        </w:rPr>
        <w:t>深化数字技术在制造业的应用，加快重点制造领域装备数字化、网络化、智能化，提升制造业数字化控制和管理水平。发展具有自组织、自适应、自维护等特征的智能生产系统，推动建设一批智能生产线、数字化车间、智慧工厂。深入开展智能制造试点示范，支持企业建设智能制造体系，打造一批行业智能制造标杆企业。支持大型制造企业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平台，培育发展网络协同制造、个性化定制、服务型制造等新型生产模式，推动工业以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制造为中心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向以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服务为中心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转型。到2025年，传统行业企业生产方式精细化、柔性化、智能化水平显著提升，重点行业数字化研发设计工具普及率达到50%，培育建成100家以上智能工厂（车间），5个全省领先的制造业与互联网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平台。</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加快发展工业互联网。</w:t>
      </w:r>
      <w:r>
        <w:rPr>
          <w:rFonts w:ascii="Times New Roman" w:hAnsi="Times New Roman" w:eastAsia="仿宋_GB2312" w:cs="Times New Roman"/>
          <w:color w:val="000000" w:themeColor="text1"/>
          <w:sz w:val="32"/>
          <w:szCs w:val="32"/>
          <w14:textFill>
            <w14:solidFill>
              <w14:schemeClr w14:val="tx1"/>
            </w14:solidFill>
          </w14:textFill>
        </w:rPr>
        <w:t>实施工业互联网创新发展行动，推进企业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上云用数赋智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计划，培育一批面向垂直行业和细分领域的工业互联网平台。扶持大型互联网企业加快发展，开展工业互联网技术试验验证、标识解析系统和管理支撑平台建设等工作。发展基于数字技术的智能监测、远程诊断、在线管理、产品质量安全追溯等应用服务，培育产品智能检测和全产业链追溯等工业互联网新模式。加快推进工业以太网、短距离无线通信等新一代工业互联网设备、技术研发与产业化，建立健全工业互联网网络安全保障体系。加快建设工业信息安全、工业云制造等制造业创新中心。到2025年，建成在省内外有影响力的云服务平台5个以上，构建1个覆盖全市中小微企业的线上服务网络体系，形成3-5个具有较强带动作用的工业互联网产业示范基地，带动100家企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上云上平台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加快数字技术与服务业融合发展。</w:t>
      </w:r>
      <w:r>
        <w:rPr>
          <w:rFonts w:ascii="Times New Roman" w:hAnsi="Times New Roman" w:eastAsia="仿宋_GB2312" w:cs="Times New Roman"/>
          <w:color w:val="000000" w:themeColor="text1"/>
          <w:sz w:val="32"/>
          <w:szCs w:val="32"/>
          <w14:textFill>
            <w14:solidFill>
              <w14:schemeClr w14:val="tx1"/>
            </w14:solidFill>
          </w14:textFill>
        </w:rPr>
        <w:t>发展研发、设计、信息服务、咨询策划、广告等服务平台，引导平台企业积极探索服务产品定制等互联网服务新模式。发展餐饮、娱乐、家政、交通等生活服务平台，鼓励发展无人零售、无人机配送等智能服务体系应用新场景，推进电商与特色产品等线上线下融合。建设数据征信平台和企业投融资对接平台，大力发展数字普惠金融</w:t>
      </w:r>
      <w:r>
        <w:rPr>
          <w:rFonts w:hint="eastAsia" w:ascii="Times New Roman" w:hAnsi="Times New Roman" w:eastAsia="仿宋_GB2312" w:cs="Times New Roman"/>
          <w:color w:val="000000" w:themeColor="text1"/>
          <w:sz w:val="32"/>
          <w:szCs w:val="32"/>
          <w14:textFill>
            <w14:solidFill>
              <w14:schemeClr w14:val="tx1"/>
            </w14:solidFill>
          </w14:textFill>
        </w:rPr>
        <w:t>，稳妥推进数字货币应用。</w:t>
      </w:r>
      <w:r>
        <w:rPr>
          <w:rFonts w:ascii="Times New Roman" w:hAnsi="Times New Roman" w:eastAsia="仿宋_GB2312" w:cs="Times New Roman"/>
          <w:color w:val="000000" w:themeColor="text1"/>
          <w:sz w:val="32"/>
          <w:szCs w:val="32"/>
          <w14:textFill>
            <w14:solidFill>
              <w14:schemeClr w14:val="tx1"/>
            </w14:solidFill>
          </w14:textFill>
        </w:rPr>
        <w:t>积极推动软件开发、信息系统集成、集成电路设计等发展，着力增强面向物联网、移动互联网等的信息技术服务能力。支持研制特色产业协同管控系统解决方案，推动传统产业企业数字化转型。到2025年，数字经济对服务业的转型提升作用显著增强，电商、物流、金融等行业以及交通、医疗、教育等民生服务加快向数字化、智能化发展。电子商务深度融合实体经济，网络交易额突破1000亿元。</w:t>
      </w:r>
    </w:p>
    <w:bookmarkEnd w:id="683"/>
    <w:bookmarkEnd w:id="684"/>
    <w:bookmarkEnd w:id="685"/>
    <w:bookmarkEnd w:id="686"/>
    <w:bookmarkEnd w:id="687"/>
    <w:bookmarkEnd w:id="688"/>
    <w:bookmarkEnd w:id="689"/>
    <w:bookmarkEnd w:id="690"/>
    <w:bookmarkEnd w:id="691"/>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692" w:name="_Toc25274"/>
      <w:bookmarkStart w:id="693" w:name="_Toc8751"/>
      <w:bookmarkStart w:id="694" w:name="_Toc6820"/>
      <w:bookmarkStart w:id="695" w:name="_Toc12934"/>
      <w:bookmarkStart w:id="696" w:name="_Toc6910"/>
      <w:bookmarkStart w:id="697" w:name="_Toc30858"/>
      <w:bookmarkStart w:id="698" w:name="_Toc28953"/>
      <w:bookmarkStart w:id="699" w:name="_Toc13101"/>
      <w:bookmarkStart w:id="700" w:name="_Toc6221"/>
      <w:bookmarkStart w:id="701" w:name="_Toc21408"/>
      <w:bookmarkStart w:id="702" w:name="_Toc18308"/>
      <w:bookmarkStart w:id="703" w:name="_Toc9382"/>
      <w:bookmarkStart w:id="704" w:name="_Toc18496"/>
      <w:bookmarkStart w:id="705" w:name="_Toc20660"/>
      <w:bookmarkStart w:id="706" w:name="_Toc23989"/>
      <w:bookmarkStart w:id="707" w:name="_Toc14096"/>
      <w:bookmarkStart w:id="708" w:name="_Toc22899"/>
      <w:bookmarkStart w:id="709" w:name="_Toc19576"/>
      <w:bookmarkStart w:id="710" w:name="_Toc4438"/>
      <w:bookmarkStart w:id="711" w:name="_Toc24501"/>
      <w:bookmarkStart w:id="712" w:name="_Toc14329"/>
      <w:bookmarkStart w:id="713" w:name="_Toc30351"/>
      <w:bookmarkStart w:id="714" w:name="_Toc22149"/>
      <w:bookmarkStart w:id="715" w:name="_Toc1785"/>
      <w:bookmarkStart w:id="716" w:name="_Toc6316"/>
      <w:bookmarkStart w:id="717" w:name="_Toc17395"/>
      <w:bookmarkStart w:id="718" w:name="_Toc19228"/>
      <w:bookmarkStart w:id="719" w:name="_Toc657"/>
      <w:bookmarkStart w:id="720" w:name="_Toc22867"/>
      <w:bookmarkStart w:id="721" w:name="_Toc22525"/>
      <w:bookmarkStart w:id="722" w:name="_Toc16137"/>
      <w:bookmarkStart w:id="723" w:name="_Toc32692"/>
      <w:bookmarkStart w:id="724" w:name="_Toc20076"/>
      <w:bookmarkStart w:id="725" w:name="_Toc2150"/>
      <w:bookmarkStart w:id="726" w:name="_Toc25418"/>
      <w:bookmarkStart w:id="727" w:name="_Toc11646"/>
      <w:bookmarkStart w:id="728" w:name="_Toc6216"/>
      <w:bookmarkStart w:id="729" w:name="_Toc10047"/>
      <w:r>
        <w:rPr>
          <w:rFonts w:ascii="Times New Roman" w:hAnsi="Times New Roman" w:cs="Times New Roman"/>
          <w:color w:val="000000" w:themeColor="text1"/>
          <w:szCs w:val="32"/>
          <w14:textFill>
            <w14:solidFill>
              <w14:schemeClr w14:val="tx1"/>
            </w14:solidFill>
          </w14:textFill>
        </w:rPr>
        <w:t>第五节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推动先进制造业和现代服务业深度融合发展</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大力发展研发设计、现代物流、科技服务、金融服务、供应链管理等生产性服务业，促进制造业向服务型制造和制造业服务化转变，推动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相融相长、耦合共生。</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促进制造业和科技信息服务融合。</w:t>
      </w:r>
      <w:r>
        <w:rPr>
          <w:rFonts w:ascii="Times New Roman" w:hAnsi="Times New Roman" w:eastAsia="仿宋_GB2312" w:cs="Times New Roman"/>
          <w:color w:val="000000" w:themeColor="text1"/>
          <w:sz w:val="32"/>
          <w:szCs w:val="32"/>
          <w14:textFill>
            <w14:solidFill>
              <w14:schemeClr w14:val="tx1"/>
            </w14:solidFill>
          </w14:textFill>
        </w:rPr>
        <w:t>在电子信息、装备制造、智能家居等行业培育建设一批制造业互联网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平台和中小制造企业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平台。聚焦工业机器人、智能网联汽车等新兴产业，规划建设智能制造产业示范基地。依托中国（邵阳）特种玻璃谷、大祥智慧谷等科创平台建设，打造邵阳高端智能制造支撑平台。依托工业设计产业园及各类科技企业孵化器、大学科技园和高等院校、科研院所等机构完善服务平台的服务模式，打造示范性产业融合技术服务平台。加快人工智能、5G等新一代信息技术在制造、服务企业的创新应用，发展面向重点行业和区域的工业互联网平台，营造制造业服务业融合生态，推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生态产业智造化、制造产业生态化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，营造融合发展新生态。</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促进制造业和智慧物流融合。</w:t>
      </w:r>
      <w:r>
        <w:rPr>
          <w:rFonts w:ascii="Times New Roman" w:hAnsi="Times New Roman" w:eastAsia="仿宋_GB2312" w:cs="Times New Roman"/>
          <w:color w:val="000000" w:themeColor="text1"/>
          <w:sz w:val="32"/>
          <w:szCs w:val="32"/>
          <w14:textFill>
            <w14:solidFill>
              <w14:schemeClr w14:val="tx1"/>
            </w14:solidFill>
          </w14:textFill>
        </w:rPr>
        <w:t>围绕构筑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一核一带多点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的工业布局体系，通过联合、合作、连锁等方式，引导工业企业剥离物流业务，培育一批与工业相匹配的具有服务品牌、多元投资主体的大中型流通企业，全力打造邵阳工业品流通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升级版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促进制造业和金融业融合。</w:t>
      </w:r>
      <w:r>
        <w:rPr>
          <w:rFonts w:ascii="Times New Roman" w:hAnsi="Times New Roman" w:eastAsia="仿宋_GB2312" w:cs="Times New Roman"/>
          <w:color w:val="000000" w:themeColor="text1"/>
          <w:sz w:val="32"/>
          <w:szCs w:val="32"/>
          <w14:textFill>
            <w14:solidFill>
              <w14:schemeClr w14:val="tx1"/>
            </w14:solidFill>
          </w14:textFill>
        </w:rPr>
        <w:t>构建以市本级金融集聚区为核心，产融结合</w:t>
      </w:r>
      <w:r>
        <w:rPr>
          <w:rFonts w:hint="eastAsia" w:ascii="Times New Roman" w:hAnsi="Times New Roman" w:eastAsia="仿宋_GB2312" w:cs="Times New Roman"/>
          <w:color w:val="000000" w:themeColor="text1"/>
          <w:sz w:val="32"/>
          <w:szCs w:val="32"/>
          <w14:textFill>
            <w14:solidFill>
              <w14:schemeClr w14:val="tx1"/>
            </w14:solidFill>
          </w14:textFill>
        </w:rPr>
        <w:t>示范带</w:t>
      </w:r>
      <w:r>
        <w:rPr>
          <w:rFonts w:ascii="Times New Roman" w:hAnsi="Times New Roman" w:eastAsia="仿宋_GB2312" w:cs="Times New Roman"/>
          <w:color w:val="000000" w:themeColor="text1"/>
          <w:sz w:val="32"/>
          <w:szCs w:val="32"/>
          <w14:textFill>
            <w14:solidFill>
              <w14:schemeClr w14:val="tx1"/>
            </w14:solidFill>
          </w14:textFill>
        </w:rPr>
        <w:t>、农村金融示范</w:t>
      </w:r>
      <w:r>
        <w:rPr>
          <w:rFonts w:hint="eastAsia" w:ascii="Times New Roman" w:hAnsi="Times New Roman" w:eastAsia="仿宋_GB2312" w:cs="Times New Roman"/>
          <w:color w:val="000000" w:themeColor="text1"/>
          <w:sz w:val="32"/>
          <w:szCs w:val="32"/>
          <w14:textFill>
            <w14:solidFill>
              <w14:schemeClr w14:val="tx1"/>
            </w14:solidFill>
          </w14:textFill>
        </w:rPr>
        <w:t>区</w:t>
      </w:r>
      <w:r>
        <w:rPr>
          <w:rFonts w:ascii="Times New Roman" w:hAnsi="Times New Roman" w:eastAsia="仿宋_GB2312" w:cs="Times New Roman"/>
          <w:color w:val="000000" w:themeColor="text1"/>
          <w:sz w:val="32"/>
          <w:szCs w:val="32"/>
          <w14:textFill>
            <w14:solidFill>
              <w14:schemeClr w14:val="tx1"/>
            </w14:solidFill>
          </w14:textFill>
        </w:rPr>
        <w:t>为主体的示范金融板块，引导银行加大对实体经济、县域经济、三农、重大及民生项目的信贷投放力度。探索组建邵阳金融控股集团，整合金融资源，强化服务产业发展能力。建设金融综合信息平台，实现金融机构与地方企业双向选择、自主对接，提高银企对接效率。加快发展多层次资本市场，鼓励支持3-5家本土企业赴境内外证券交易场所</w:t>
      </w:r>
      <w:r>
        <w:rPr>
          <w:rFonts w:hint="eastAsia" w:ascii="Times New Roman" w:hAnsi="Times New Roman" w:eastAsia="仿宋_GB2312" w:cs="Times New Roman"/>
          <w:color w:val="000000" w:themeColor="text1"/>
          <w:sz w:val="32"/>
          <w:szCs w:val="32"/>
          <w14:textFill>
            <w14:solidFill>
              <w14:schemeClr w14:val="tx1"/>
            </w14:solidFill>
          </w14:textFill>
        </w:rPr>
        <w:t>上市</w:t>
      </w:r>
      <w:r>
        <w:rPr>
          <w:rFonts w:ascii="Times New Roman" w:hAnsi="Times New Roman" w:eastAsia="仿宋_GB2312" w:cs="Times New Roman"/>
          <w:color w:val="000000" w:themeColor="text1"/>
          <w:sz w:val="32"/>
          <w:szCs w:val="32"/>
          <w14:textFill>
            <w14:solidFill>
              <w14:schemeClr w14:val="tx1"/>
            </w14:solidFill>
          </w14:textFill>
        </w:rPr>
        <w:t>。加快引进投资机构，发起设立创业投资基金、产业发展引导基金，构建投资机构与企业常态化对接机制。扶持地方中小金融机构发展，增强城市商业银行、农村商业银行实力和抗风险能力。规划建设邵阳市金融中心，深化区城金融合作，引进银行、证券、保险等金融机构20家以上，鼓励和引导民间资本进入金融服务领域，构建多样化的金融机构体系。支持金融企业创新金融服务，规范发展金融中介服务机构和互联网金融等新型金融业态，推动多层次金融市场创新。构建金融预警防范机制，建立金融突发事件应急机制，增强防范金融风险能力。强化高端金融人才吸引与激励机制。到2025年，金融产业增加值达1</w:t>
      </w:r>
      <w:r>
        <w:rPr>
          <w:rFonts w:hint="eastAsia" w:ascii="Times New Roman" w:hAnsi="Times New Roman" w:eastAsia="仿宋_GB2312" w:cs="Times New Roman"/>
          <w:color w:val="000000" w:themeColor="text1"/>
          <w:sz w:val="32"/>
          <w:szCs w:val="32"/>
          <w14:textFill>
            <w14:solidFill>
              <w14:schemeClr w14:val="tx1"/>
            </w14:solidFill>
          </w14:textFill>
        </w:rPr>
        <w:t>8</w:t>
      </w:r>
      <w:r>
        <w:rPr>
          <w:rFonts w:ascii="Times New Roman" w:hAnsi="Times New Roman" w:eastAsia="仿宋_GB2312" w:cs="Times New Roman"/>
          <w:color w:val="000000" w:themeColor="text1"/>
          <w:sz w:val="32"/>
          <w:szCs w:val="32"/>
          <w14:textFill>
            <w14:solidFill>
              <w14:schemeClr w14:val="tx1"/>
            </w14:solidFill>
          </w14:textFill>
        </w:rPr>
        <w:t>0亿元，年均增长1</w:t>
      </w:r>
      <w:r>
        <w:rPr>
          <w:rFonts w:hint="eastAsia" w:ascii="Times New Roman" w:hAnsi="Times New Roman" w:eastAsia="仿宋_GB2312" w:cs="Times New Roman"/>
          <w:color w:val="000000" w:themeColor="text1"/>
          <w:sz w:val="32"/>
          <w:szCs w:val="32"/>
          <w14:textFill>
            <w14:solidFill>
              <w14:schemeClr w14:val="tx1"/>
            </w14:solidFill>
          </w14:textFill>
        </w:rPr>
        <w:t>1</w:t>
      </w:r>
      <w:r>
        <w:rPr>
          <w:rFonts w:ascii="Times New Roman" w:hAnsi="Times New Roman" w:eastAsia="仿宋_GB2312" w:cs="Times New Roman"/>
          <w:color w:val="000000" w:themeColor="text1"/>
          <w:sz w:val="32"/>
          <w:szCs w:val="32"/>
          <w14:textFill>
            <w14:solidFill>
              <w14:schemeClr w14:val="tx1"/>
            </w14:solidFill>
          </w14:textFill>
        </w:rPr>
        <w:t>%以上。大力推进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区块链+供应链金融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应用示范，建立中小企业融资区块链服务平台，依托产业链龙头企业资金、客户、数据、信用等优势，发展基于真实交易背景的政府采购合同、应收账款、票据、存货、预付款项融资等供应链金融服务。鼓励盘活装备资产和发展装备融资租赁业务，支持三一专汽、邵虹玻璃、富士电梯在金融业和制造业融合方面先行先试，形成经验在全市推广。</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推进制造业服务化发展。</w:t>
      </w:r>
      <w:r>
        <w:rPr>
          <w:rFonts w:ascii="Times New Roman" w:hAnsi="Times New Roman" w:eastAsia="仿宋_GB2312" w:cs="Times New Roman"/>
          <w:color w:val="000000" w:themeColor="text1"/>
          <w:sz w:val="32"/>
          <w:szCs w:val="32"/>
          <w14:textFill>
            <w14:solidFill>
              <w14:schemeClr w14:val="tx1"/>
            </w14:solidFill>
          </w14:textFill>
        </w:rPr>
        <w:t>推动工程机械、电子信息产业智能化升级，构建产业链上下游企业设计、生产与供应链资源紧密衔接的协同制造体系。加快打造工业 APP 体系，推动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邵企上云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，鼓励龙头企业建设企业级平台，推动研发设计、客户管理、供应链管理和营销服务等系统的横向集成。大力支持企业创新经营模式，由单一装备制造向综合服务转变，大幅提高制造业服务化水平。</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发展服务衍生制造新模式。</w:t>
      </w:r>
      <w:r>
        <w:rPr>
          <w:rFonts w:ascii="Times New Roman" w:hAnsi="Times New Roman" w:eastAsia="仿宋_GB2312" w:cs="Times New Roman"/>
          <w:color w:val="000000" w:themeColor="text1"/>
          <w:sz w:val="32"/>
          <w:szCs w:val="32"/>
          <w14:textFill>
            <w14:solidFill>
              <w14:schemeClr w14:val="tx1"/>
            </w14:solidFill>
          </w14:textFill>
        </w:rPr>
        <w:t>发展现代制造业服务外包，鼓励和支持服务外包企业开展标准化建设和品牌建设，创新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制造＋服务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商业模式，引导科技、金融、商贸、物流等高端服务业深度融合到制造业中。积极推进有条件的企业承接信息管理、技术研发、工业设计、交通基建等服务外包业务，打造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邵阳服务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品牌。</w:t>
      </w:r>
    </w:p>
    <w:tbl>
      <w:tblPr>
        <w:tblStyle w:val="14"/>
        <w:tblW w:w="5000" w:type="pct"/>
        <w:tblInd w:w="0" w:type="dxa"/>
        <w:tblLayout w:type="autofit"/>
        <w:tblCellMar>
          <w:top w:w="0" w:type="dxa"/>
          <w:left w:w="0" w:type="dxa"/>
          <w:bottom w:w="0" w:type="dxa"/>
          <w:right w:w="0" w:type="dxa"/>
        </w:tblCellMar>
      </w:tblPr>
      <w:tblGrid>
        <w:gridCol w:w="8868"/>
      </w:tblGrid>
      <w:tr>
        <w:trPr>
          <w:trHeight w:val="52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专栏8：先进制造业高地建设行动</w:t>
            </w:r>
          </w:p>
        </w:tc>
      </w:tr>
      <w:tr>
        <w:trPr>
          <w:trHeight w:val="52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装备制造业智能化改造工程：</w:t>
            </w:r>
            <w:r>
              <w:rPr>
                <w:rFonts w:ascii="Times New Roman" w:hAnsi="Times New Roman" w:eastAsia="宋体" w:cs="Times New Roman"/>
                <w:color w:val="000000" w:themeColor="text1"/>
                <w:szCs w:val="28"/>
                <w14:textFill>
                  <w14:solidFill>
                    <w14:schemeClr w14:val="tx1"/>
                  </w14:solidFill>
                </w14:textFill>
              </w:rPr>
              <w:t>推进搅拌车、渣土车、</w:t>
            </w:r>
            <w:r>
              <w:rPr>
                <w:rFonts w:hint="eastAsia" w:ascii="Times New Roman" w:hAnsi="Times New Roman" w:eastAsia="宋体" w:cs="Times New Roman"/>
                <w:color w:val="000000" w:themeColor="text1"/>
                <w:szCs w:val="28"/>
                <w14:textFill>
                  <w14:solidFill>
                    <w14:schemeClr w14:val="tx1"/>
                  </w14:solidFill>
                </w14:textFill>
              </w:rPr>
              <w:t>工程机械</w:t>
            </w:r>
            <w:r>
              <w:rPr>
                <w:rFonts w:ascii="Times New Roman" w:hAnsi="Times New Roman" w:eastAsia="宋体" w:cs="Times New Roman"/>
                <w:color w:val="000000" w:themeColor="text1"/>
                <w:szCs w:val="28"/>
                <w14:textFill>
                  <w14:solidFill>
                    <w14:schemeClr w14:val="tx1"/>
                  </w14:solidFill>
                </w14:textFill>
              </w:rPr>
              <w:t>、纺织机械、电梯、水电机械、液压机械等提质升级，建设全球知名的先进装备制造基地。</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中国（邵阳）特种玻璃谷</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建设工程：</w:t>
            </w:r>
            <w:r>
              <w:rPr>
                <w:rFonts w:ascii="Times New Roman" w:hAnsi="Times New Roman" w:eastAsia="宋体" w:cs="Times New Roman"/>
                <w:color w:val="000000" w:themeColor="text1"/>
                <w:szCs w:val="28"/>
                <w14:textFill>
                  <w14:solidFill>
                    <w14:schemeClr w14:val="tx1"/>
                  </w14:solidFill>
                </w14:textFill>
              </w:rPr>
              <w:t>加快推动彩虹玻璃、邵虹玻璃、邵阳智能终端产业园、东盟产业园、电子信息产业园等项目建设，突出发展显示功能材料产业，全力打造国内领先、世界一流的新型显示器件制造基地。</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机械零部件配套工程：</w:t>
            </w:r>
            <w:r>
              <w:rPr>
                <w:rFonts w:ascii="Times New Roman" w:hAnsi="Times New Roman" w:eastAsia="宋体" w:cs="Times New Roman"/>
                <w:color w:val="000000" w:themeColor="text1"/>
                <w:szCs w:val="28"/>
                <w14:textFill>
                  <w14:solidFill>
                    <w14:schemeClr w14:val="tx1"/>
                  </w14:solidFill>
                </w14:textFill>
              </w:rPr>
              <w:t>推进维克液压、通达汽零、兴达精密、亿利金属等企业发展，建设全国有影响力的专用汽车、工程机械、轨道交通等零部件配套基地。</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智能家电家居提升工程：</w:t>
            </w:r>
            <w:r>
              <w:rPr>
                <w:rFonts w:ascii="Times New Roman" w:hAnsi="Times New Roman" w:eastAsia="宋体" w:cs="Times New Roman"/>
                <w:color w:val="000000" w:themeColor="text1"/>
                <w:szCs w:val="28"/>
                <w14:textFill>
                  <w14:solidFill>
                    <w14:schemeClr w14:val="tx1"/>
                  </w14:solidFill>
                </w14:textFill>
              </w:rPr>
              <w:t>提高拓浦精工、慕容集团等企业研发生产能力，建设中南地区领先的智能家电家居生产基地。</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特色轻工</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专精特新</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推动小五金、打火机、箱包、制鞋、发制品、塑胶制品等智能化、标准化、品牌化，建设中部地区最大的特色轻工制造基地。</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中医药产业创优工程：</w:t>
            </w:r>
            <w:r>
              <w:rPr>
                <w:rFonts w:ascii="Times New Roman" w:hAnsi="Times New Roman" w:eastAsia="宋体" w:cs="Times New Roman"/>
                <w:color w:val="000000" w:themeColor="text1"/>
                <w:szCs w:val="28"/>
                <w14:textFill>
                  <w14:solidFill>
                    <w14:schemeClr w14:val="tx1"/>
                  </w14:solidFill>
                </w14:textFill>
              </w:rPr>
              <w:t>以湘中制药、玉新药业、盛世丰花、中南制药、科瑞生物、邵东医药工业科技园、廉桥</w:t>
            </w:r>
            <w:r>
              <w:rPr>
                <w:rFonts w:hint="eastAsia" w:ascii="Times New Roman" w:hAnsi="Times New Roman" w:eastAsia="宋体" w:cs="Times New Roman"/>
                <w:color w:val="000000" w:themeColor="text1"/>
                <w:szCs w:val="28"/>
                <w14:textFill>
                  <w14:solidFill>
                    <w14:schemeClr w14:val="tx1"/>
                  </w14:solidFill>
                </w14:textFill>
              </w:rPr>
              <w:t>药材</w:t>
            </w:r>
            <w:r>
              <w:rPr>
                <w:rFonts w:ascii="Times New Roman" w:hAnsi="Times New Roman" w:eastAsia="宋体" w:cs="Times New Roman"/>
                <w:color w:val="000000" w:themeColor="text1"/>
                <w:szCs w:val="28"/>
                <w14:textFill>
                  <w14:solidFill>
                    <w14:schemeClr w14:val="tx1"/>
                  </w14:solidFill>
                </w14:textFill>
              </w:rPr>
              <w:t>和小沙江金银花为重点，建立集科研、种植、制造、销售、服务于一体的中医药产业链，建设全国特色中医药制造基地。</w:t>
            </w:r>
          </w:p>
          <w:p>
            <w:pPr>
              <w:adjustRightInd/>
              <w:snapToGrid/>
              <w:spacing w:before="0" w:after="0" w:line="52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新能源新材料培育工程：</w:t>
            </w:r>
            <w:r>
              <w:rPr>
                <w:rFonts w:ascii="Times New Roman" w:hAnsi="Times New Roman" w:eastAsia="宋体" w:cs="Times New Roman"/>
                <w:color w:val="000000" w:themeColor="text1"/>
                <w:szCs w:val="28"/>
                <w14:textFill>
                  <w14:solidFill>
                    <w14:schemeClr w14:val="tx1"/>
                  </w14:solidFill>
                </w14:textFill>
              </w:rPr>
              <w:t>推进桑德鸿捷、湖南时代联合新能源、宝庆国际塑胶科技制品、翌凌新磷酸铁锂正极材料、国碳纳米锂电子导电材料等项目建设，打造中部地区重要的新能源新材料生产基地。</w:t>
            </w:r>
          </w:p>
        </w:tc>
      </w:tr>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730" w:name="_Toc19956"/>
      <w:bookmarkStart w:id="731" w:name="_Toc26871"/>
      <w:bookmarkStart w:id="732" w:name="_Toc0"/>
      <w:bookmarkStart w:id="733" w:name="_Toc5802"/>
      <w:bookmarkStart w:id="734" w:name="_Toc25285"/>
      <w:bookmarkStart w:id="735" w:name="_Toc21956"/>
      <w:bookmarkStart w:id="736" w:name="_Toc2507"/>
      <w:bookmarkStart w:id="737" w:name="_Toc7952"/>
      <w:bookmarkStart w:id="738" w:name="_Toc23275"/>
      <w:bookmarkStart w:id="739" w:name="_Toc6689"/>
      <w:bookmarkStart w:id="740" w:name="_Toc16073"/>
      <w:bookmarkStart w:id="741" w:name="_Toc306"/>
      <w:bookmarkStart w:id="742" w:name="_Toc3592"/>
      <w:bookmarkStart w:id="743" w:name="_Toc10132"/>
      <w:bookmarkStart w:id="744" w:name="_Toc15694"/>
      <w:bookmarkStart w:id="745" w:name="_Toc4188"/>
      <w:bookmarkStart w:id="746" w:name="_Toc25227"/>
      <w:bookmarkStart w:id="747" w:name="_Toc1588"/>
      <w:bookmarkStart w:id="748" w:name="_Toc12857"/>
      <w:bookmarkStart w:id="749" w:name="_Toc24585"/>
      <w:bookmarkStart w:id="750" w:name="_Toc1171"/>
      <w:bookmarkStart w:id="751" w:name="_Toc14579"/>
      <w:bookmarkStart w:id="752" w:name="_Toc31662"/>
      <w:bookmarkStart w:id="753" w:name="_Toc13028"/>
      <w:bookmarkStart w:id="754" w:name="_Toc17979"/>
      <w:bookmarkStart w:id="755" w:name="_Toc4929"/>
      <w:bookmarkStart w:id="756" w:name="_Toc18972"/>
      <w:bookmarkStart w:id="757" w:name="_Toc23357"/>
      <w:bookmarkStart w:id="758" w:name="_Toc6006"/>
      <w:bookmarkStart w:id="759" w:name="_Toc20596"/>
      <w:bookmarkStart w:id="760" w:name="_Toc24955"/>
      <w:bookmarkStart w:id="761" w:name="_Toc16406"/>
      <w:bookmarkStart w:id="762" w:name="_Toc5397"/>
      <w:bookmarkStart w:id="763" w:name="_Toc23054"/>
      <w:bookmarkStart w:id="764" w:name="_Toc13854"/>
      <w:bookmarkStart w:id="765" w:name="_Toc11717"/>
      <w:bookmarkStart w:id="766" w:name="_Toc26772"/>
      <w:r>
        <w:rPr>
          <w:rFonts w:ascii="Times New Roman" w:hAnsi="Times New Roman" w:cs="Times New Roman"/>
          <w:color w:val="000000" w:themeColor="text1"/>
          <w:szCs w:val="32"/>
          <w14:textFill>
            <w14:solidFill>
              <w14:schemeClr w14:val="tx1"/>
            </w14:solidFill>
          </w14:textFill>
        </w:rPr>
        <w:t>第六节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着力提升产业承载能力</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发挥邵阳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优势，积极融入粤港澳大湾区、长江经济带产业体系，进一步优化产业布局，拓展发展空间，提升发展能级。到2025年，基本建成湘南湘西承接产业转移示范区。</w:t>
      </w:r>
    </w:p>
    <w:p>
      <w:pPr>
        <w:widowControl w:val="0"/>
        <w:adjustRightInd/>
        <w:snapToGrid/>
        <w:spacing w:before="0" w:after="0" w:line="560" w:lineRule="exact"/>
        <w:ind w:firstLine="643" w:firstLineChars="200"/>
        <w:jc w:val="both"/>
        <w:rPr>
          <w:rFonts w:ascii="Times New Roman" w:hAnsi="Times New Roman"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提升园区产业承载能力。</w:t>
      </w:r>
      <w:r>
        <w:rPr>
          <w:rFonts w:hint="eastAsia" w:ascii="Times New Roman" w:hAnsi="Times New Roman" w:eastAsia="仿宋_GB2312" w:cs="Times New Roman"/>
          <w:color w:val="000000" w:themeColor="text1"/>
          <w:sz w:val="32"/>
          <w:szCs w:val="32"/>
          <w14:textFill>
            <w14:solidFill>
              <w14:schemeClr w14:val="tx1"/>
            </w14:solidFill>
          </w14:textFill>
        </w:rPr>
        <w:t>按照“五好”园区创新标准，围绕生产、生活、生态“三生”融合目标，科学划定功能分区。</w:t>
      </w:r>
      <w:r>
        <w:rPr>
          <w:rFonts w:ascii="Times New Roman" w:hAnsi="Times New Roman" w:eastAsia="仿宋_GB2312" w:cs="Times New Roman"/>
          <w:color w:val="000000" w:themeColor="text1"/>
          <w:sz w:val="32"/>
          <w:szCs w:val="32"/>
          <w14:textFill>
            <w14:solidFill>
              <w14:schemeClr w14:val="tx1"/>
            </w14:solidFill>
          </w14:textFill>
        </w:rPr>
        <w:t>突出</w:t>
      </w:r>
      <w:r>
        <w:rPr>
          <w:rFonts w:hint="eastAsia" w:ascii="Times New Roman" w:hAnsi="Times New Roman" w:eastAsia="仿宋_GB2312" w:cs="Times New Roman"/>
          <w:color w:val="000000" w:themeColor="text1"/>
          <w:sz w:val="32"/>
          <w:szCs w:val="32"/>
          <w14:textFill>
            <w14:solidFill>
              <w14:schemeClr w14:val="tx1"/>
            </w14:solidFill>
          </w14:textFill>
        </w:rPr>
        <w:t>园区主导产业和特色产业，着力打造</w:t>
      </w:r>
      <w:r>
        <w:rPr>
          <w:rFonts w:ascii="Times New Roman" w:hAnsi="Times New Roman" w:eastAsia="仿宋_GB2312" w:cs="Times New Roman"/>
          <w:color w:val="000000" w:themeColor="text1"/>
          <w:sz w:val="32"/>
          <w:szCs w:val="32"/>
          <w14:textFill>
            <w14:solidFill>
              <w14:schemeClr w14:val="tx1"/>
            </w14:solidFill>
          </w14:textFill>
        </w:rPr>
        <w:t>特色</w:t>
      </w:r>
      <w:r>
        <w:rPr>
          <w:rFonts w:hint="eastAsia" w:ascii="Times New Roman" w:hAnsi="Times New Roman" w:eastAsia="仿宋_GB2312" w:cs="Times New Roman"/>
          <w:color w:val="000000" w:themeColor="text1"/>
          <w:sz w:val="32"/>
          <w:szCs w:val="32"/>
          <w14:textFill>
            <w14:solidFill>
              <w14:schemeClr w14:val="tx1"/>
            </w14:solidFill>
          </w14:textFill>
        </w:rPr>
        <w:t>专业</w:t>
      </w:r>
      <w:r>
        <w:rPr>
          <w:rFonts w:ascii="Times New Roman" w:hAnsi="Times New Roman" w:eastAsia="仿宋_GB2312" w:cs="Times New Roman"/>
          <w:color w:val="000000" w:themeColor="text1"/>
          <w:sz w:val="32"/>
          <w:szCs w:val="32"/>
          <w14:textFill>
            <w14:solidFill>
              <w14:schemeClr w14:val="tx1"/>
            </w14:solidFill>
          </w14:textFill>
        </w:rPr>
        <w:t>园区，引导企业集群入驻、</w:t>
      </w:r>
      <w:r>
        <w:rPr>
          <w:rFonts w:hint="eastAsia" w:ascii="Times New Roman" w:hAnsi="Times New Roman" w:eastAsia="仿宋_GB2312" w:cs="Times New Roman"/>
          <w:color w:val="000000" w:themeColor="text1"/>
          <w:sz w:val="32"/>
          <w:szCs w:val="32"/>
          <w14:textFill>
            <w14:solidFill>
              <w14:schemeClr w14:val="tx1"/>
            </w14:solidFill>
          </w14:textFill>
        </w:rPr>
        <w:t>集聚发展</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坚持以“亩均效益论英雄”的导向，</w:t>
      </w:r>
      <w:r>
        <w:rPr>
          <w:rFonts w:ascii="Times New Roman" w:hAnsi="Times New Roman" w:eastAsia="仿宋_GB2312" w:cs="Times New Roman"/>
          <w:color w:val="000000" w:themeColor="text1"/>
          <w:sz w:val="32"/>
          <w:szCs w:val="32"/>
          <w14:textFill>
            <w14:solidFill>
              <w14:schemeClr w14:val="tx1"/>
            </w14:solidFill>
          </w14:textFill>
        </w:rPr>
        <w:t>扎实稳妥推进园区调</w:t>
      </w:r>
      <w:r>
        <w:rPr>
          <w:rFonts w:hint="eastAsia" w:ascii="Times New Roman" w:hAnsi="Times New Roman" w:eastAsia="仿宋_GB2312" w:cs="Times New Roman"/>
          <w:color w:val="000000" w:themeColor="text1"/>
          <w:sz w:val="32"/>
          <w:szCs w:val="32"/>
          <w14:textFill>
            <w14:solidFill>
              <w14:schemeClr w14:val="tx1"/>
            </w14:solidFill>
          </w14:textFill>
        </w:rPr>
        <w:t>扩区</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坚持集约用地的前提下，</w:t>
      </w:r>
      <w:r>
        <w:rPr>
          <w:rFonts w:ascii="Times New Roman" w:hAnsi="Times New Roman" w:eastAsia="仿宋_GB2312" w:cs="Times New Roman"/>
          <w:color w:val="000000" w:themeColor="text1"/>
          <w:sz w:val="32"/>
          <w:szCs w:val="32"/>
          <w14:textFill>
            <w14:solidFill>
              <w14:schemeClr w14:val="tx1"/>
            </w14:solidFill>
          </w14:textFill>
        </w:rPr>
        <w:t>做好项目用地保障。进一步完善园区基础配套设施，强化园区公共交通、停车场、充电桩、加气站、污水处理、固废处理等基础设施保障力度。探索推行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飞地经济</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，鼓励与粤港澳大湾区、长三角地区、国家级开发区、战略投资者和中央直属企业采取多种形式合作共建产业园区。</w:t>
      </w:r>
      <w:r>
        <w:rPr>
          <w:rFonts w:hint="eastAsia" w:ascii="Times New Roman" w:hAnsi="Times New Roman" w:eastAsia="仿宋_GB2312" w:cs="Times New Roman"/>
          <w:color w:val="000000"/>
          <w:sz w:val="32"/>
          <w:szCs w:val="32"/>
        </w:rPr>
        <w:t>力争到2025年，园区技工贸总收入年均增长15%，打造2家技工贸总收入超过1500亿元，2家过500亿元，3家过300亿元的园区。</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提升综合平台服务功能。</w:t>
      </w:r>
      <w:r>
        <w:rPr>
          <w:rFonts w:ascii="Times New Roman" w:hAnsi="Times New Roman" w:eastAsia="仿宋_GB2312" w:cs="Times New Roman"/>
          <w:color w:val="000000" w:themeColor="text1"/>
          <w:sz w:val="32"/>
          <w:szCs w:val="32"/>
          <w14:textFill>
            <w14:solidFill>
              <w14:schemeClr w14:val="tx1"/>
            </w14:solidFill>
          </w14:textFill>
        </w:rPr>
        <w:t>发挥湘商产业园中小微企业孵化器、湘商创新创业集聚区作用，紧扣</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升级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核心目标，建好产业发展平台、双创公共技术服务平台、技术支撑平台、融资担保平台，实现动能升级、功能升级、效能升级。完善企业服务体系，提升为企业提供上市融资、信用担保、管理咨询、产品检测、市场开拓、人才培训、展览展销等共享服务保障能力。</w:t>
      </w:r>
      <w:r>
        <w:rPr>
          <w:rFonts w:hint="eastAsia" w:ascii="Times New Roman" w:hAnsi="Times New Roman" w:eastAsia="仿宋_GB2312" w:cs="Times New Roman"/>
          <w:color w:val="000000" w:themeColor="text1"/>
          <w:sz w:val="32"/>
          <w:szCs w:val="32"/>
          <w14:textFill>
            <w14:solidFill>
              <w14:schemeClr w14:val="tx1"/>
            </w14:solidFill>
          </w14:textFill>
        </w:rPr>
        <w:t>优化重点物流园区功能布局，加快推进园区生产配套物流平台建设，</w:t>
      </w:r>
      <w:r>
        <w:rPr>
          <w:rFonts w:ascii="Times New Roman" w:hAnsi="Times New Roman" w:eastAsia="仿宋_GB2312" w:cs="Times New Roman"/>
          <w:color w:val="000000" w:themeColor="text1"/>
          <w:sz w:val="32"/>
          <w:szCs w:val="32"/>
          <w14:textFill>
            <w14:solidFill>
              <w14:schemeClr w14:val="tx1"/>
            </w14:solidFill>
          </w14:textFill>
        </w:rPr>
        <w:t>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工程，全力打造智慧园区、品牌园区、低碳园区。</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推动园区体制机制改革。</w:t>
      </w:r>
      <w:r>
        <w:rPr>
          <w:rFonts w:ascii="Times New Roman" w:hAnsi="Times New Roman" w:eastAsia="仿宋_GB2312" w:cs="Times New Roman"/>
          <w:color w:val="000000" w:themeColor="text1"/>
          <w:sz w:val="32"/>
          <w:szCs w:val="32"/>
          <w14:textFill>
            <w14:solidFill>
              <w14:schemeClr w14:val="tx1"/>
            </w14:solidFill>
          </w14:textFill>
        </w:rPr>
        <w:t>理顺行政管理体制，剥离部分社会事务管理职能，对可由所在地政府行使管理职能的社会事务，全面剥离移交至属地政府承接，促进园区回归主业、轻装上阵；实行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大部门、扁平化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管理，整合归并内设机构。调整</w:t>
      </w:r>
      <w:r>
        <w:rPr>
          <w:rFonts w:hint="eastAsia" w:ascii="Times New Roman" w:hAnsi="Times New Roman" w:eastAsia="仿宋_GB2312" w:cs="Times New Roman"/>
          <w:color w:val="000000" w:themeColor="text1"/>
          <w:sz w:val="32"/>
          <w:szCs w:val="32"/>
          <w14:textFill>
            <w14:solidFill>
              <w14:schemeClr w14:val="tx1"/>
            </w14:solidFill>
          </w14:textFill>
        </w:rPr>
        <w:t>和完善</w:t>
      </w:r>
      <w:r>
        <w:rPr>
          <w:rFonts w:ascii="Times New Roman" w:hAnsi="Times New Roman" w:eastAsia="仿宋_GB2312" w:cs="Times New Roman"/>
          <w:color w:val="000000" w:themeColor="text1"/>
          <w:sz w:val="32"/>
          <w:szCs w:val="32"/>
          <w14:textFill>
            <w14:solidFill>
              <w14:schemeClr w14:val="tx1"/>
            </w14:solidFill>
          </w14:textFill>
        </w:rPr>
        <w:t>财政管理体制，建立与事权相匹配的财政支出体系。建立开放包容审批模式，依法精简工业和基础设施投资项目准入手续，简化审批程序；下放部分经济管理权限，</w:t>
      </w:r>
      <w:r>
        <w:rPr>
          <w:rFonts w:hint="eastAsia" w:ascii="Times New Roman" w:hAnsi="Times New Roman" w:eastAsia="仿宋_GB2312" w:cs="Times New Roman"/>
          <w:color w:val="000000" w:themeColor="text1"/>
          <w:sz w:val="32"/>
          <w:szCs w:val="32"/>
          <w14:textFill>
            <w14:solidFill>
              <w14:schemeClr w14:val="tx1"/>
            </w14:solidFill>
          </w14:textFill>
        </w:rPr>
        <w:t>做到园区事项园区办理</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加快园区绩效和薪酬制度改革，</w:t>
      </w:r>
      <w:r>
        <w:rPr>
          <w:rFonts w:ascii="Times New Roman" w:hAnsi="Times New Roman" w:eastAsia="仿宋_GB2312" w:cs="Times New Roman"/>
          <w:color w:val="000000" w:themeColor="text1"/>
          <w:sz w:val="32"/>
          <w:szCs w:val="32"/>
          <w14:textFill>
            <w14:solidFill>
              <w14:schemeClr w14:val="tx1"/>
            </w14:solidFill>
          </w14:textFill>
        </w:rPr>
        <w:t>优化</w:t>
      </w:r>
      <w:r>
        <w:rPr>
          <w:rFonts w:hint="eastAsia" w:ascii="Times New Roman" w:hAnsi="Times New Roman" w:eastAsia="仿宋_GB2312" w:cs="Times New Roman"/>
          <w:color w:val="000000" w:themeColor="text1"/>
          <w:sz w:val="32"/>
          <w:szCs w:val="32"/>
          <w14:textFill>
            <w14:solidFill>
              <w14:schemeClr w14:val="tx1"/>
            </w14:solidFill>
          </w14:textFill>
        </w:rPr>
        <w:t>园区</w:t>
      </w:r>
      <w:r>
        <w:rPr>
          <w:rFonts w:ascii="Times New Roman" w:hAnsi="Times New Roman" w:eastAsia="仿宋_GB2312" w:cs="Times New Roman"/>
          <w:color w:val="000000" w:themeColor="text1"/>
          <w:sz w:val="32"/>
          <w:szCs w:val="32"/>
          <w14:textFill>
            <w14:solidFill>
              <w14:schemeClr w14:val="tx1"/>
            </w14:solidFill>
          </w14:textFill>
        </w:rPr>
        <w:t>用人机制，推行聘任制。</w:t>
      </w:r>
    </w:p>
    <w:tbl>
      <w:tblPr>
        <w:tblStyle w:val="14"/>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00" w:type="pct"/>
            <w:tcBorders>
              <w:tl2br w:val="nil"/>
              <w:tr2bl w:val="nil"/>
            </w:tcBorders>
            <w:shd w:val="clear" w:color="auto" w:fill="auto"/>
            <w:vAlign w:val="center"/>
          </w:tcPr>
          <w:p>
            <w:pPr>
              <w:adjustRightInd/>
              <w:snapToGrid/>
              <w:spacing w:before="0" w:after="0" w:line="579" w:lineRule="exact"/>
              <w:jc w:val="center"/>
              <w:rPr>
                <w:rFonts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专栏9：园区发展行动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 w:hRule="atLeast"/>
        </w:trPr>
        <w:tc>
          <w:tcPr>
            <w:tcW w:w="5000" w:type="pct"/>
            <w:tcBorders>
              <w:tl2br w:val="nil"/>
              <w:tr2bl w:val="nil"/>
            </w:tcBorders>
            <w:shd w:val="clear" w:color="auto" w:fill="auto"/>
            <w:vAlign w:val="center"/>
          </w:tcPr>
          <w:p>
            <w:pPr>
              <w:adjustRightInd/>
              <w:snapToGrid/>
              <w:spacing w:before="0" w:after="0" w:line="540" w:lineRule="exact"/>
              <w:ind w:firstLine="562" w:firstLineChars="200"/>
              <w:jc w:val="both"/>
              <w:rPr>
                <w:rFonts w:hint="eastAsia" w:ascii="Times New Roman" w:hAnsi="Times New Roman" w:eastAsia="宋体" w:cs="Times New Roman"/>
                <w:color w:val="000000" w:themeColor="text1"/>
                <w:spacing w:val="-6"/>
                <w:szCs w:val="28"/>
                <w:lang w:eastAsia="zh-CN"/>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邵阳经济</w:t>
            </w:r>
            <w:r>
              <w:rPr>
                <w:rFonts w:hint="eastAsia" w:ascii="Times New Roman" w:hAnsi="Times New Roman" w:eastAsia="宋体" w:cs="Times New Roman"/>
                <w:b/>
                <w:bCs/>
                <w:color w:val="000000" w:themeColor="text1"/>
                <w:szCs w:val="28"/>
                <w14:textFill>
                  <w14:solidFill>
                    <w14:schemeClr w14:val="tx1"/>
                  </w14:solidFill>
                </w14:textFill>
              </w:rPr>
              <w:t>技术</w:t>
            </w:r>
            <w:r>
              <w:rPr>
                <w:rFonts w:ascii="Times New Roman" w:hAnsi="Times New Roman" w:eastAsia="宋体" w:cs="Times New Roman"/>
                <w:b/>
                <w:bCs/>
                <w:color w:val="000000" w:themeColor="text1"/>
                <w:szCs w:val="28"/>
                <w14:textFill>
                  <w14:solidFill>
                    <w14:schemeClr w14:val="tx1"/>
                  </w14:solidFill>
                </w14:textFill>
              </w:rPr>
              <w:t>开发区：</w:t>
            </w:r>
            <w:r>
              <w:rPr>
                <w:rFonts w:ascii="Times New Roman" w:hAnsi="Times New Roman" w:eastAsia="宋体" w:cs="Times New Roman"/>
                <w:color w:val="000000" w:themeColor="text1"/>
                <w:spacing w:val="-6"/>
                <w:szCs w:val="28"/>
                <w14:textFill>
                  <w14:solidFill>
                    <w14:schemeClr w14:val="tx1"/>
                  </w14:solidFill>
                </w14:textFill>
              </w:rPr>
              <w:t>以</w:t>
            </w:r>
            <w:r>
              <w:rPr>
                <w:rFonts w:hint="eastAsia" w:ascii="Times New Roman" w:hAnsi="Times New Roman" w:eastAsia="宋体" w:cs="Times New Roman"/>
                <w:color w:val="000000" w:themeColor="text1"/>
                <w:spacing w:val="-6"/>
                <w:szCs w:val="28"/>
                <w14:textFill>
                  <w14:solidFill>
                    <w14:schemeClr w14:val="tx1"/>
                  </w14:solidFill>
                </w14:textFill>
              </w:rPr>
              <w:t>先进</w:t>
            </w:r>
            <w:r>
              <w:rPr>
                <w:rFonts w:ascii="Times New Roman" w:hAnsi="Times New Roman" w:eastAsia="宋体" w:cs="Times New Roman"/>
                <w:color w:val="000000" w:themeColor="text1"/>
                <w:spacing w:val="-6"/>
                <w:szCs w:val="28"/>
                <w14:textFill>
                  <w14:solidFill>
                    <w14:schemeClr w14:val="tx1"/>
                  </w14:solidFill>
                </w14:textFill>
              </w:rPr>
              <w:t>装备制造</w:t>
            </w:r>
            <w:r>
              <w:rPr>
                <w:rFonts w:hint="eastAsia" w:ascii="Times New Roman" w:hAnsi="Times New Roman" w:eastAsia="宋体" w:cs="Times New Roman"/>
                <w:color w:val="000000" w:themeColor="text1"/>
                <w:spacing w:val="-6"/>
                <w:szCs w:val="28"/>
                <w14:textFill>
                  <w14:solidFill>
                    <w14:schemeClr w14:val="tx1"/>
                  </w14:solidFill>
                </w14:textFill>
              </w:rPr>
              <w:t>（工程机械）</w:t>
            </w:r>
            <w:r>
              <w:rPr>
                <w:rFonts w:ascii="Times New Roman" w:hAnsi="Times New Roman" w:eastAsia="宋体" w:cs="Times New Roman"/>
                <w:color w:val="000000" w:themeColor="text1"/>
                <w:spacing w:val="-6"/>
                <w:szCs w:val="28"/>
                <w14:textFill>
                  <w14:solidFill>
                    <w14:schemeClr w14:val="tx1"/>
                  </w14:solidFill>
                </w14:textFill>
              </w:rPr>
              <w:t>、</w:t>
            </w:r>
            <w:r>
              <w:rPr>
                <w:rFonts w:hint="eastAsia" w:ascii="Times New Roman" w:hAnsi="Times New Roman" w:eastAsia="宋体" w:cs="Times New Roman"/>
                <w:color w:val="000000" w:themeColor="text1"/>
                <w:spacing w:val="-6"/>
                <w:szCs w:val="28"/>
                <w14:textFill>
                  <w14:solidFill>
                    <w14:schemeClr w14:val="tx1"/>
                  </w14:solidFill>
                </w14:textFill>
              </w:rPr>
              <w:t>特色轻工（</w:t>
            </w:r>
            <w:r>
              <w:rPr>
                <w:rFonts w:ascii="Times New Roman" w:hAnsi="Times New Roman" w:eastAsia="宋体" w:cs="Times New Roman"/>
                <w:color w:val="000000" w:themeColor="text1"/>
                <w:spacing w:val="-6"/>
                <w:szCs w:val="28"/>
                <w14:textFill>
                  <w14:solidFill>
                    <w14:schemeClr w14:val="tx1"/>
                  </w14:solidFill>
                </w14:textFill>
              </w:rPr>
              <w:t>智能家居家电</w:t>
            </w:r>
            <w:r>
              <w:rPr>
                <w:rFonts w:hint="eastAsia" w:ascii="Times New Roman" w:hAnsi="Times New Roman" w:eastAsia="宋体" w:cs="Times New Roman"/>
                <w:color w:val="000000" w:themeColor="text1"/>
                <w:spacing w:val="-6"/>
                <w:szCs w:val="28"/>
                <w14:textFill>
                  <w14:solidFill>
                    <w14:schemeClr w14:val="tx1"/>
                  </w14:solidFill>
                </w14:textFill>
              </w:rPr>
              <w:t>）为主导产业，新材料（</w:t>
            </w:r>
            <w:r>
              <w:rPr>
                <w:rFonts w:ascii="Times New Roman" w:hAnsi="Times New Roman" w:eastAsia="宋体" w:cs="Times New Roman"/>
                <w:color w:val="000000" w:themeColor="text1"/>
                <w:spacing w:val="-6"/>
                <w:szCs w:val="28"/>
                <w14:textFill>
                  <w14:solidFill>
                    <w14:schemeClr w14:val="tx1"/>
                  </w14:solidFill>
                </w14:textFill>
              </w:rPr>
              <w:t>新</w:t>
            </w:r>
            <w:r>
              <w:rPr>
                <w:rFonts w:hint="eastAsia" w:ascii="Times New Roman" w:hAnsi="Times New Roman" w:eastAsia="宋体" w:cs="Times New Roman"/>
                <w:color w:val="000000" w:themeColor="text1"/>
                <w:spacing w:val="-6"/>
                <w:szCs w:val="28"/>
                <w14:textFill>
                  <w14:solidFill>
                    <w14:schemeClr w14:val="tx1"/>
                  </w14:solidFill>
                </w14:textFill>
              </w:rPr>
              <w:t>型</w:t>
            </w:r>
            <w:r>
              <w:rPr>
                <w:rFonts w:ascii="Times New Roman" w:hAnsi="Times New Roman" w:eastAsia="宋体" w:cs="Times New Roman"/>
                <w:color w:val="000000" w:themeColor="text1"/>
                <w:spacing w:val="-6"/>
                <w:szCs w:val="28"/>
                <w14:textFill>
                  <w14:solidFill>
                    <w14:schemeClr w14:val="tx1"/>
                  </w14:solidFill>
                </w14:textFill>
              </w:rPr>
              <w:t>显示</w:t>
            </w:r>
            <w:r>
              <w:rPr>
                <w:rFonts w:hint="eastAsia" w:ascii="Times New Roman" w:hAnsi="Times New Roman" w:eastAsia="宋体" w:cs="Times New Roman"/>
                <w:color w:val="000000" w:themeColor="text1"/>
                <w:spacing w:val="-6"/>
                <w:szCs w:val="28"/>
                <w14:textFill>
                  <w14:solidFill>
                    <w14:schemeClr w14:val="tx1"/>
                  </w14:solidFill>
                </w14:textFill>
              </w:rPr>
              <w:t>功能材料）</w:t>
            </w:r>
            <w:r>
              <w:rPr>
                <w:rFonts w:ascii="Times New Roman" w:hAnsi="Times New Roman" w:eastAsia="宋体" w:cs="Times New Roman"/>
                <w:color w:val="000000" w:themeColor="text1"/>
                <w:spacing w:val="-6"/>
                <w:szCs w:val="28"/>
                <w14:textFill>
                  <w14:solidFill>
                    <w14:schemeClr w14:val="tx1"/>
                  </w14:solidFill>
                </w14:textFill>
              </w:rPr>
              <w:t>等为</w:t>
            </w:r>
            <w:r>
              <w:rPr>
                <w:rFonts w:hint="eastAsia" w:ascii="Times New Roman" w:hAnsi="Times New Roman" w:eastAsia="宋体" w:cs="Times New Roman"/>
                <w:color w:val="000000" w:themeColor="text1"/>
                <w:spacing w:val="-6"/>
                <w:szCs w:val="28"/>
                <w14:textFill>
                  <w14:solidFill>
                    <w14:schemeClr w14:val="tx1"/>
                  </w14:solidFill>
                </w14:textFill>
              </w:rPr>
              <w:t>特色</w:t>
            </w:r>
            <w:r>
              <w:rPr>
                <w:rFonts w:ascii="Times New Roman" w:hAnsi="Times New Roman" w:eastAsia="宋体" w:cs="Times New Roman"/>
                <w:color w:val="000000" w:themeColor="text1"/>
                <w:spacing w:val="-6"/>
                <w:szCs w:val="28"/>
                <w14:textFill>
                  <w14:solidFill>
                    <w14:schemeClr w14:val="tx1"/>
                  </w14:solidFill>
                </w14:textFill>
              </w:rPr>
              <w:t>产业，建设中国(邵阳)特种玻璃谷。到2025年，技工贸总收入达1</w:t>
            </w:r>
            <w:r>
              <w:rPr>
                <w:rFonts w:hint="eastAsia" w:ascii="Times New Roman" w:hAnsi="Times New Roman" w:eastAsia="宋体" w:cs="Times New Roman"/>
                <w:color w:val="000000" w:themeColor="text1"/>
                <w:spacing w:val="-6"/>
                <w:szCs w:val="28"/>
                <w14:textFill>
                  <w14:solidFill>
                    <w14:schemeClr w14:val="tx1"/>
                  </w14:solidFill>
                </w14:textFill>
              </w:rPr>
              <w:t>500</w:t>
            </w:r>
            <w:r>
              <w:rPr>
                <w:rFonts w:ascii="Times New Roman" w:hAnsi="Times New Roman" w:eastAsia="宋体" w:cs="Times New Roman"/>
                <w:color w:val="000000" w:themeColor="text1"/>
                <w:spacing w:val="-6"/>
                <w:szCs w:val="28"/>
                <w14:textFill>
                  <w14:solidFill>
                    <w14:schemeClr w14:val="tx1"/>
                  </w14:solidFill>
                </w14:textFill>
              </w:rPr>
              <w:t>亿元。</w:t>
            </w:r>
          </w:p>
          <w:p>
            <w:pPr>
              <w:adjustRightInd/>
              <w:snapToGrid/>
              <w:spacing w:before="0" w:after="0" w:line="540" w:lineRule="exact"/>
              <w:ind w:firstLine="560"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邵东经济开发区：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特色</w:t>
            </w:r>
            <w:r>
              <w:rPr>
                <w:rFonts w:ascii="Times New Roman" w:hAnsi="Times New Roman" w:eastAsia="宋体" w:cs="Times New Roman"/>
                <w:color w:val="000000" w:themeColor="text1"/>
                <w:szCs w:val="28"/>
                <w14:textFill>
                  <w14:solidFill>
                    <w14:schemeClr w14:val="tx1"/>
                  </w14:solidFill>
                </w14:textFill>
              </w:rPr>
              <w:t>轻工（</w:t>
            </w:r>
            <w:r>
              <w:rPr>
                <w:rFonts w:hint="eastAsia" w:ascii="Times New Roman" w:hAnsi="Times New Roman" w:eastAsia="宋体" w:cs="Times New Roman"/>
                <w:color w:val="000000" w:themeColor="text1"/>
                <w:szCs w:val="28"/>
                <w14:textFill>
                  <w14:solidFill>
                    <w14:schemeClr w14:val="tx1"/>
                  </w14:solidFill>
                </w14:textFill>
              </w:rPr>
              <w:t>小</w:t>
            </w:r>
            <w:r>
              <w:rPr>
                <w:rFonts w:ascii="Times New Roman" w:hAnsi="Times New Roman" w:eastAsia="宋体" w:cs="Times New Roman"/>
                <w:color w:val="000000" w:themeColor="text1"/>
                <w:szCs w:val="28"/>
                <w14:textFill>
                  <w14:solidFill>
                    <w14:schemeClr w14:val="tx1"/>
                  </w14:solidFill>
                </w14:textFill>
              </w:rPr>
              <w:t>五金、打火机、</w:t>
            </w:r>
            <w:r>
              <w:rPr>
                <w:rFonts w:hint="eastAsia" w:ascii="Times New Roman" w:hAnsi="Times New Roman" w:eastAsia="宋体" w:cs="Times New Roman"/>
                <w:color w:val="000000" w:themeColor="text1"/>
                <w:szCs w:val="28"/>
                <w14:textFill>
                  <w14:solidFill>
                    <w14:schemeClr w14:val="tx1"/>
                  </w14:solidFill>
                </w14:textFill>
              </w:rPr>
              <w:t>箱包制衣</w:t>
            </w:r>
            <w:r>
              <w:rPr>
                <w:rFonts w:ascii="Times New Roman" w:hAnsi="Times New Roman" w:eastAsia="宋体" w:cs="Times New Roman"/>
                <w:color w:val="000000" w:themeColor="text1"/>
                <w:szCs w:val="28"/>
                <w14:textFill>
                  <w14:solidFill>
                    <w14:schemeClr w14:val="tx1"/>
                  </w14:solidFill>
                </w14:textFill>
              </w:rPr>
              <w:t>）</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装备制造（智能制造</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为主导产业，生物医药（中医药</w:t>
            </w:r>
            <w:r>
              <w:rPr>
                <w:rFonts w:hint="eastAsia" w:ascii="Times New Roman" w:hAnsi="Times New Roman" w:eastAsia="宋体" w:cs="Times New Roman"/>
                <w:color w:val="000000" w:themeColor="text1"/>
                <w:szCs w:val="28"/>
                <w14:textFill>
                  <w14:solidFill>
                    <w14:schemeClr w14:val="tx1"/>
                  </w14:solidFill>
                </w14:textFill>
              </w:rPr>
              <w:t>加工</w:t>
            </w:r>
            <w:r>
              <w:rPr>
                <w:rFonts w:ascii="Times New Roman" w:hAnsi="Times New Roman" w:eastAsia="宋体" w:cs="Times New Roman"/>
                <w:color w:val="000000" w:themeColor="text1"/>
                <w:szCs w:val="28"/>
                <w14:textFill>
                  <w14:solidFill>
                    <w14:schemeClr w14:val="tx1"/>
                  </w14:solidFill>
                </w14:textFill>
              </w:rPr>
              <w:t>）</w:t>
            </w:r>
            <w:r>
              <w:rPr>
                <w:rFonts w:hint="eastAsia" w:ascii="Times New Roman" w:hAnsi="Times New Roman" w:eastAsia="宋体" w:cs="Times New Roman"/>
                <w:color w:val="000000" w:themeColor="text1"/>
                <w:szCs w:val="28"/>
                <w14:textFill>
                  <w14:solidFill>
                    <w14:schemeClr w14:val="tx1"/>
                  </w14:solidFill>
                </w14:textFill>
              </w:rPr>
              <w:t>为特色产业</w:t>
            </w:r>
            <w:r>
              <w:rPr>
                <w:rFonts w:ascii="Times New Roman" w:hAnsi="Times New Roman" w:eastAsia="宋体" w:cs="Times New Roman"/>
                <w:color w:val="000000" w:themeColor="text1"/>
                <w:szCs w:val="28"/>
                <w14:textFill>
                  <w14:solidFill>
                    <w14:schemeClr w14:val="tx1"/>
                  </w14:solidFill>
                </w14:textFill>
              </w:rPr>
              <w:t>，建设国内最大的五金轻工专业园区，打造千亿园区，创建国家级高新区。到2025年，技工贸总收入达1</w:t>
            </w:r>
            <w:r>
              <w:rPr>
                <w:rFonts w:hint="eastAsia" w:ascii="Times New Roman" w:hAnsi="Times New Roman" w:eastAsia="宋体" w:cs="Times New Roman"/>
                <w:color w:val="000000" w:themeColor="text1"/>
                <w:szCs w:val="28"/>
                <w14:textFill>
                  <w14:solidFill>
                    <w14:schemeClr w14:val="tx1"/>
                  </w14:solidFill>
                </w14:textFill>
              </w:rPr>
              <w:t>5</w:t>
            </w:r>
            <w:r>
              <w:rPr>
                <w:rFonts w:ascii="Times New Roman" w:hAnsi="Times New Roman" w:eastAsia="宋体" w:cs="Times New Roman"/>
                <w:color w:val="000000" w:themeColor="text1"/>
                <w:szCs w:val="28"/>
                <w14:textFill>
                  <w14:solidFill>
                    <w14:schemeClr w14:val="tx1"/>
                  </w14:solidFill>
                </w14:textFill>
              </w:rPr>
              <w:t>00亿元</w:t>
            </w:r>
          </w:p>
          <w:p>
            <w:pPr>
              <w:adjustRightInd/>
              <w:snapToGrid/>
              <w:spacing w:before="0" w:after="0" w:line="54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大祥</w:t>
            </w:r>
            <w:r>
              <w:rPr>
                <w:rFonts w:hint="eastAsia" w:ascii="Times New Roman" w:hAnsi="Times New Roman" w:eastAsia="宋体" w:cs="Times New Roman"/>
                <w:b/>
                <w:bCs/>
                <w:color w:val="000000" w:themeColor="text1"/>
                <w:szCs w:val="28"/>
                <w14:textFill>
                  <w14:solidFill>
                    <w14:schemeClr w14:val="tx1"/>
                  </w14:solidFill>
                </w14:textFill>
              </w:rPr>
              <w:t>产业开发</w:t>
            </w:r>
            <w:r>
              <w:rPr>
                <w:rFonts w:ascii="Times New Roman" w:hAnsi="Times New Roman" w:eastAsia="宋体" w:cs="Times New Roman"/>
                <w:b/>
                <w:bCs/>
                <w:color w:val="000000" w:themeColor="text1"/>
                <w:szCs w:val="28"/>
                <w14:textFill>
                  <w14:solidFill>
                    <w14:schemeClr w14:val="tx1"/>
                  </w14:solidFill>
                </w14:textFill>
              </w:rPr>
              <w:t>区：</w:t>
            </w:r>
            <w:r>
              <w:rPr>
                <w:rFonts w:hint="eastAsia" w:ascii="Times New Roman" w:hAnsi="Times New Roman" w:eastAsia="宋体" w:cs="Times New Roman"/>
                <w:color w:val="000000" w:themeColor="text1"/>
                <w:szCs w:val="28"/>
                <w14:textFill>
                  <w14:solidFill>
                    <w14:schemeClr w14:val="tx1"/>
                  </w14:solidFill>
                </w14:textFill>
              </w:rPr>
              <w:t>以农产品精深加工为主导产业，农机及农产品商贸物流为特色产业，建设湖南最大的国家农业科技园。到2025年，技工贸总收入达200亿元</w:t>
            </w:r>
            <w:r>
              <w:rPr>
                <w:rFonts w:ascii="Times New Roman" w:hAnsi="Times New Roman" w:eastAsia="宋体" w:cs="Times New Roman"/>
                <w:color w:val="000000" w:themeColor="text1"/>
                <w:szCs w:val="28"/>
                <w14:textFill>
                  <w14:solidFill>
                    <w14:schemeClr w14:val="tx1"/>
                  </w14:solidFill>
                </w14:textFill>
              </w:rPr>
              <w:t>。</w:t>
            </w:r>
          </w:p>
          <w:p>
            <w:pPr>
              <w:adjustRightInd/>
              <w:snapToGrid/>
              <w:spacing w:before="0" w:after="0" w:line="540" w:lineRule="exact"/>
              <w:ind w:firstLine="562"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新邵经济开发区：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机械智能制造</w:t>
            </w:r>
            <w:r>
              <w:rPr>
                <w:rFonts w:ascii="Times New Roman" w:hAnsi="Times New Roman" w:eastAsia="宋体" w:cs="Times New Roman"/>
                <w:color w:val="000000" w:themeColor="text1"/>
                <w:szCs w:val="28"/>
                <w14:textFill>
                  <w14:solidFill>
                    <w14:schemeClr w14:val="tx1"/>
                  </w14:solidFill>
                </w14:textFill>
              </w:rPr>
              <w:t>为主导产业，</w:t>
            </w:r>
            <w:r>
              <w:rPr>
                <w:rFonts w:hint="eastAsia" w:ascii="Times New Roman" w:hAnsi="Times New Roman" w:eastAsia="宋体" w:cs="Times New Roman"/>
                <w:color w:val="000000" w:themeColor="text1"/>
                <w:szCs w:val="28"/>
                <w14:textFill>
                  <w14:solidFill>
                    <w14:schemeClr w14:val="tx1"/>
                  </w14:solidFill>
                </w14:textFill>
              </w:rPr>
              <w:t>循环经济为特色产业</w:t>
            </w:r>
            <w:r>
              <w:rPr>
                <w:rFonts w:ascii="Times New Roman" w:hAnsi="Times New Roman" w:eastAsia="宋体" w:cs="Times New Roman"/>
                <w:color w:val="000000" w:themeColor="text1"/>
                <w:szCs w:val="28"/>
                <w14:textFill>
                  <w14:solidFill>
                    <w14:schemeClr w14:val="tx1"/>
                  </w14:solidFill>
                </w14:textFill>
              </w:rPr>
              <w:t>，</w:t>
            </w:r>
            <w:r>
              <w:rPr>
                <w:rFonts w:hint="eastAsia" w:ascii="Times New Roman" w:hAnsi="Times New Roman" w:eastAsia="宋体" w:cs="Times New Roman"/>
                <w:color w:val="000000" w:themeColor="text1"/>
                <w:szCs w:val="28"/>
                <w14:textFill>
                  <w14:solidFill>
                    <w14:schemeClr w14:val="tx1"/>
                  </w14:solidFill>
                </w14:textFill>
              </w:rPr>
              <w:t>创建国家级</w:t>
            </w:r>
            <w:r>
              <w:rPr>
                <w:rFonts w:ascii="Times New Roman" w:hAnsi="Times New Roman" w:eastAsia="宋体" w:cs="Times New Roman"/>
                <w:color w:val="000000" w:themeColor="text1"/>
                <w:szCs w:val="28"/>
                <w14:textFill>
                  <w14:solidFill>
                    <w14:schemeClr w14:val="tx1"/>
                  </w14:solidFill>
                </w14:textFill>
              </w:rPr>
              <w:t>循环</w:t>
            </w:r>
            <w:r>
              <w:rPr>
                <w:rFonts w:hint="eastAsia" w:ascii="Times New Roman" w:hAnsi="Times New Roman" w:eastAsia="宋体" w:cs="Times New Roman"/>
                <w:color w:val="000000" w:themeColor="text1"/>
                <w:szCs w:val="28"/>
                <w14:textFill>
                  <w14:solidFill>
                    <w14:schemeClr w14:val="tx1"/>
                  </w14:solidFill>
                </w14:textFill>
              </w:rPr>
              <w:t>经济</w:t>
            </w:r>
            <w:r>
              <w:rPr>
                <w:rFonts w:ascii="Times New Roman" w:hAnsi="Times New Roman" w:eastAsia="宋体" w:cs="Times New Roman"/>
                <w:color w:val="000000" w:themeColor="text1"/>
                <w:szCs w:val="28"/>
                <w14:textFill>
                  <w14:solidFill>
                    <w14:schemeClr w14:val="tx1"/>
                  </w14:solidFill>
                </w14:textFill>
              </w:rPr>
              <w:t>产业园。到2025年，技工贸总收入达500亿元。</w:t>
            </w:r>
          </w:p>
          <w:p>
            <w:pPr>
              <w:adjustRightInd/>
              <w:snapToGrid/>
              <w:spacing w:before="0" w:after="0" w:line="540" w:lineRule="exact"/>
              <w:ind w:firstLine="560"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 xml:space="preserve"> 隆回高新技术产业开发区：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轻工智能制造</w:t>
            </w:r>
            <w:r>
              <w:rPr>
                <w:rFonts w:ascii="Times New Roman" w:hAnsi="Times New Roman" w:eastAsia="宋体" w:cs="Times New Roman"/>
                <w:color w:val="000000" w:themeColor="text1"/>
                <w:szCs w:val="28"/>
                <w14:textFill>
                  <w14:solidFill>
                    <w14:schemeClr w14:val="tx1"/>
                  </w14:solidFill>
                </w14:textFill>
              </w:rPr>
              <w:t>为主导产业，</w:t>
            </w:r>
            <w:r>
              <w:rPr>
                <w:rFonts w:hint="eastAsia" w:ascii="Times New Roman" w:hAnsi="Times New Roman" w:eastAsia="宋体" w:cs="Times New Roman"/>
                <w:color w:val="000000" w:themeColor="text1"/>
                <w:szCs w:val="28"/>
                <w14:textFill>
                  <w14:solidFill>
                    <w14:schemeClr w14:val="tx1"/>
                  </w14:solidFill>
                </w14:textFill>
              </w:rPr>
              <w:t>为</w:t>
            </w:r>
            <w:r>
              <w:rPr>
                <w:rFonts w:ascii="Times New Roman" w:hAnsi="Times New Roman" w:eastAsia="宋体" w:cs="Times New Roman"/>
                <w:color w:val="000000" w:themeColor="text1"/>
                <w:szCs w:val="28"/>
                <w14:textFill>
                  <w14:solidFill>
                    <w14:schemeClr w14:val="tx1"/>
                  </w14:solidFill>
                </w14:textFill>
              </w:rPr>
              <w:t>富硒</w:t>
            </w:r>
            <w:r>
              <w:rPr>
                <w:rFonts w:hint="eastAsia" w:ascii="Times New Roman" w:hAnsi="Times New Roman" w:eastAsia="宋体" w:cs="Times New Roman"/>
                <w:color w:val="000000" w:themeColor="text1"/>
                <w:szCs w:val="28"/>
                <w14:textFill>
                  <w14:solidFill>
                    <w14:schemeClr w14:val="tx1"/>
                  </w14:solidFill>
                </w14:textFill>
              </w:rPr>
              <w:t>农产品（食品、中医药加工）特色产业</w:t>
            </w:r>
            <w:r>
              <w:rPr>
                <w:rFonts w:ascii="Times New Roman" w:hAnsi="Times New Roman" w:eastAsia="宋体" w:cs="Times New Roman"/>
                <w:color w:val="000000" w:themeColor="text1"/>
                <w:szCs w:val="28"/>
                <w14:textFill>
                  <w14:solidFill>
                    <w14:schemeClr w14:val="tx1"/>
                  </w14:solidFill>
                </w14:textFill>
              </w:rPr>
              <w:t>，建设轻工智能制造产业园、湘西湘南最大农副产品加工及中药材开发基地。到2025年，技工贸总收入达500亿元。</w:t>
            </w:r>
          </w:p>
          <w:p>
            <w:pPr>
              <w:adjustRightInd/>
              <w:snapToGrid/>
              <w:spacing w:before="0" w:after="0" w:line="540" w:lineRule="exact"/>
              <w:ind w:firstLine="560"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邵阳县</w:t>
            </w:r>
            <w:r>
              <w:rPr>
                <w:rFonts w:hint="eastAsia" w:ascii="Times New Roman" w:hAnsi="Times New Roman" w:eastAsia="宋体" w:cs="Times New Roman"/>
                <w:b/>
                <w:bCs/>
                <w:color w:val="000000" w:themeColor="text1"/>
                <w:szCs w:val="28"/>
                <w14:textFill>
                  <w14:solidFill>
                    <w14:schemeClr w14:val="tx1"/>
                  </w14:solidFill>
                </w14:textFill>
              </w:rPr>
              <w:t>高新技术产业开发</w:t>
            </w:r>
            <w:r>
              <w:rPr>
                <w:rFonts w:ascii="Times New Roman" w:hAnsi="Times New Roman" w:eastAsia="宋体" w:cs="Times New Roman"/>
                <w:b/>
                <w:bCs/>
                <w:color w:val="000000" w:themeColor="text1"/>
                <w:szCs w:val="28"/>
                <w14:textFill>
                  <w14:solidFill>
                    <w14:schemeClr w14:val="tx1"/>
                  </w14:solidFill>
                </w14:textFill>
              </w:rPr>
              <w:t>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新材料（新型建材）</w:t>
            </w:r>
            <w:r>
              <w:rPr>
                <w:rFonts w:ascii="Times New Roman" w:hAnsi="Times New Roman" w:eastAsia="宋体" w:cs="Times New Roman"/>
                <w:color w:val="000000" w:themeColor="text1"/>
                <w:szCs w:val="28"/>
                <w14:textFill>
                  <w14:solidFill>
                    <w14:schemeClr w14:val="tx1"/>
                  </w14:solidFill>
                </w14:textFill>
              </w:rPr>
              <w:t>为主导产业，</w:t>
            </w:r>
            <w:r>
              <w:rPr>
                <w:rFonts w:hint="eastAsia" w:ascii="Times New Roman" w:hAnsi="Times New Roman" w:eastAsia="宋体" w:cs="Times New Roman"/>
                <w:color w:val="000000" w:themeColor="text1"/>
                <w:szCs w:val="28"/>
                <w14:textFill>
                  <w14:solidFill>
                    <w14:schemeClr w14:val="tx1"/>
                  </w14:solidFill>
                </w14:textFill>
              </w:rPr>
              <w:t>塑胶制品为特色产业</w:t>
            </w:r>
            <w:r>
              <w:rPr>
                <w:rFonts w:ascii="Times New Roman" w:hAnsi="Times New Roman" w:eastAsia="宋体" w:cs="Times New Roman"/>
                <w:color w:val="000000" w:themeColor="text1"/>
                <w:szCs w:val="28"/>
                <w14:textFill>
                  <w14:solidFill>
                    <w14:schemeClr w14:val="tx1"/>
                  </w14:solidFill>
                </w14:textFill>
              </w:rPr>
              <w:t>，着力推动</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一特三专</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园区发展格局，建设</w:t>
            </w:r>
            <w:r>
              <w:rPr>
                <w:rFonts w:hint="eastAsia" w:ascii="Times New Roman" w:hAnsi="Times New Roman" w:eastAsia="宋体" w:cs="Times New Roman"/>
                <w:color w:val="000000" w:themeColor="text1"/>
                <w:szCs w:val="28"/>
                <w14:textFill>
                  <w14:solidFill>
                    <w14:schemeClr w14:val="tx1"/>
                  </w14:solidFill>
                </w14:textFill>
              </w:rPr>
              <w:t>新型建材</w:t>
            </w:r>
            <w:r>
              <w:rPr>
                <w:rFonts w:ascii="Times New Roman" w:hAnsi="Times New Roman" w:eastAsia="宋体" w:cs="Times New Roman"/>
                <w:color w:val="000000" w:themeColor="text1"/>
                <w:szCs w:val="28"/>
                <w14:textFill>
                  <w14:solidFill>
                    <w14:schemeClr w14:val="tx1"/>
                  </w14:solidFill>
                </w14:textFill>
              </w:rPr>
              <w:t>产业园和以塑胶产品为特色的宝庆国际塑胶科技产业园。到2025年，技工贸总收入达</w:t>
            </w:r>
            <w:r>
              <w:rPr>
                <w:rFonts w:hint="eastAsia" w:ascii="Times New Roman" w:hAnsi="Times New Roman" w:eastAsia="宋体" w:cs="Times New Roman"/>
                <w:color w:val="000000" w:themeColor="text1"/>
                <w:szCs w:val="28"/>
                <w14:textFill>
                  <w14:solidFill>
                    <w14:schemeClr w14:val="tx1"/>
                  </w14:solidFill>
                </w14:textFill>
              </w:rPr>
              <w:t>300</w:t>
            </w:r>
            <w:r>
              <w:rPr>
                <w:rFonts w:ascii="Times New Roman" w:hAnsi="Times New Roman" w:eastAsia="宋体" w:cs="Times New Roman"/>
                <w:color w:val="000000" w:themeColor="text1"/>
                <w:szCs w:val="28"/>
                <w14:textFill>
                  <w14:solidFill>
                    <w14:schemeClr w14:val="tx1"/>
                  </w14:solidFill>
                </w14:textFill>
              </w:rPr>
              <w:t>亿元。</w:t>
            </w:r>
          </w:p>
          <w:p>
            <w:pPr>
              <w:adjustRightInd/>
              <w:snapToGrid/>
              <w:spacing w:before="0" w:after="0" w:line="540" w:lineRule="exact"/>
              <w:ind w:firstLine="560"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 xml:space="preserve"> </w:t>
            </w:r>
            <w:r>
              <w:rPr>
                <w:rFonts w:hint="eastAsia" w:ascii="Times New Roman" w:hAnsi="Times New Roman" w:eastAsia="宋体" w:cs="Times New Roman"/>
                <w:b/>
                <w:bCs/>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 xml:space="preserve"> 武冈经济开发区：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机械智能制造</w:t>
            </w:r>
            <w:r>
              <w:rPr>
                <w:rFonts w:ascii="Times New Roman" w:hAnsi="Times New Roman" w:eastAsia="宋体" w:cs="Times New Roman"/>
                <w:color w:val="000000" w:themeColor="text1"/>
                <w:szCs w:val="28"/>
                <w14:textFill>
                  <w14:solidFill>
                    <w14:schemeClr w14:val="tx1"/>
                  </w14:solidFill>
                </w14:textFill>
              </w:rPr>
              <w:t>为主导产业，</w:t>
            </w:r>
            <w:r>
              <w:rPr>
                <w:rFonts w:hint="eastAsia" w:ascii="Times New Roman" w:hAnsi="Times New Roman" w:eastAsia="宋体" w:cs="Times New Roman"/>
                <w:color w:val="000000" w:themeColor="text1"/>
                <w:szCs w:val="28"/>
                <w14:textFill>
                  <w14:solidFill>
                    <w14:schemeClr w14:val="tx1"/>
                  </w14:solidFill>
                </w14:textFill>
              </w:rPr>
              <w:t>食品加工（卤制品、豆制品加工、酒水饮料）为特色产业</w:t>
            </w:r>
            <w:r>
              <w:rPr>
                <w:rFonts w:ascii="Times New Roman" w:hAnsi="Times New Roman" w:eastAsia="宋体" w:cs="Times New Roman"/>
                <w:color w:val="000000" w:themeColor="text1"/>
                <w:szCs w:val="28"/>
                <w14:textFill>
                  <w14:solidFill>
                    <w14:schemeClr w14:val="tx1"/>
                  </w14:solidFill>
                </w14:textFill>
              </w:rPr>
              <w:t>，建设电子产品智能制造产业园、特色农产品加工基地。到2025年，技工贸总收入达</w:t>
            </w:r>
            <w:r>
              <w:rPr>
                <w:rFonts w:hint="eastAsia" w:ascii="Times New Roman" w:hAnsi="Times New Roman" w:eastAsia="宋体" w:cs="Times New Roman"/>
                <w:color w:val="000000" w:themeColor="text1"/>
                <w:szCs w:val="28"/>
                <w14:textFill>
                  <w14:solidFill>
                    <w14:schemeClr w14:val="tx1"/>
                  </w14:solidFill>
                </w14:textFill>
              </w:rPr>
              <w:t>3</w:t>
            </w:r>
            <w:r>
              <w:rPr>
                <w:rFonts w:ascii="Times New Roman" w:hAnsi="Times New Roman" w:eastAsia="宋体" w:cs="Times New Roman"/>
                <w:color w:val="000000" w:themeColor="text1"/>
                <w:szCs w:val="28"/>
                <w14:textFill>
                  <w14:solidFill>
                    <w14:schemeClr w14:val="tx1"/>
                  </w14:solidFill>
                </w14:textFill>
              </w:rPr>
              <w:t>00亿元。</w:t>
            </w:r>
          </w:p>
          <w:p>
            <w:pPr>
              <w:adjustRightInd/>
              <w:snapToGrid/>
              <w:spacing w:before="0" w:after="0" w:line="540" w:lineRule="exact"/>
              <w:ind w:firstLine="560"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 xml:space="preserve"> 洞口经济开发区：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特色农产品加工为主导产业，电子信息技术为特色产业</w:t>
            </w:r>
            <w:r>
              <w:rPr>
                <w:rFonts w:ascii="Times New Roman" w:hAnsi="Times New Roman" w:eastAsia="宋体" w:cs="Times New Roman"/>
                <w:color w:val="000000" w:themeColor="text1"/>
                <w:szCs w:val="28"/>
                <w14:textFill>
                  <w14:solidFill>
                    <w14:schemeClr w14:val="tx1"/>
                  </w14:solidFill>
                </w14:textFill>
              </w:rPr>
              <w:t>，建设农产品精深加工产业园。到2025年，技工贸总收入达</w:t>
            </w:r>
            <w:r>
              <w:rPr>
                <w:rFonts w:hint="eastAsia" w:ascii="Times New Roman" w:hAnsi="Times New Roman" w:eastAsia="宋体" w:cs="Times New Roman"/>
                <w:color w:val="000000" w:themeColor="text1"/>
                <w:szCs w:val="28"/>
                <w14:textFill>
                  <w14:solidFill>
                    <w14:schemeClr w14:val="tx1"/>
                  </w14:solidFill>
                </w14:textFill>
              </w:rPr>
              <w:t>3</w:t>
            </w:r>
            <w:r>
              <w:rPr>
                <w:rFonts w:ascii="Times New Roman" w:hAnsi="Times New Roman" w:eastAsia="宋体" w:cs="Times New Roman"/>
                <w:color w:val="000000" w:themeColor="text1"/>
                <w:szCs w:val="28"/>
                <w14:textFill>
                  <w14:solidFill>
                    <w14:schemeClr w14:val="tx1"/>
                  </w14:solidFill>
                </w14:textFill>
              </w:rPr>
              <w:t>00亿元。</w:t>
            </w:r>
          </w:p>
          <w:p>
            <w:pPr>
              <w:adjustRightInd/>
              <w:snapToGrid/>
              <w:spacing w:before="0" w:after="0" w:line="540" w:lineRule="exact"/>
              <w:ind w:firstLine="560" w:firstLineChars="200"/>
              <w:jc w:val="both"/>
              <w:rPr>
                <w:rFonts w:ascii="Times New Roman" w:hAnsi="Times New Roman" w:eastAsia="宋体" w:cs="Times New Roman"/>
                <w:color w:val="000000" w:themeColor="text1"/>
                <w:spacing w:val="-6"/>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新宁</w:t>
            </w:r>
            <w:r>
              <w:rPr>
                <w:rFonts w:hint="eastAsia" w:ascii="Times New Roman" w:hAnsi="Times New Roman" w:eastAsia="宋体" w:cs="Times New Roman"/>
                <w:b/>
                <w:bCs/>
                <w:color w:val="000000" w:themeColor="text1"/>
                <w:szCs w:val="28"/>
                <w14:textFill>
                  <w14:solidFill>
                    <w14:schemeClr w14:val="tx1"/>
                  </w14:solidFill>
                </w14:textFill>
              </w:rPr>
              <w:t>产业开发</w:t>
            </w:r>
            <w:r>
              <w:rPr>
                <w:rFonts w:ascii="Times New Roman" w:hAnsi="Times New Roman" w:eastAsia="宋体" w:cs="Times New Roman"/>
                <w:b/>
                <w:bCs/>
                <w:color w:val="000000" w:themeColor="text1"/>
                <w:szCs w:val="28"/>
                <w14:textFill>
                  <w14:solidFill>
                    <w14:schemeClr w14:val="tx1"/>
                  </w14:solidFill>
                </w14:textFill>
              </w:rPr>
              <w:t>区：</w:t>
            </w:r>
            <w:r>
              <w:rPr>
                <w:rFonts w:ascii="Times New Roman" w:hAnsi="Times New Roman" w:eastAsia="宋体" w:cs="Times New Roman"/>
                <w:color w:val="000000" w:themeColor="text1"/>
                <w:spacing w:val="-6"/>
                <w:szCs w:val="28"/>
                <w14:textFill>
                  <w14:solidFill>
                    <w14:schemeClr w14:val="tx1"/>
                  </w14:solidFill>
                </w14:textFill>
              </w:rPr>
              <w:t>以</w:t>
            </w:r>
            <w:r>
              <w:rPr>
                <w:rFonts w:hint="eastAsia" w:ascii="Times New Roman" w:hAnsi="Times New Roman" w:eastAsia="宋体" w:cs="Times New Roman"/>
                <w:color w:val="000000" w:themeColor="text1"/>
                <w:spacing w:val="-6"/>
                <w:szCs w:val="28"/>
                <w14:textFill>
                  <w14:solidFill>
                    <w14:schemeClr w14:val="tx1"/>
                  </w14:solidFill>
                </w14:textFill>
              </w:rPr>
              <w:t>旅游制品为主导产业，电子制造</w:t>
            </w:r>
            <w:r>
              <w:rPr>
                <w:rFonts w:ascii="Times New Roman" w:hAnsi="Times New Roman" w:eastAsia="宋体" w:cs="Times New Roman"/>
                <w:color w:val="000000" w:themeColor="text1"/>
                <w:spacing w:val="-6"/>
                <w:szCs w:val="28"/>
                <w14:textFill>
                  <w14:solidFill>
                    <w14:schemeClr w14:val="tx1"/>
                  </w14:solidFill>
                </w14:textFill>
              </w:rPr>
              <w:t>（手机零配件）</w:t>
            </w:r>
            <w:r>
              <w:rPr>
                <w:rFonts w:hint="eastAsia" w:ascii="Times New Roman" w:hAnsi="Times New Roman" w:eastAsia="宋体" w:cs="Times New Roman"/>
                <w:color w:val="000000" w:themeColor="text1"/>
                <w:spacing w:val="-6"/>
                <w:szCs w:val="28"/>
                <w14:textFill>
                  <w14:solidFill>
                    <w14:schemeClr w14:val="tx1"/>
                  </w14:solidFill>
                </w14:textFill>
              </w:rPr>
              <w:t>为特色</w:t>
            </w:r>
            <w:r>
              <w:rPr>
                <w:rFonts w:ascii="Times New Roman" w:hAnsi="Times New Roman" w:eastAsia="宋体" w:cs="Times New Roman"/>
                <w:color w:val="000000" w:themeColor="text1"/>
                <w:spacing w:val="-6"/>
                <w:szCs w:val="28"/>
                <w14:textFill>
                  <w14:solidFill>
                    <w14:schemeClr w14:val="tx1"/>
                  </w14:solidFill>
                </w14:textFill>
              </w:rPr>
              <w:t>产业，建设</w:t>
            </w:r>
            <w:r>
              <w:rPr>
                <w:rFonts w:hint="eastAsia" w:ascii="Times New Roman" w:hAnsi="Times New Roman" w:eastAsia="宋体" w:cs="Times New Roman"/>
                <w:color w:val="000000" w:themeColor="text1"/>
                <w:spacing w:val="-6"/>
                <w:szCs w:val="28"/>
                <w14:textFill>
                  <w14:solidFill>
                    <w14:schemeClr w14:val="tx1"/>
                  </w14:solidFill>
                </w14:textFill>
              </w:rPr>
              <w:t>旅游产品加工产业园和</w:t>
            </w:r>
            <w:r>
              <w:rPr>
                <w:rFonts w:ascii="Times New Roman" w:hAnsi="Times New Roman" w:eastAsia="宋体" w:cs="Times New Roman"/>
                <w:color w:val="000000" w:themeColor="text1"/>
                <w:spacing w:val="-6"/>
                <w:szCs w:val="28"/>
                <w14:textFill>
                  <w14:solidFill>
                    <w14:schemeClr w14:val="tx1"/>
                  </w14:solidFill>
                </w14:textFill>
              </w:rPr>
              <w:t>裘革服饰产业园。到2025年，技工贸总收入达200亿元。</w:t>
            </w:r>
          </w:p>
          <w:p>
            <w:pPr>
              <w:adjustRightInd/>
              <w:snapToGrid/>
              <w:spacing w:before="0" w:after="0" w:line="540" w:lineRule="exact"/>
              <w:ind w:firstLine="562"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绥宁</w:t>
            </w:r>
            <w:r>
              <w:rPr>
                <w:rFonts w:hint="eastAsia" w:ascii="Times New Roman" w:hAnsi="Times New Roman" w:eastAsia="宋体" w:cs="Times New Roman"/>
                <w:b/>
                <w:bCs/>
                <w:color w:val="000000" w:themeColor="text1"/>
                <w:szCs w:val="28"/>
                <w14:textFill>
                  <w14:solidFill>
                    <w14:schemeClr w14:val="tx1"/>
                  </w14:solidFill>
                </w14:textFill>
              </w:rPr>
              <w:t>产业开发</w:t>
            </w:r>
            <w:r>
              <w:rPr>
                <w:rFonts w:ascii="Times New Roman" w:hAnsi="Times New Roman" w:eastAsia="宋体" w:cs="Times New Roman"/>
                <w:b/>
                <w:bCs/>
                <w:color w:val="000000" w:themeColor="text1"/>
                <w:szCs w:val="28"/>
                <w14:textFill>
                  <w14:solidFill>
                    <w14:schemeClr w14:val="tx1"/>
                  </w14:solidFill>
                </w14:textFill>
              </w:rPr>
              <w:t>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农副产品深加工为主导产业，竹木深加工为特色产业</w:t>
            </w:r>
            <w:r>
              <w:rPr>
                <w:rFonts w:ascii="Times New Roman" w:hAnsi="Times New Roman" w:eastAsia="宋体" w:cs="Times New Roman"/>
                <w:color w:val="000000" w:themeColor="text1"/>
                <w:szCs w:val="28"/>
                <w14:textFill>
                  <w14:solidFill>
                    <w14:schemeClr w14:val="tx1"/>
                  </w14:solidFill>
                </w14:textFill>
              </w:rPr>
              <w:t>，建设国家级竹木精深加工产业园、农副产品加工业基地，打造生态环保型产业示范区。到2025年，技工贸总收入达200亿元。</w:t>
            </w:r>
          </w:p>
          <w:p>
            <w:pPr>
              <w:adjustRightInd/>
              <w:snapToGrid/>
              <w:spacing w:before="0" w:after="0" w:line="540" w:lineRule="exact"/>
              <w:ind w:firstLine="560" w:firstLineChars="200"/>
              <w:jc w:val="both"/>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城步</w:t>
            </w:r>
            <w:r>
              <w:rPr>
                <w:rFonts w:hint="eastAsia" w:ascii="Times New Roman" w:hAnsi="Times New Roman" w:eastAsia="宋体" w:cs="Times New Roman"/>
                <w:b/>
                <w:bCs/>
                <w:color w:val="000000" w:themeColor="text1"/>
                <w:szCs w:val="28"/>
                <w14:textFill>
                  <w14:solidFill>
                    <w14:schemeClr w14:val="tx1"/>
                  </w14:solidFill>
                </w14:textFill>
              </w:rPr>
              <w:t>产业开发</w:t>
            </w:r>
            <w:r>
              <w:rPr>
                <w:rFonts w:ascii="Times New Roman" w:hAnsi="Times New Roman" w:eastAsia="宋体" w:cs="Times New Roman"/>
                <w:b/>
                <w:bCs/>
                <w:color w:val="000000" w:themeColor="text1"/>
                <w:szCs w:val="28"/>
                <w14:textFill>
                  <w14:solidFill>
                    <w14:schemeClr w14:val="tx1"/>
                  </w14:solidFill>
                </w14:textFill>
              </w:rPr>
              <w:t>区：</w:t>
            </w:r>
            <w:r>
              <w:rPr>
                <w:rFonts w:ascii="Times New Roman" w:hAnsi="Times New Roman" w:eastAsia="宋体" w:cs="Times New Roman"/>
                <w:color w:val="000000" w:themeColor="text1"/>
                <w:szCs w:val="28"/>
                <w14:textFill>
                  <w14:solidFill>
                    <w14:schemeClr w14:val="tx1"/>
                  </w14:solidFill>
                </w14:textFill>
              </w:rPr>
              <w:t>以</w:t>
            </w:r>
            <w:r>
              <w:rPr>
                <w:rFonts w:hint="eastAsia" w:ascii="Times New Roman" w:hAnsi="Times New Roman" w:eastAsia="宋体" w:cs="Times New Roman"/>
                <w:color w:val="000000" w:themeColor="text1"/>
                <w:szCs w:val="28"/>
                <w14:textFill>
                  <w14:solidFill>
                    <w14:schemeClr w14:val="tx1"/>
                  </w14:solidFill>
                </w14:textFill>
              </w:rPr>
              <w:t>农副产品深加工（高山有机绿色食品、茶酒饮品）为主导产业，乳制品加工为特色产业</w:t>
            </w:r>
            <w:r>
              <w:rPr>
                <w:rFonts w:ascii="Times New Roman" w:hAnsi="Times New Roman" w:eastAsia="宋体" w:cs="Times New Roman"/>
                <w:color w:val="000000" w:themeColor="text1"/>
                <w:szCs w:val="28"/>
                <w14:textFill>
                  <w14:solidFill>
                    <w14:schemeClr w14:val="tx1"/>
                  </w14:solidFill>
                </w14:textFill>
              </w:rPr>
              <w:t>，建设高山有机食品产业园、竹木精深加工产业园。到2025年，技工贸总收入达200亿元。</w:t>
            </w:r>
          </w:p>
          <w:p>
            <w:pPr>
              <w:adjustRightInd/>
              <w:snapToGrid/>
              <w:spacing w:before="0" w:after="0" w:line="54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color w:val="000000" w:themeColor="text1"/>
                <w:szCs w:val="28"/>
                <w14:textFill>
                  <w14:solidFill>
                    <w14:schemeClr w14:val="tx1"/>
                  </w14:solidFill>
                </w14:textFill>
              </w:rPr>
              <w:t xml:space="preserve"> </w:t>
            </w:r>
          </w:p>
        </w:tc>
      </w:tr>
    </w:tbl>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pPr>
        <w:rPr>
          <w:rFonts w:ascii="Times New Roman" w:hAnsi="Times New Roman" w:cs="Times New Roman"/>
        </w:rPr>
      </w:pPr>
      <w:bookmarkStart w:id="767" w:name="_Toc14711"/>
      <w:bookmarkStart w:id="768" w:name="_Toc19726"/>
      <w:bookmarkStart w:id="769" w:name="_Toc18822"/>
      <w:bookmarkStart w:id="770" w:name="_Toc18076"/>
      <w:bookmarkStart w:id="771" w:name="_Toc14395"/>
      <w:bookmarkStart w:id="772" w:name="_Toc3091"/>
      <w:bookmarkStart w:id="773" w:name="_Toc7059"/>
      <w:bookmarkStart w:id="774" w:name="_Toc6366"/>
      <w:bookmarkStart w:id="775" w:name="_Toc28475"/>
      <w:bookmarkStart w:id="776" w:name="_Toc30124"/>
      <w:bookmarkStart w:id="777" w:name="_Toc12217"/>
      <w:bookmarkStart w:id="778" w:name="_Toc4148"/>
      <w:bookmarkStart w:id="779" w:name="_Toc19320"/>
      <w:bookmarkStart w:id="780" w:name="_Toc27294"/>
      <w:bookmarkStart w:id="781" w:name="_Toc25534"/>
      <w:bookmarkStart w:id="782" w:name="_Toc5779"/>
      <w:bookmarkStart w:id="783" w:name="_Toc8288"/>
      <w:bookmarkStart w:id="784" w:name="_Toc30071"/>
      <w:bookmarkStart w:id="785" w:name="_Toc5014"/>
      <w:bookmarkStart w:id="786" w:name="_Toc5763"/>
      <w:bookmarkStart w:id="787" w:name="_Toc19977"/>
      <w:bookmarkStart w:id="788" w:name="_Toc409"/>
      <w:bookmarkStart w:id="789" w:name="_Toc30318"/>
      <w:bookmarkStart w:id="790" w:name="_Toc3450"/>
    </w:p>
    <w:p>
      <w:pPr>
        <w:pStyle w:val="3"/>
        <w:widowControl w:val="0"/>
        <w:spacing w:before="0" w:after="0" w:line="560" w:lineRule="exact"/>
        <w:rPr>
          <w:rFonts w:ascii="Times New Roman" w:hAnsi="Times New Roman" w:cs="Times New Roman"/>
          <w:color w:val="000000" w:themeColor="text1"/>
          <w14:textFill>
            <w14:solidFill>
              <w14:schemeClr w14:val="tx1"/>
            </w14:solidFill>
          </w14:textFill>
        </w:rPr>
      </w:pPr>
      <w:bookmarkStart w:id="791" w:name="_Toc26308"/>
      <w:bookmarkStart w:id="792" w:name="_Toc14984"/>
      <w:bookmarkStart w:id="793" w:name="_Toc4432"/>
      <w:bookmarkStart w:id="794" w:name="_Toc6124"/>
      <w:bookmarkStart w:id="795" w:name="_Toc21389"/>
      <w:r>
        <w:rPr>
          <w:rFonts w:ascii="Times New Roman" w:hAnsi="Times New Roman" w:cs="Times New Roman"/>
          <w:color w:val="000000" w:themeColor="text1"/>
          <w14:textFill>
            <w14:solidFill>
              <w14:schemeClr w14:val="tx1"/>
            </w14:solidFill>
          </w14:textFill>
        </w:rPr>
        <w:t>第五章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坚持创新驱动 打造具有核心竞争力的科技创新高地</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pPr>
        <w:widowControl w:val="0"/>
        <w:adjustRightInd/>
        <w:snapToGrid/>
        <w:spacing w:before="0" w:after="0" w:line="579"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着力实施创新驱动发展战略，大力弘扬</w:t>
      </w:r>
      <w:r>
        <w:rPr>
          <w:rFonts w:hint="eastAsia" w:ascii="Times New Roman" w:hAnsi="Times New Roman" w:eastAsia="仿宋_GB2312" w:cs="Times New Roman"/>
          <w:color w:val="000000" w:themeColor="text1"/>
          <w:sz w:val="32"/>
          <w:szCs w:val="32"/>
          <w14:textFill>
            <w14:solidFill>
              <w14:schemeClr w14:val="tx1"/>
            </w14:solidFill>
          </w14:textFill>
        </w:rPr>
        <w:t>科学家精神，</w:t>
      </w:r>
      <w:r>
        <w:rPr>
          <w:rFonts w:ascii="Times New Roman" w:hAnsi="Times New Roman" w:eastAsia="仿宋_GB2312" w:cs="Times New Roman"/>
          <w:color w:val="000000" w:themeColor="text1"/>
          <w:sz w:val="32"/>
          <w:szCs w:val="32"/>
          <w14:textFill>
            <w14:solidFill>
              <w14:schemeClr w14:val="tx1"/>
            </w14:solidFill>
          </w14:textFill>
        </w:rPr>
        <w:t>新时期工匠精神，推动科技创新与大众创业万众创新有机结合。切实把发展的基点放在创新上，推动以科技创新为核心的全面创新，集聚大批创新创业人才，创造更多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首台首套首创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新技术、新装备、新材料，争创国际和区域科技创新中心，打造具有核心竞争力的科技创新高地。到2025年，全社会研发经费投入占地区生产总值比重提高到2%，高新技术产业增加值占GDP比重达到25%以上。</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796" w:name="_Toc898"/>
      <w:bookmarkStart w:id="797" w:name="_Toc4478"/>
      <w:bookmarkStart w:id="798" w:name="_Toc3921"/>
      <w:bookmarkStart w:id="799" w:name="_Toc6771"/>
      <w:bookmarkStart w:id="800" w:name="_Toc2649"/>
      <w:bookmarkStart w:id="801" w:name="_Toc25442"/>
      <w:bookmarkStart w:id="802" w:name="_Toc17118"/>
      <w:bookmarkStart w:id="803" w:name="_Toc16880"/>
      <w:bookmarkStart w:id="804" w:name="_Toc25281"/>
      <w:bookmarkStart w:id="805" w:name="_Toc7105"/>
      <w:bookmarkStart w:id="806" w:name="_Toc983"/>
      <w:bookmarkStart w:id="807" w:name="_Toc3234"/>
      <w:bookmarkStart w:id="808" w:name="_Toc23513"/>
      <w:bookmarkStart w:id="809" w:name="_Toc11173"/>
      <w:bookmarkStart w:id="810" w:name="_Toc16624"/>
      <w:bookmarkStart w:id="811" w:name="_Toc29828"/>
      <w:bookmarkStart w:id="812" w:name="_Toc21895"/>
      <w:bookmarkStart w:id="813" w:name="_Toc15144"/>
      <w:bookmarkStart w:id="814" w:name="_Toc9451"/>
      <w:bookmarkStart w:id="815" w:name="_Toc21337"/>
      <w:bookmarkStart w:id="816" w:name="_Toc28510"/>
      <w:bookmarkStart w:id="817" w:name="_Toc19914"/>
      <w:bookmarkStart w:id="818" w:name="_Toc28358"/>
      <w:bookmarkStart w:id="819" w:name="_Toc10543"/>
      <w:bookmarkStart w:id="820" w:name="_Toc28085"/>
      <w:bookmarkStart w:id="821" w:name="_Toc22175"/>
      <w:bookmarkStart w:id="822" w:name="_Toc2136"/>
      <w:bookmarkStart w:id="823" w:name="_Toc5951"/>
      <w:bookmarkStart w:id="824" w:name="_Toc15120"/>
      <w:bookmarkStart w:id="825" w:name="_Toc16931"/>
      <w:bookmarkStart w:id="826" w:name="_Toc3981"/>
      <w:bookmarkStart w:id="827" w:name="_Toc26720"/>
      <w:bookmarkStart w:id="828" w:name="_Toc13774"/>
      <w:bookmarkStart w:id="829" w:name="_Toc5430"/>
      <w:bookmarkStart w:id="830" w:name="_Toc24929"/>
      <w:bookmarkStart w:id="831" w:name="_Toc32721"/>
      <w:bookmarkStart w:id="832" w:name="_Toc17604"/>
      <w:r>
        <w:rPr>
          <w:rFonts w:ascii="Times New Roman" w:hAnsi="Times New Roman" w:cs="Times New Roman"/>
          <w:color w:val="000000" w:themeColor="text1"/>
          <w:szCs w:val="32"/>
          <w14:textFill>
            <w14:solidFill>
              <w14:schemeClr w14:val="tx1"/>
            </w14:solidFill>
          </w14:textFill>
        </w:rPr>
        <w:t>第一节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培育一流创新企业</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widowControl w:val="0"/>
        <w:spacing w:before="0" w:after="193" w:afterLines="5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完善科技型企业和高新技术企业培育机制，形成科技型中小企业、高新技术企业、领军企业梯次培育体系。加强对中小企业创新支持，通过分类指导、差异扶持、扩量提质，推动更多科技型中小企业成长为高新技术企业。加快发展高新技术企业。推动高新技术企业优惠政策落地，调动企业申报和创建高新技术企业的积极性；建设高新技术企业培育服务机构，实现高新技术企业培育服务体系的网格化、精细化、全程化，打造一批具有创新能力的排头兵企业。积极培育创新型领军企业。大力支持中电彩虹、三一专汽、拓浦精工、邵纺机、湘中制药、广信科技、帝立德、桑德鸿捷、金鑫电子、锐科机器人、晶博光电等行业龙头企业通过资产重组、资源整合和引进战略投资者等途径实现强强联合，聚合创新资源，发展成为具有国际竞争力的创新型领军企业。培育壮大产业技术创新联盟。围绕建立以企业为主体、市场为导向、产学研深度融合的技术创新体系，着力打造产业技术创新联盟。</w:t>
      </w:r>
    </w:p>
    <w:tbl>
      <w:tblPr>
        <w:tblStyle w:val="1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专栏10：创新主体培育行动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科技型中小企业倍增工程：</w:t>
            </w:r>
            <w:r>
              <w:rPr>
                <w:rFonts w:ascii="Times New Roman" w:hAnsi="Times New Roman" w:eastAsia="宋体" w:cs="Times New Roman"/>
                <w:bCs/>
                <w:color w:val="000000" w:themeColor="text1"/>
                <w:szCs w:val="28"/>
                <w14:textFill>
                  <w14:solidFill>
                    <w14:schemeClr w14:val="tx1"/>
                  </w14:solidFill>
                </w14:textFill>
              </w:rPr>
              <w:t>每年新增科技型中小企业600家左右，市、县精准帮扶100家重点科技型中小企业。</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高新技术企业倍增工程：</w:t>
            </w:r>
            <w:r>
              <w:rPr>
                <w:rFonts w:ascii="Times New Roman" w:hAnsi="Times New Roman" w:eastAsia="宋体" w:cs="Times New Roman"/>
                <w:bCs/>
                <w:color w:val="000000" w:themeColor="text1"/>
                <w:szCs w:val="28"/>
                <w14:textFill>
                  <w14:solidFill>
                    <w14:schemeClr w14:val="tx1"/>
                  </w14:solidFill>
                </w14:textFill>
              </w:rPr>
              <w:t>每年分别培育和引进90家以上高新技术企业，实现高新技术企业增量提质。</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创新型领军企业培育工程：</w:t>
            </w:r>
            <w:r>
              <w:rPr>
                <w:rFonts w:ascii="Times New Roman" w:hAnsi="Times New Roman" w:eastAsia="宋体" w:cs="Times New Roman"/>
                <w:bCs/>
                <w:color w:val="000000" w:themeColor="text1"/>
                <w:spacing w:val="-6"/>
                <w:szCs w:val="28"/>
                <w14:textFill>
                  <w14:solidFill>
                    <w14:schemeClr w14:val="tx1"/>
                  </w14:solidFill>
                </w14:textFill>
              </w:rPr>
              <w:t>推进G8.5基板玻璃项目，练就</w:t>
            </w:r>
            <w:r>
              <w:rPr>
                <w:rFonts w:hint="eastAsia" w:ascii="仿宋" w:hAnsi="仿宋" w:cs="Times New Roman"/>
                <w:bCs/>
                <w:color w:val="000000" w:themeColor="text1"/>
                <w:spacing w:val="-6"/>
                <w:szCs w:val="28"/>
                <w14:textFill>
                  <w14:solidFill>
                    <w14:schemeClr w14:val="tx1"/>
                  </w14:solidFill>
                </w14:textFill>
              </w:rPr>
              <w:t>“</w:t>
            </w:r>
            <w:r>
              <w:rPr>
                <w:rFonts w:ascii="Times New Roman" w:hAnsi="Times New Roman" w:eastAsia="宋体" w:cs="Times New Roman"/>
                <w:bCs/>
                <w:color w:val="000000" w:themeColor="text1"/>
                <w:spacing w:val="-6"/>
                <w:szCs w:val="28"/>
                <w14:textFill>
                  <w14:solidFill>
                    <w14:schemeClr w14:val="tx1"/>
                  </w14:solidFill>
                </w14:textFill>
              </w:rPr>
              <w:t>独门绝技</w:t>
            </w:r>
            <w:r>
              <w:rPr>
                <w:rFonts w:hint="eastAsia" w:ascii="仿宋" w:hAnsi="仿宋" w:cs="Times New Roman"/>
                <w:bCs/>
                <w:color w:val="000000" w:themeColor="text1"/>
                <w:spacing w:val="-6"/>
                <w:szCs w:val="28"/>
                <w14:textFill>
                  <w14:solidFill>
                    <w14:schemeClr w14:val="tx1"/>
                  </w14:solidFill>
                </w14:textFill>
              </w:rPr>
              <w:t>”</w:t>
            </w:r>
            <w:r>
              <w:rPr>
                <w:rFonts w:ascii="Times New Roman" w:hAnsi="Times New Roman" w:eastAsia="宋体" w:cs="Times New Roman"/>
                <w:bCs/>
                <w:color w:val="000000" w:themeColor="text1"/>
                <w:spacing w:val="-6"/>
                <w:szCs w:val="28"/>
                <w14:textFill>
                  <w14:solidFill>
                    <w14:schemeClr w14:val="tx1"/>
                  </w14:solidFill>
                </w14:textFill>
              </w:rPr>
              <w:t>，支持中电彩虹加大高端锂铝硅研发，做强高端显示功能材料；支持三一专汽加大混凝土搅拌车整车、城市环保渣土车及专用车底盘研发，做强工程汽车制造；支持拓浦精工加大整装生产、自动化生产研发，做强智能制造；支持邵纺机加大腈涤纶等重大技术装备研发，做强纺织机械制造；支持湘中制药加大丙戊酸系列产品研发，做强生物医药产业。</w:t>
            </w:r>
          </w:p>
          <w:p>
            <w:pPr>
              <w:spacing w:before="0" w:after="0" w:line="540" w:lineRule="exact"/>
              <w:ind w:firstLine="562" w:firstLineChars="200"/>
              <w:jc w:val="both"/>
              <w:textAlignment w:val="center"/>
              <w:rPr>
                <w:rFonts w:ascii="Times New Roman" w:hAnsi="Times New Roman" w:eastAsia="宋体" w:cs="Times New Roman"/>
                <w:b/>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技术创新联盟培育工程：</w:t>
            </w:r>
            <w:r>
              <w:rPr>
                <w:rFonts w:ascii="Times New Roman" w:hAnsi="Times New Roman" w:eastAsia="宋体" w:cs="Times New Roman"/>
                <w:bCs/>
                <w:color w:val="000000" w:themeColor="text1"/>
                <w:szCs w:val="28"/>
                <w14:textFill>
                  <w14:solidFill>
                    <w14:schemeClr w14:val="tx1"/>
                  </w14:solidFill>
                </w14:textFill>
              </w:rPr>
              <w:t>支持建设特种玻璃、纺织机械、打火机、小五金、金银花、高山蔬菜等一批产业技术创新联盟，继续支持发展生猪、瓜类、水果、红薯等一批产业技术创新联盟。到2025年，争取省级以上产业技术创新联盟达到5个。</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833" w:name="_Toc3581"/>
      <w:bookmarkStart w:id="834" w:name="_Toc25237"/>
      <w:bookmarkStart w:id="835" w:name="_Toc20834"/>
      <w:bookmarkStart w:id="836" w:name="_Toc1152"/>
      <w:bookmarkStart w:id="837" w:name="_Toc3120"/>
      <w:bookmarkStart w:id="838" w:name="_Toc16623"/>
      <w:bookmarkStart w:id="839" w:name="_Toc19107"/>
      <w:bookmarkStart w:id="840" w:name="_Toc32729"/>
      <w:bookmarkStart w:id="841" w:name="_Toc29022"/>
      <w:bookmarkStart w:id="842" w:name="_Toc8245"/>
      <w:bookmarkStart w:id="843" w:name="_Toc25740"/>
      <w:bookmarkStart w:id="844" w:name="_Toc7649"/>
      <w:bookmarkStart w:id="845" w:name="_Toc11653"/>
      <w:bookmarkStart w:id="846" w:name="_Toc4718"/>
      <w:bookmarkStart w:id="847" w:name="_Toc3236"/>
      <w:bookmarkStart w:id="848" w:name="_Toc25841"/>
      <w:bookmarkStart w:id="849" w:name="_Toc10177"/>
      <w:bookmarkStart w:id="850" w:name="_Toc17957"/>
      <w:bookmarkStart w:id="851" w:name="_Toc9607"/>
      <w:bookmarkStart w:id="852" w:name="_Toc13232"/>
      <w:bookmarkStart w:id="853" w:name="_Toc1528"/>
      <w:bookmarkStart w:id="854" w:name="_Toc25188"/>
      <w:bookmarkStart w:id="855" w:name="_Toc23185"/>
      <w:bookmarkStart w:id="856" w:name="_Toc16176"/>
      <w:bookmarkStart w:id="857" w:name="_Toc22564"/>
      <w:bookmarkStart w:id="858" w:name="_Toc17316"/>
      <w:bookmarkStart w:id="859" w:name="_Toc4191"/>
      <w:bookmarkStart w:id="860" w:name="_Toc21331"/>
      <w:bookmarkStart w:id="861" w:name="_Toc31312"/>
      <w:bookmarkStart w:id="862" w:name="_Toc22423"/>
      <w:bookmarkStart w:id="863" w:name="_Toc3808"/>
      <w:bookmarkStart w:id="864" w:name="_Toc6586"/>
      <w:bookmarkStart w:id="865" w:name="_Toc19214"/>
      <w:bookmarkStart w:id="866" w:name="_Toc19962"/>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集聚高端创新人才</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深入实施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宝庆人才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行动计划，充分发挥海外人才工作站、国内引才工作联络站的作用，大力引进高层次创新创业人才及管理人才。</w:t>
      </w:r>
      <w:r>
        <w:rPr>
          <w:rFonts w:hint="eastAsia" w:ascii="Times New Roman" w:hAnsi="Times New Roman" w:eastAsia="仿宋_GB2312" w:cs="Times New Roman"/>
          <w:color w:val="000000" w:themeColor="text1"/>
          <w:sz w:val="32"/>
          <w:szCs w:val="32"/>
          <w14:textFill>
            <w14:solidFill>
              <w14:schemeClr w14:val="tx1"/>
            </w14:solidFill>
          </w14:textFill>
        </w:rPr>
        <w:t>建设邵阳市和邵阳籍院士专家库，</w:t>
      </w:r>
      <w:r>
        <w:rPr>
          <w:rFonts w:ascii="Times New Roman" w:hAnsi="Times New Roman" w:eastAsia="仿宋_GB2312" w:cs="Times New Roman"/>
          <w:color w:val="000000" w:themeColor="text1"/>
          <w:sz w:val="32"/>
          <w:szCs w:val="32"/>
          <w14:textFill>
            <w14:solidFill>
              <w14:schemeClr w14:val="tx1"/>
            </w14:solidFill>
          </w14:textFill>
        </w:rPr>
        <w:t>加大柔性引才引智力度，推广顾问指导、兼职服务、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候鸟式</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聘任等方式，探索</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研发在外地、转化在邵阳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引才模式，积极构建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人才飞地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研发飞地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。落实和完善高层次人才奖励制度，健全相关配套政策。全面接轨国际人才评价标准，对取得有关国际职业资格证书的人才，比照认定或享受相应等级待遇。</w:t>
      </w:r>
      <w:r>
        <w:rPr>
          <w:rFonts w:hint="eastAsia" w:ascii="Times New Roman" w:hAnsi="Times New Roman" w:eastAsia="仿宋_GB2312" w:cs="Times New Roman"/>
          <w:color w:val="000000" w:themeColor="text1"/>
          <w:sz w:val="32"/>
          <w:szCs w:val="32"/>
          <w14:textFill>
            <w14:solidFill>
              <w14:schemeClr w14:val="tx1"/>
            </w14:solidFill>
          </w14:textFill>
        </w:rPr>
        <w:t>深化产业工人队伍建设改革，打造新时代“宝庆工匠”队伍。</w:t>
      </w:r>
      <w:r>
        <w:rPr>
          <w:rFonts w:ascii="Times New Roman" w:hAnsi="Times New Roman" w:eastAsia="仿宋_GB2312" w:cs="Times New Roman"/>
          <w:color w:val="000000" w:themeColor="text1"/>
          <w:sz w:val="32"/>
          <w:szCs w:val="32"/>
          <w14:textFill>
            <w14:solidFill>
              <w14:schemeClr w14:val="tx1"/>
            </w14:solidFill>
          </w14:textFill>
        </w:rPr>
        <w:t>加强基础和应用学科建设，鼓励支持邵阳学院、邵阳职业技术学院积极设置基础研究、交叉学科相关学科专业，</w:t>
      </w:r>
      <w:r>
        <w:rPr>
          <w:rFonts w:hint="eastAsia" w:ascii="Times New Roman" w:hAnsi="Times New Roman" w:eastAsia="仿宋_GB2312" w:cs="Times New Roman"/>
          <w:color w:val="000000" w:themeColor="text1"/>
          <w:sz w:val="32"/>
          <w:szCs w:val="32"/>
          <w14:textFill>
            <w14:solidFill>
              <w14:schemeClr w14:val="tx1"/>
            </w14:solidFill>
          </w14:textFill>
        </w:rPr>
        <w:t>支持邵阳学院的本科生卓越人才培养计划、研究生硕士学位授予权资格申报和应用技术型大学创建</w:t>
      </w:r>
      <w:r>
        <w:rPr>
          <w:rFonts w:ascii="Times New Roman" w:hAnsi="Times New Roman" w:eastAsia="仿宋_GB2312" w:cs="Times New Roman"/>
          <w:color w:val="000000" w:themeColor="text1"/>
          <w:sz w:val="32"/>
          <w:szCs w:val="32"/>
          <w14:textFill>
            <w14:solidFill>
              <w14:schemeClr w14:val="tx1"/>
            </w14:solidFill>
          </w14:textFill>
        </w:rPr>
        <w:t>。加强与国际知名高校、科研院所、企业定向合作，培养具有国际视野的高层次科技人才。加强高技能人才培养，到2025年，全市高技能人才总量达到10万人，高技能人才占技能劳动者比例达到30%以上</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hint="eastAsia"/>
          <w:sz w:val="32"/>
          <w:szCs w:val="32"/>
        </w:rPr>
        <w:t>公民具备科学素质的比例超过15%</w:t>
      </w:r>
      <w:r>
        <w:rPr>
          <w:rFonts w:ascii="Times New Roman" w:hAnsi="Times New Roman" w:eastAsia="仿宋_GB2312" w:cs="Times New Roman"/>
          <w:color w:val="000000" w:themeColor="text1"/>
          <w:sz w:val="32"/>
          <w:szCs w:val="32"/>
          <w14:textFill>
            <w14:solidFill>
              <w14:schemeClr w14:val="tx1"/>
            </w14:solidFill>
          </w14:textFill>
        </w:rPr>
        <w:t>。</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867" w:name="_Toc24195"/>
      <w:bookmarkStart w:id="868" w:name="_Toc26316"/>
      <w:bookmarkStart w:id="869" w:name="_Toc32599"/>
      <w:bookmarkStart w:id="870" w:name="_Toc24214"/>
      <w:bookmarkStart w:id="871" w:name="_Toc7159"/>
      <w:bookmarkStart w:id="872" w:name="_Toc8959"/>
      <w:bookmarkStart w:id="873" w:name="_Toc3979"/>
      <w:bookmarkStart w:id="874" w:name="_Toc27749"/>
      <w:bookmarkStart w:id="875" w:name="_Toc26806"/>
      <w:bookmarkStart w:id="876" w:name="_Toc26013"/>
      <w:bookmarkStart w:id="877" w:name="_Toc13896"/>
      <w:bookmarkStart w:id="878" w:name="_Toc4036"/>
      <w:bookmarkStart w:id="879" w:name="_Toc1097"/>
      <w:bookmarkStart w:id="880" w:name="_Toc5692"/>
      <w:bookmarkStart w:id="881" w:name="_Toc13007"/>
      <w:bookmarkStart w:id="882" w:name="_Toc11212"/>
      <w:bookmarkStart w:id="883" w:name="_Toc32270"/>
      <w:bookmarkStart w:id="884" w:name="_Toc21619"/>
      <w:bookmarkStart w:id="885" w:name="_Toc31060"/>
      <w:bookmarkStart w:id="886" w:name="_Toc7576"/>
      <w:bookmarkStart w:id="887" w:name="_Toc3625"/>
      <w:bookmarkStart w:id="888" w:name="_Toc559"/>
      <w:bookmarkStart w:id="889" w:name="_Toc2848"/>
      <w:bookmarkStart w:id="890" w:name="_Toc10546"/>
      <w:bookmarkStart w:id="891" w:name="_Toc14100"/>
      <w:bookmarkStart w:id="892" w:name="_Toc28963"/>
      <w:bookmarkStart w:id="893" w:name="_Toc10011"/>
      <w:bookmarkStart w:id="894" w:name="_Toc3982"/>
      <w:bookmarkStart w:id="895" w:name="_Toc20699"/>
      <w:bookmarkStart w:id="896" w:name="_Toc662"/>
      <w:bookmarkStart w:id="897" w:name="_Toc25325"/>
      <w:bookmarkStart w:id="898" w:name="_Toc29562"/>
      <w:bookmarkStart w:id="899" w:name="_Toc3078"/>
      <w:bookmarkStart w:id="900" w:name="_Toc4454"/>
      <w:bookmarkStart w:id="901" w:name="_Toc9534"/>
      <w:bookmarkStart w:id="902" w:name="_Toc4972"/>
      <w:bookmarkStart w:id="903" w:name="_Toc9478"/>
      <w:r>
        <w:rPr>
          <w:rFonts w:ascii="Times New Roman" w:hAnsi="Times New Roman" w:cs="Times New Roman"/>
          <w:color w:val="000000" w:themeColor="text1"/>
          <w:szCs w:val="32"/>
          <w14:textFill>
            <w14:solidFill>
              <w14:schemeClr w14:val="tx1"/>
            </w14:solidFill>
          </w14:textFill>
        </w:rPr>
        <w:t>第三节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搭建优质创新载体</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pPr>
        <w:widowControl w:val="0"/>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集聚国内国际创新资源，加强创新载体建设。鼓励知名高校、科研院所在邵合作建设科研创新平台、科技成果转化中心，创建国家、省级实验室。聚焦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中国（邵阳）特种玻璃谷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湘南湘西承接产业转移示范区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，大力支持湖南特种玻璃研究院、邵阳先进制造技术研究院、邵东智能制造技术研究院、三一国家级汽车试验场、国家农业科技园、</w:t>
      </w:r>
      <w:r>
        <w:rPr>
          <w:rFonts w:hint="eastAsia" w:ascii="仿宋" w:hAnsi="仿宋" w:cs="仿宋"/>
          <w:color w:val="000000" w:themeColor="text1"/>
          <w:sz w:val="32"/>
          <w:szCs w:val="32"/>
          <w14:textFill>
            <w14:solidFill>
              <w14:schemeClr w14:val="tx1"/>
            </w14:solidFill>
          </w14:textFill>
        </w:rPr>
        <w:t>武冈市科技研究创新研究中心</w:t>
      </w:r>
      <w:r>
        <w:rPr>
          <w:rFonts w:ascii="Times New Roman" w:hAnsi="Times New Roman" w:eastAsia="仿宋_GB2312" w:cs="Times New Roman"/>
          <w:color w:val="000000" w:themeColor="text1"/>
          <w:sz w:val="32"/>
          <w:szCs w:val="32"/>
          <w14:textFill>
            <w14:solidFill>
              <w14:schemeClr w14:val="tx1"/>
            </w14:solidFill>
          </w14:textFill>
        </w:rPr>
        <w:t>等重点研发机构建设，努力实现引领性原创成果取得重大突破。鼓励民营企业建立高等级技术创新平台、申报或新引进国家级和省级工程技术研究中心（重点实验室）。积极落实《国家技术转移体系建设方案》，探索建设一批科技成果转移转化试验区。支持大祥区、双清区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互联网＋技术市场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为核心，打造一批线上线下相结合的区域性、行业性技术交易市场。聚焦高新技术产业、战略性新兴产业，有效利用粤港澳大湾区、长三角科技创新资源，加强科创功能平台联动发展，建设科技合作联盟，构建产学研用一体化联动机制，推动共建沪昆百里工业创新走廊，支持邵东经开区建设产业协同创新发展示范区。</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904" w:name="_Toc4403"/>
      <w:bookmarkStart w:id="905" w:name="_Toc32521"/>
      <w:bookmarkStart w:id="906" w:name="_Toc13798"/>
      <w:bookmarkStart w:id="907" w:name="_Toc407"/>
      <w:bookmarkStart w:id="908" w:name="_Toc9341"/>
      <w:bookmarkStart w:id="909" w:name="_Toc20949"/>
      <w:bookmarkStart w:id="910" w:name="_Toc4684"/>
      <w:bookmarkStart w:id="911" w:name="_Toc26956"/>
      <w:bookmarkStart w:id="912" w:name="_Toc12346"/>
      <w:bookmarkStart w:id="913" w:name="_Toc30948"/>
      <w:bookmarkStart w:id="914" w:name="_Toc10319"/>
      <w:bookmarkStart w:id="915" w:name="_Toc28698"/>
      <w:bookmarkStart w:id="916" w:name="_Toc27325"/>
      <w:bookmarkStart w:id="917" w:name="_Toc32302"/>
      <w:bookmarkStart w:id="918" w:name="_Toc25546"/>
      <w:bookmarkStart w:id="919" w:name="_Toc27277"/>
      <w:bookmarkStart w:id="920" w:name="_Toc13123"/>
      <w:bookmarkStart w:id="921" w:name="_Toc27667"/>
      <w:bookmarkStart w:id="922" w:name="_Toc31524"/>
      <w:bookmarkStart w:id="923" w:name="_Toc28169"/>
      <w:bookmarkStart w:id="924" w:name="_Toc16976"/>
      <w:bookmarkStart w:id="925" w:name="_Toc15163"/>
      <w:bookmarkStart w:id="926" w:name="_Toc32187"/>
      <w:bookmarkStart w:id="927" w:name="_Toc2816"/>
      <w:bookmarkStart w:id="928" w:name="_Toc22919"/>
      <w:bookmarkStart w:id="929" w:name="_Toc15608"/>
      <w:bookmarkStart w:id="930" w:name="_Toc15588"/>
      <w:bookmarkStart w:id="931" w:name="_Toc24868"/>
      <w:bookmarkStart w:id="932" w:name="_Toc27651"/>
      <w:bookmarkStart w:id="933" w:name="_Toc30503"/>
      <w:bookmarkStart w:id="934" w:name="_Toc7474"/>
      <w:bookmarkStart w:id="935" w:name="_Toc7773"/>
      <w:bookmarkStart w:id="936" w:name="_Toc18260"/>
      <w:bookmarkStart w:id="937" w:name="_Toc20965"/>
      <w:bookmarkStart w:id="938" w:name="_Toc2267"/>
      <w:bookmarkStart w:id="939" w:name="_Toc19723"/>
      <w:bookmarkStart w:id="940" w:name="_Toc29931"/>
      <w:r>
        <w:rPr>
          <w:rFonts w:ascii="Times New Roman" w:hAnsi="Times New Roman" w:cs="Times New Roman"/>
          <w:color w:val="000000" w:themeColor="text1"/>
          <w:szCs w:val="32"/>
          <w14:textFill>
            <w14:solidFill>
              <w14:schemeClr w14:val="tx1"/>
            </w14:solidFill>
          </w14:textFill>
        </w:rPr>
        <w:t>第四节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完善创新创业生态</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pPr>
        <w:widowControl w:val="0"/>
        <w:spacing w:before="0" w:after="193" w:afterLines="50" w:line="560" w:lineRule="exact"/>
        <w:ind w:firstLine="640" w:firstLineChars="200"/>
        <w:jc w:val="both"/>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优化产业布局，巩固增强沪昆百里工业走廊承载能力，引导和鼓励社会资本深度参与建设</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完善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众创空间—孵化器—加速器—科技园区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全链条科技企业孵化育成体系，实施孵化器和众创空间倍增计划。促进科技金融深度融合，建立健全战略性新兴产业创业投资基金、科技型中小企业创业投资与成果转化基金、工业技术改造发展基金，撬动更多社会资本、民间资本支持科技创新，支持有条件的县（市、区）与省级投资引导基金共设子基金。加快发展科技支行，拓宽科技企业融资渠道。推动设立科技型中小企业贷款风险补偿金，鼓励各保险公司为符合条件的科技型中小企业提供风险保障。设立市级科技创新券，支持科技企业购买科技服务。支持品牌建设，推动企业争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中国质量奖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中国质量奖提名奖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省长质量奖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大力支持企业建设国际化知名品牌。强化知识产权全链条保护。打通知识产权创造、运用、保护、管理、服务全链条，健全知识产权综合管理体制，增强系统保护能力。加强知识产权信息化、智能化基础设施建设，推动知识产权保护线上线下融合发展。深化科技体制改革，加快科技管理职能转变、科研院所改革、财政科研投入体制改革。大力弘扬和培育科学家精神，在全社会营造尊重科学、尊重人才的良好氛围，吸引更多人投身科技创新。</w:t>
      </w:r>
      <w:r>
        <w:rPr>
          <w:rFonts w:hint="eastAsia" w:ascii="Times New Roman" w:hAnsi="Times New Roman" w:eastAsia="仿宋_GB2312" w:cs="Times New Roman"/>
          <w:color w:val="000000" w:themeColor="text1"/>
          <w:sz w:val="32"/>
          <w:szCs w:val="32"/>
          <w14:textFill>
            <w14:solidFill>
              <w14:schemeClr w14:val="tx1"/>
            </w14:solidFill>
          </w14:textFill>
        </w:rPr>
        <w:t>在科技转播中，全面提升全民科学素质。</w:t>
      </w:r>
    </w:p>
    <w:tbl>
      <w:tblPr>
        <w:tblStyle w:val="14"/>
        <w:tblW w:w="5000" w:type="pct"/>
        <w:tblInd w:w="0" w:type="dxa"/>
        <w:tblLayout w:type="autofit"/>
        <w:tblCellMar>
          <w:top w:w="0" w:type="dxa"/>
          <w:left w:w="0" w:type="dxa"/>
          <w:bottom w:w="0" w:type="dxa"/>
          <w:right w:w="0" w:type="dxa"/>
        </w:tblCellMar>
      </w:tblPr>
      <w:tblGrid>
        <w:gridCol w:w="8868"/>
      </w:tblGrid>
      <w:tr>
        <w:trPr>
          <w:trHeight w:val="9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bookmarkStart w:id="941" w:name="_Toc26978"/>
            <w:r>
              <w:rPr>
                <w:rFonts w:ascii="Times New Roman" w:hAnsi="Times New Roman" w:eastAsia="黑体" w:cs="Times New Roman"/>
                <w:bCs/>
                <w:color w:val="000000" w:themeColor="text1"/>
                <w:sz w:val="32"/>
                <w:szCs w:val="32"/>
                <w14:textFill>
                  <w14:solidFill>
                    <w14:schemeClr w14:val="tx1"/>
                  </w14:solidFill>
                </w14:textFill>
              </w:rPr>
              <w:t>专栏11：科技创新高地建设行动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关键核心技术攻关工程：</w:t>
            </w:r>
            <w:r>
              <w:rPr>
                <w:rFonts w:ascii="Times New Roman" w:hAnsi="Times New Roman" w:eastAsia="宋体" w:cs="Times New Roman"/>
                <w:bCs/>
                <w:color w:val="000000" w:themeColor="text1"/>
                <w:szCs w:val="28"/>
                <w14:textFill>
                  <w14:solidFill>
                    <w14:schemeClr w14:val="tx1"/>
                  </w14:solidFill>
                </w14:textFill>
              </w:rPr>
              <w:t>落实攻关任务</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揭榜挂帅</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等机制，聚焦重大战略产品和重大产业化，在显示功能材料、先进装备制造、智能家居家电、新材料、循环经济、节能环保、生物医药、现代农业等领域，实施一批重大科技专项，攻克30项核心关键技术，开发一批高端产品。重点依托湖南新型显示玻璃研究院，突破新型显示器件领域国外</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卡脖子</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技术。</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创新主体培育工程：</w:t>
            </w:r>
            <w:r>
              <w:rPr>
                <w:rFonts w:ascii="Times New Roman" w:hAnsi="Times New Roman" w:eastAsia="宋体" w:cs="Times New Roman"/>
                <w:bCs/>
                <w:color w:val="000000" w:themeColor="text1"/>
                <w:szCs w:val="28"/>
                <w14:textFill>
                  <w14:solidFill>
                    <w14:schemeClr w14:val="tx1"/>
                  </w14:solidFill>
                </w14:textFill>
              </w:rPr>
              <w:t>实施科技型中小企业倍增计划、高新技术企业倍增计划、创新型领军企业培育计划、技术创新联盟培育计划。</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高等院校强基工程：</w:t>
            </w:r>
            <w:r>
              <w:rPr>
                <w:rFonts w:ascii="Times New Roman" w:hAnsi="Times New Roman" w:eastAsia="宋体" w:cs="Times New Roman"/>
                <w:bCs/>
                <w:color w:val="000000" w:themeColor="text1"/>
                <w:szCs w:val="28"/>
                <w14:textFill>
                  <w14:solidFill>
                    <w14:schemeClr w14:val="tx1"/>
                  </w14:solidFill>
                </w14:textFill>
              </w:rPr>
              <w:t>支持邵阳学院、邵阳职业技术学院加强与国内外高等院校的合作，加强基础、应用学科建设，推动政校企、产学研用合作。</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创新平台提升工程：</w:t>
            </w:r>
            <w:r>
              <w:rPr>
                <w:rFonts w:ascii="Times New Roman" w:hAnsi="Times New Roman" w:eastAsia="宋体" w:cs="Times New Roman"/>
                <w:bCs/>
                <w:color w:val="000000" w:themeColor="text1"/>
                <w:szCs w:val="28"/>
                <w14:textFill>
                  <w14:solidFill>
                    <w14:schemeClr w14:val="tx1"/>
                  </w14:solidFill>
                </w14:textFill>
              </w:rPr>
              <w:t>引进或建成3家以上国家级技术研发支撑平台。围绕打造具有核心竞争力的科技创新高地，打造我市500亿元以上的特种玻璃产业，加快建设中国(邵阳)特种玻璃谷，重点建设市产业技术协同创新研究院、玻璃新材料开发实验平台、玻璃理化性能和产品应用性能测试平台、生产工艺研究平台、特种玻璃新材料应用示范平台等一批研发创新平台。建设一批高新区、农业科技园、创新创业产业园等科技产业化平台。建设一批国家级、省级、市级工程研究中心、工程实验室和企业技术中心。建设一批成果转化、科技情报、知识产权交易公共信息服务平台。</w:t>
            </w:r>
          </w:p>
          <w:p>
            <w:pPr>
              <w:spacing w:before="0" w:after="0" w:line="540" w:lineRule="exact"/>
              <w:ind w:firstLine="562" w:firstLineChars="200"/>
              <w:jc w:val="both"/>
              <w:textAlignment w:val="center"/>
              <w:rPr>
                <w:rFonts w:ascii="Times New Roman" w:hAnsi="Times New Roman" w:eastAsia="宋体" w:cs="Times New Roman"/>
                <w:b/>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宝庆人才工程：</w:t>
            </w:r>
            <w:r>
              <w:rPr>
                <w:rFonts w:ascii="Times New Roman" w:hAnsi="Times New Roman" w:eastAsia="宋体" w:cs="Times New Roman"/>
                <w:bCs/>
                <w:color w:val="000000" w:themeColor="text1"/>
                <w:szCs w:val="28"/>
                <w14:textFill>
                  <w14:solidFill>
                    <w14:schemeClr w14:val="tx1"/>
                  </w14:solidFill>
                </w14:textFill>
              </w:rPr>
              <w:t>在战略性新兴产业、传统优势产业和优势学科领域培养100名左右科技创新领军人才，建设30个左右市级技术创新团队，</w:t>
            </w:r>
            <w:r>
              <w:rPr>
                <w:rFonts w:hint="eastAsia" w:ascii="Times New Roman" w:hAnsi="Times New Roman" w:eastAsia="宋体" w:cs="Times New Roman"/>
                <w:bCs/>
                <w:color w:val="000000" w:themeColor="text1"/>
                <w:szCs w:val="28"/>
                <w14:textFill>
                  <w14:solidFill>
                    <w14:schemeClr w14:val="tx1"/>
                  </w14:solidFill>
                </w14:textFill>
              </w:rPr>
              <w:t>构建</w:t>
            </w:r>
            <w:r>
              <w:rPr>
                <w:rFonts w:ascii="Times New Roman" w:hAnsi="Times New Roman" w:eastAsia="宋体" w:cs="Times New Roman"/>
                <w:bCs/>
                <w:color w:val="000000" w:themeColor="text1"/>
                <w:szCs w:val="28"/>
                <w14:textFill>
                  <w14:solidFill>
                    <w14:schemeClr w14:val="tx1"/>
                  </w14:solidFill>
                </w14:textFill>
              </w:rPr>
              <w:t>院士顾问团、院士工作站群</w:t>
            </w:r>
            <w:r>
              <w:rPr>
                <w:rFonts w:hint="eastAsia" w:ascii="Times New Roman" w:hAnsi="Times New Roman" w:eastAsia="宋体"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打造一批创新人才培养示范基地。</w:t>
            </w:r>
          </w:p>
        </w:tc>
      </w:tr>
    </w:tbl>
    <w:p>
      <w:pPr>
        <w:widowControl w:val="0"/>
        <w:spacing w:before="0" w:after="0" w:line="579" w:lineRule="exact"/>
        <w:ind w:firstLine="560" w:firstLineChars="200"/>
        <w:rPr>
          <w:rFonts w:ascii="Times New Roman" w:hAnsi="Times New Roman" w:cs="Times New Roman"/>
          <w:color w:val="000000" w:themeColor="text1"/>
          <w14:textFill>
            <w14:solidFill>
              <w14:schemeClr w14:val="tx1"/>
            </w14:solidFill>
          </w14:textFill>
        </w:rPr>
      </w:pPr>
    </w:p>
    <w:bookmarkEnd w:id="941"/>
    <w:p>
      <w:pPr>
        <w:rPr>
          <w:rFonts w:ascii="Times New Roman" w:hAnsi="Times New Roman" w:cs="Times New Roman"/>
        </w:rPr>
      </w:pPr>
      <w:r>
        <w:rPr>
          <w:rFonts w:ascii="Times New Roman" w:hAnsi="Times New Roman" w:cs="Times New Roman"/>
        </w:rPr>
        <w:br w:type="page"/>
      </w:r>
      <w:bookmarkStart w:id="942" w:name="_Toc11725"/>
      <w:bookmarkStart w:id="943" w:name="_Toc26814"/>
      <w:bookmarkStart w:id="944" w:name="_Toc5065"/>
      <w:bookmarkStart w:id="945" w:name="_Toc32732"/>
      <w:bookmarkStart w:id="946" w:name="_Toc22604"/>
      <w:bookmarkStart w:id="947" w:name="_Toc18096"/>
      <w:bookmarkStart w:id="948" w:name="_Toc18883"/>
      <w:bookmarkStart w:id="949" w:name="_Toc11202"/>
      <w:bookmarkStart w:id="950" w:name="_Toc24843"/>
      <w:bookmarkStart w:id="951" w:name="_Toc15340"/>
      <w:bookmarkStart w:id="952" w:name="_Toc12528"/>
      <w:bookmarkStart w:id="953" w:name="_Toc5970"/>
      <w:bookmarkStart w:id="954" w:name="_Toc14725"/>
      <w:bookmarkStart w:id="955" w:name="_Toc27326"/>
      <w:bookmarkStart w:id="956" w:name="_Toc29159"/>
      <w:bookmarkStart w:id="957" w:name="_Toc6109"/>
      <w:bookmarkStart w:id="958" w:name="_Toc29208"/>
      <w:bookmarkStart w:id="959" w:name="_Toc13454"/>
      <w:bookmarkStart w:id="960" w:name="_Toc4350"/>
      <w:bookmarkStart w:id="961" w:name="_Toc16234"/>
      <w:bookmarkStart w:id="962" w:name="_Toc8000"/>
      <w:bookmarkStart w:id="963" w:name="_Toc26647"/>
      <w:bookmarkStart w:id="964" w:name="_Toc28677"/>
      <w:bookmarkStart w:id="965" w:name="_Toc19873"/>
      <w:bookmarkStart w:id="966" w:name="_Toc31143"/>
      <w:bookmarkStart w:id="967" w:name="_Toc7227"/>
      <w:bookmarkStart w:id="968" w:name="_Toc9373"/>
      <w:bookmarkStart w:id="969" w:name="_Toc25507"/>
      <w:bookmarkStart w:id="970" w:name="_Toc12699"/>
      <w:bookmarkStart w:id="971" w:name="_Toc19144"/>
      <w:bookmarkStart w:id="972" w:name="_Toc31610"/>
      <w:bookmarkStart w:id="973" w:name="_Toc5994"/>
    </w:p>
    <w:p>
      <w:pPr>
        <w:rPr>
          <w:rFonts w:ascii="Times New Roman" w:hAnsi="Times New Roman" w:cs="Times New Roman"/>
        </w:rPr>
      </w:pPr>
    </w:p>
    <w:p>
      <w:pPr>
        <w:pStyle w:val="3"/>
        <w:widowControl w:val="0"/>
        <w:spacing w:before="0" w:after="0" w:line="560" w:lineRule="exact"/>
        <w:rPr>
          <w:rFonts w:ascii="Times New Roman" w:hAnsi="Times New Roman" w:cs="Times New Roman"/>
          <w:color w:val="000000" w:themeColor="text1"/>
          <w14:textFill>
            <w14:solidFill>
              <w14:schemeClr w14:val="tx1"/>
            </w14:solidFill>
          </w14:textFill>
        </w:rPr>
      </w:pPr>
      <w:bookmarkStart w:id="974" w:name="_Toc6905"/>
      <w:bookmarkStart w:id="975" w:name="_Toc10891"/>
      <w:bookmarkStart w:id="976" w:name="_Toc8318"/>
      <w:bookmarkStart w:id="977" w:name="_Toc260"/>
      <w:bookmarkStart w:id="978" w:name="_Toc26318"/>
      <w:r>
        <w:rPr>
          <w:rFonts w:ascii="Times New Roman" w:hAnsi="Times New Roman" w:cs="Times New Roman"/>
          <w:color w:val="000000" w:themeColor="text1"/>
          <w14:textFill>
            <w14:solidFill>
              <w14:schemeClr w14:val="tx1"/>
            </w14:solidFill>
          </w14:textFill>
        </w:rPr>
        <w:t xml:space="preserve">第六章 </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深化改革开放 打造内陆地区改革开放高地</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bookmarkStart w:id="979" w:name="_Toc5539093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全面深化改革，充分发挥经济体制改革的牵引作用，大力推进重点领域和关键环节改革，努力构建与转变经济发展方式相适应的体制机制。提升区域开放水平，紧紧抓住</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一带一路</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部崛起、粤港澳大湾区、湘南湘西承接产业转移示范区、湖南自贸区等战略机遇，统筹对内对外开放合作，打造高端平台、吸引高端要素、发展高端产业，加快打造内陆地区改革开放高地。到2025年，全市进出口总额突破67亿美元，年均增长12%以上。</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980" w:name="_Toc11134"/>
      <w:bookmarkStart w:id="981" w:name="_Toc3990"/>
      <w:bookmarkStart w:id="982" w:name="_Toc11711"/>
      <w:bookmarkStart w:id="983" w:name="_Toc7417"/>
      <w:bookmarkStart w:id="984" w:name="_Toc1702"/>
      <w:bookmarkStart w:id="985" w:name="_Toc6446"/>
      <w:bookmarkStart w:id="986" w:name="_Toc9413"/>
      <w:bookmarkStart w:id="987" w:name="_Toc15189"/>
      <w:bookmarkStart w:id="988" w:name="_Toc14883"/>
      <w:bookmarkStart w:id="989" w:name="_Toc28540"/>
      <w:bookmarkStart w:id="990" w:name="_Toc30045"/>
      <w:bookmarkStart w:id="991" w:name="_Toc20624"/>
      <w:bookmarkStart w:id="992" w:name="_Toc18365"/>
      <w:bookmarkStart w:id="993" w:name="_Toc23575"/>
      <w:bookmarkStart w:id="994" w:name="_Toc11593"/>
      <w:bookmarkStart w:id="995" w:name="_Toc25392"/>
      <w:bookmarkStart w:id="996" w:name="_Toc23892"/>
      <w:bookmarkStart w:id="997" w:name="_Toc24752"/>
      <w:bookmarkStart w:id="998" w:name="_Toc11608"/>
      <w:bookmarkStart w:id="999" w:name="_Toc6574"/>
      <w:bookmarkStart w:id="1000" w:name="_Toc29706"/>
      <w:bookmarkStart w:id="1001" w:name="_Toc30428"/>
      <w:bookmarkStart w:id="1002" w:name="_Toc17048"/>
      <w:bookmarkStart w:id="1003" w:name="_Toc5936"/>
      <w:bookmarkStart w:id="1004" w:name="_Toc11966"/>
      <w:bookmarkStart w:id="1005" w:name="_Toc28124"/>
      <w:bookmarkStart w:id="1006" w:name="_Toc19276"/>
      <w:bookmarkStart w:id="1007" w:name="_Toc12035"/>
      <w:bookmarkStart w:id="1008" w:name="_Toc11899"/>
      <w:bookmarkStart w:id="1009" w:name="_Toc1781"/>
      <w:bookmarkStart w:id="1010" w:name="_Toc8082"/>
      <w:bookmarkStart w:id="1011" w:name="_Toc22393"/>
      <w:bookmarkStart w:id="1012" w:name="_Toc32696"/>
      <w:bookmarkStart w:id="1013" w:name="_Toc28025"/>
      <w:bookmarkStart w:id="1014" w:name="_Toc4296"/>
      <w:bookmarkStart w:id="1015" w:name="_Toc5434"/>
      <w:bookmarkStart w:id="1016" w:name="_Toc786"/>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构建</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高水平、开放型</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经济体制</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建设高标准市场体系，全面完善产权、市场准入、公平竞争等制度，筑牢社会主义市场经济有效运行的体制基础。</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全面完善产权制度。</w:t>
      </w:r>
      <w:r>
        <w:rPr>
          <w:rFonts w:ascii="Times New Roman" w:hAnsi="Times New Roman" w:eastAsia="仿宋_GB2312" w:cs="Times New Roman"/>
          <w:color w:val="000000" w:themeColor="text1"/>
          <w:spacing w:val="-6"/>
          <w:sz w:val="32"/>
          <w:szCs w:val="32"/>
          <w14:textFill>
            <w14:solidFill>
              <w14:schemeClr w14:val="tx1"/>
            </w14:solidFill>
          </w14:textFill>
        </w:rPr>
        <w:t>实施好民法典和相关法律法规，依法平等保护国有、民营、外资等各种所有制企业产权和自主经营权，完善各类市场主体公平竞争的法治环境。健全自然资源资产产权制度。健全以公平为原则的产权保护制度，全面依法平等保护民营经济产权，依法严肃查处各类侵害民营企业合法权益的行为。完善和细化知识产权创造、运用、交易、保护制度规则。</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全面落实公平竞争审查制度。</w:t>
      </w:r>
      <w:r>
        <w:rPr>
          <w:rFonts w:ascii="Times New Roman" w:hAnsi="Times New Roman" w:eastAsia="仿宋_GB2312" w:cs="Times New Roman"/>
          <w:color w:val="000000" w:themeColor="text1"/>
          <w:sz w:val="32"/>
          <w:szCs w:val="32"/>
          <w14:textFill>
            <w14:solidFill>
              <w14:schemeClr w14:val="tx1"/>
            </w14:solidFill>
          </w14:textFill>
        </w:rPr>
        <w:t>扎实推进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全国一张清单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管理模式，实现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一单尽列，单外无单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强化公平竞争审查的刚性约束，修订完善公平竞争审查实施细则，建立公平竞争审查抽查、考核、公示制度，建立健全第三方审查和评估机制。统筹做好增量审查和存量清理，逐步清理废除妨碍全国统一市场和公平竞争的存量政策。建立违反公平竞争问题反映和举报绿色通道。加强和改进反垄断和反不正当竞争执法，加大执法力度，提高违法成本。培育和弘扬公平竞争文化，进一步营造公平竞争的社会环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推进要素市场改革。</w:t>
      </w:r>
      <w:r>
        <w:rPr>
          <w:rFonts w:ascii="Times New Roman" w:hAnsi="Times New Roman" w:eastAsia="仿宋_GB2312" w:cs="Times New Roman"/>
          <w:color w:val="000000" w:themeColor="text1"/>
          <w:sz w:val="32"/>
          <w:szCs w:val="32"/>
          <w14:textFill>
            <w14:solidFill>
              <w14:schemeClr w14:val="tx1"/>
            </w14:solidFill>
          </w14:textFill>
        </w:rPr>
        <w:t>继续深化土地、劳动力、资本、技术、数据等要素市场改革，更好发挥市场配置资源的决定性作用。完善工业用地市场化配置制度，保障重大产业项目用地需求。鼓励推进产业用地市场化配置改革，探索建立省级及以上园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标准地+承诺制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机制，制定差别化土地供应政策。统筹人力资源市场，建立健全统一规范的人力资源市场体系和覆盖到村（社区）的五级公共就业服务体系；依法纠正身份、性别等就业歧视现象；探索建立国有企业职业经理人制度，优化国有企事业单位面向社会选人用人机制，畅通企业、社会组织人员进入党政机关、国有企事业单位渠道；完善全市人事档案管理服务。加强各类技术交易平台建设，建设一批基础技术、应用技术创新平台，积极创建高水平实验室，争取参与国家实验室建设。鼓励开展市场化、社会化的科技成果评价。加强政企教研多方合作，设立专项联合资金（基金）。加快投融资体制改革，大力实施企业上市</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破零倍增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计划，建立上市后备企业资源库，引导企业利用股票市场基础制度改革机遇做强做优；依托湖南省科技金融服务中心、湖南股交所</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科技创新专板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，加大对科创企业上市培育力度。加快数据开放共享，打破传统要素有限供给对增长的制约。推进政府数据开放共享，完善基础数据库，建立健全数据开放、共享、交换的协调机制。</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推进价格机制改革。</w:t>
      </w:r>
      <w:r>
        <w:rPr>
          <w:rFonts w:ascii="Times New Roman" w:hAnsi="Times New Roman" w:eastAsia="仿宋_GB2312" w:cs="Times New Roman"/>
          <w:color w:val="000000" w:themeColor="text1"/>
          <w:sz w:val="32"/>
          <w:szCs w:val="32"/>
          <w14:textFill>
            <w14:solidFill>
              <w14:schemeClr w14:val="tx1"/>
            </w14:solidFill>
          </w14:textFill>
        </w:rPr>
        <w:t>减少政府对价格形成的干预，全面放开竞争性领域商品和服务价格。规范定价程序，构建主要由市场决定价格、政府重点监管价格行为的价格运行机制。完善促进节能减排价格体系，理顺医疗服务价格，健全交通运输价格机制，创新公用事业和公益性服务价格管理。加强价格监测、成本信息公开，完善价格社会监督体系，预防和有效应对市场价格异常波动。</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推进预算管理制度改革。</w:t>
      </w:r>
      <w:r>
        <w:rPr>
          <w:rFonts w:ascii="Times New Roman" w:hAnsi="Times New Roman" w:eastAsia="仿宋_GB2312" w:cs="Times New Roman"/>
          <w:color w:val="000000" w:themeColor="text1"/>
          <w:sz w:val="32"/>
          <w:szCs w:val="32"/>
          <w14:textFill>
            <w14:solidFill>
              <w14:schemeClr w14:val="tx1"/>
            </w14:solidFill>
          </w14:textFill>
        </w:rPr>
        <w:t>推进预决算公开，实行透明预算。树牢政府</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过紧日子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的理念，</w:t>
      </w:r>
      <w:r>
        <w:rPr>
          <w:rFonts w:ascii="Times New Roman" w:hAnsi="Times New Roman" w:eastAsia="仿宋_GB2312" w:cs="Times New Roman"/>
          <w:sz w:val="32"/>
          <w:szCs w:val="32"/>
        </w:rPr>
        <w:t>硬化预算约束</w:t>
      </w:r>
      <w:r>
        <w:rPr>
          <w:rFonts w:ascii="Times New Roman" w:hAnsi="Times New Roman" w:eastAsia="仿宋_GB2312" w:cs="Times New Roman"/>
          <w:color w:val="000000" w:themeColor="text1"/>
          <w:sz w:val="32"/>
          <w:szCs w:val="32"/>
          <w14:textFill>
            <w14:solidFill>
              <w14:schemeClr w14:val="tx1"/>
            </w14:solidFill>
          </w14:textFill>
        </w:rPr>
        <w:t>，优先保工资、保运转、保基本民生。实行政府债务规模控制和预算管理，建立权责发生制政府综合财务报告制度，完善政府性债务风险预警和化解机制。推进预算绩效管理，强化绩效评价结果运用。建立激励与约束并举的日常管理绩效考核结果奖惩机制，充分调动县市区开展预算绩效管理工作的积极性和主动性。规范国库管理，盘活存量资金。创新财政监督模式，全面构建预算编制同步监督、预算执行动态监控、资金使用跟踪问效和监督成果综合运用的长效机制。</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017" w:name="_Toc11939"/>
      <w:bookmarkStart w:id="1018" w:name="_Toc10296"/>
      <w:bookmarkStart w:id="1019" w:name="_Toc20180"/>
      <w:bookmarkStart w:id="1020" w:name="_Toc5216"/>
      <w:bookmarkStart w:id="1021" w:name="_Toc9032"/>
      <w:bookmarkStart w:id="1022" w:name="_Toc9565"/>
      <w:bookmarkStart w:id="1023" w:name="_Toc27076"/>
      <w:bookmarkStart w:id="1024" w:name="_Toc27035"/>
      <w:bookmarkStart w:id="1025" w:name="_Toc6880"/>
      <w:bookmarkStart w:id="1026" w:name="_Toc10324"/>
      <w:bookmarkStart w:id="1027" w:name="_Toc5510"/>
      <w:bookmarkStart w:id="1028" w:name="_Toc1775"/>
      <w:bookmarkStart w:id="1029" w:name="_Toc24763"/>
      <w:bookmarkStart w:id="1030" w:name="_Toc1637"/>
      <w:bookmarkStart w:id="1031" w:name="_Toc15071"/>
      <w:bookmarkStart w:id="1032" w:name="_Toc19925"/>
      <w:bookmarkStart w:id="1033" w:name="_Toc22697"/>
      <w:bookmarkStart w:id="1034" w:name="_Toc10512"/>
      <w:bookmarkStart w:id="1035" w:name="_Toc26790"/>
      <w:bookmarkStart w:id="1036" w:name="_Toc18902"/>
      <w:bookmarkStart w:id="1037" w:name="_Toc12430"/>
      <w:bookmarkStart w:id="1038" w:name="_Toc31483"/>
      <w:bookmarkStart w:id="1039" w:name="_Toc12923"/>
      <w:bookmarkStart w:id="1040" w:name="_Toc7286"/>
      <w:bookmarkStart w:id="1041" w:name="_Toc44"/>
      <w:bookmarkStart w:id="1042" w:name="_Toc2581"/>
      <w:bookmarkStart w:id="1043" w:name="_Toc19220"/>
      <w:bookmarkStart w:id="1044" w:name="_Toc14154"/>
      <w:bookmarkStart w:id="1045" w:name="_Toc16562"/>
      <w:bookmarkStart w:id="1046" w:name="_Toc23563"/>
      <w:bookmarkStart w:id="1047" w:name="_Toc10731"/>
      <w:bookmarkStart w:id="1048" w:name="_Toc13447"/>
      <w:bookmarkStart w:id="1049" w:name="_Toc1337"/>
      <w:bookmarkStart w:id="1050" w:name="_Toc1603"/>
      <w:bookmarkStart w:id="1051" w:name="_Toc24519"/>
      <w:bookmarkStart w:id="1052" w:name="_Toc29045"/>
      <w:bookmarkStart w:id="1053" w:name="_Toc26377"/>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构建</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一体化、无障碍</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合作机制</w:t>
      </w:r>
      <w:bookmarkEnd w:id="979"/>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借鉴先行先试地区的典型经验，推动我市区域合作模式变革、路径变革、机制变革，积极与粤港澳大湾区、长三角地区等沿海发达地区构建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一体化、无障碍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合作机制，大力提升产业承接的便捷性。</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建立规则统一的制度体系。</w:t>
      </w:r>
      <w:r>
        <w:rPr>
          <w:rFonts w:ascii="Times New Roman" w:hAnsi="Times New Roman" w:eastAsia="仿宋_GB2312" w:cs="Times New Roman"/>
          <w:color w:val="000000" w:themeColor="text1"/>
          <w:sz w:val="32"/>
          <w:szCs w:val="32"/>
          <w14:textFill>
            <w14:solidFill>
              <w14:schemeClr w14:val="tx1"/>
            </w14:solidFill>
          </w14:textFill>
        </w:rPr>
        <w:t>健全政策制定协同机制，充分利用泛珠三角区域合作行政首长联席会议、高层论坛、经贸洽谈会等平台，建立和完善与大湾区等地区高层对接对话和部门协商合作长效机制。参与建立一体化标准体系，打造面向大湾区的开放综合平台，加强与大湾区之间的通关协作。持续推进多级贸易</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单一窗口</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互联网+口岸</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一站式作业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促进要素市场一体化。</w:t>
      </w:r>
      <w:r>
        <w:rPr>
          <w:rFonts w:ascii="Times New Roman" w:hAnsi="Times New Roman" w:eastAsia="仿宋_GB2312" w:cs="Times New Roman"/>
          <w:color w:val="000000" w:themeColor="text1"/>
          <w:sz w:val="32"/>
          <w:szCs w:val="32"/>
          <w14:textFill>
            <w14:solidFill>
              <w14:schemeClr w14:val="tx1"/>
            </w14:solidFill>
          </w14:textFill>
        </w:rPr>
        <w:t>共建统一开放人力资源市场，建立人才交流互动框架协议。加大高层次人才引进力度，探索建立干部队伍到发达城市交流、挂职机制。加强各类资本市场分工协作，吸引各类银行、证券、保险和各种基金来邵设立分支机构。开展金融监管合作，强化风险防范。建立城乡统一的土地市场，完善跨区域产权交易市场。</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完善多层次多领域合作机制。</w:t>
      </w:r>
      <w:r>
        <w:rPr>
          <w:rFonts w:ascii="Times New Roman" w:hAnsi="Times New Roman" w:eastAsia="仿宋_GB2312" w:cs="Times New Roman"/>
          <w:color w:val="000000" w:themeColor="text1"/>
          <w:sz w:val="32"/>
          <w:szCs w:val="32"/>
          <w14:textFill>
            <w14:solidFill>
              <w14:schemeClr w14:val="tx1"/>
            </w14:solidFill>
          </w14:textFill>
        </w:rPr>
        <w:t>建立健全重点领域合作机制，支持国内大型电信运营商、行业龙头企业参与邵阳市大数据中心等信息重大项目建设。优化市场准入，提供项目建设、企业运营全流程服务，提升投资贸易便利化水平，加强知识产权保护信息互通共享。建立各类市场主体协同联动机制，建立区域间成本共担利益共享机制，借助泛珠三角区域科技合作平台，推动相互开放国家级和省级重点实验室、实验平台，共同构建科技管理信息数据库，实现科技创新基础平台信息共享。全力推进邵阳经开区与粤港澳大湾区等地院校和科研机构开展产学研合作，每年建成创新创业平台10个以上。</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积极参与建设</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信用粤港澳大湾区</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平台。</w:t>
      </w:r>
      <w:r>
        <w:rPr>
          <w:rFonts w:ascii="Times New Roman" w:hAnsi="Times New Roman" w:eastAsia="仿宋_GB2312" w:cs="Times New Roman"/>
          <w:color w:val="000000" w:themeColor="text1"/>
          <w:sz w:val="32"/>
          <w:szCs w:val="32"/>
          <w14:textFill>
            <w14:solidFill>
              <w14:schemeClr w14:val="tx1"/>
            </w14:solidFill>
          </w14:textFill>
        </w:rPr>
        <w:t>建立与大湾区市场执法标准、监督管理、信用联动等衔接合作机制，开展失信联合惩戒，实现信用资源互通、互认和互用，协同推进环境保护、食品医药、产品质量、旅游等领域联合奖惩机制建设。</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054" w:name="_Toc4059"/>
      <w:bookmarkStart w:id="1055" w:name="_Toc13984"/>
      <w:bookmarkStart w:id="1056" w:name="_Toc14209"/>
      <w:bookmarkStart w:id="1057" w:name="_Toc32746"/>
      <w:bookmarkStart w:id="1058" w:name="_Toc28939"/>
      <w:bookmarkStart w:id="1059" w:name="_Toc6292"/>
      <w:bookmarkStart w:id="1060" w:name="_Toc7203"/>
      <w:bookmarkStart w:id="1061" w:name="_Toc32453"/>
      <w:bookmarkStart w:id="1062" w:name="_Toc30807"/>
      <w:bookmarkStart w:id="1063" w:name="_Toc7314"/>
      <w:bookmarkStart w:id="1064" w:name="_Toc22612"/>
      <w:bookmarkStart w:id="1065" w:name="_Toc12225"/>
      <w:bookmarkStart w:id="1066" w:name="_Toc27803"/>
      <w:bookmarkStart w:id="1067" w:name="_Toc8125"/>
      <w:bookmarkStart w:id="1068" w:name="_Toc6749"/>
      <w:bookmarkStart w:id="1069" w:name="_Toc20813"/>
      <w:bookmarkStart w:id="1070" w:name="_Toc11849"/>
      <w:bookmarkStart w:id="1071" w:name="_Toc27440"/>
      <w:bookmarkStart w:id="1072" w:name="_Toc21026"/>
      <w:bookmarkStart w:id="1073" w:name="_Toc9219"/>
      <w:bookmarkStart w:id="1074" w:name="_Toc10459"/>
      <w:bookmarkStart w:id="1075" w:name="_Toc6067"/>
      <w:bookmarkStart w:id="1076" w:name="_Toc4506"/>
      <w:bookmarkStart w:id="1077" w:name="_Toc31897"/>
      <w:bookmarkStart w:id="1078" w:name="_Toc11879"/>
      <w:bookmarkStart w:id="1079" w:name="_Toc55390939"/>
      <w:bookmarkStart w:id="1080" w:name="_Toc8216"/>
      <w:bookmarkStart w:id="1081" w:name="_Toc15649"/>
      <w:bookmarkStart w:id="1082" w:name="_Toc12086"/>
      <w:bookmarkStart w:id="1083" w:name="_Toc17805"/>
      <w:bookmarkStart w:id="1084" w:name="_Toc8875"/>
      <w:bookmarkStart w:id="1085" w:name="_Toc24277"/>
      <w:bookmarkStart w:id="1086" w:name="_Toc25815"/>
      <w:bookmarkStart w:id="1087" w:name="_Toc29439"/>
      <w:bookmarkStart w:id="1088" w:name="_Toc16202"/>
      <w:bookmarkStart w:id="1089" w:name="_Toc21893"/>
      <w:bookmarkStart w:id="1090" w:name="_Toc31286"/>
      <w:bookmarkStart w:id="1091" w:name="_Toc25248"/>
      <w:r>
        <w:rPr>
          <w:rFonts w:ascii="Times New Roman" w:hAnsi="Times New Roman" w:cs="Times New Roman"/>
          <w:color w:val="000000" w:themeColor="text1"/>
          <w:szCs w:val="32"/>
          <w14:textFill>
            <w14:solidFill>
              <w14:schemeClr w14:val="tx1"/>
            </w14:solidFill>
          </w14:textFill>
        </w:rPr>
        <w:t>第三节 打造</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国际化、多层次</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开放平台</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坚持有形平台和虚拟平台、硬件平台和软件平台两手抓，进一步深化平台对开放的支撑作用。</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创建国家综合保税区。</w:t>
      </w:r>
      <w:r>
        <w:rPr>
          <w:rFonts w:ascii="Times New Roman" w:hAnsi="Times New Roman" w:eastAsia="仿宋_GB2312" w:cs="Times New Roman"/>
          <w:color w:val="000000" w:themeColor="text1"/>
          <w:sz w:val="32"/>
          <w:szCs w:val="32"/>
          <w14:textFill>
            <w14:solidFill>
              <w14:schemeClr w14:val="tx1"/>
            </w14:solidFill>
          </w14:textFill>
        </w:rPr>
        <w:t>加快建设保税物流中心（B型），争取创建国家级综合保税区。加快建设进口商品保税展示交易中心，打造带动能力强、辐射范围广的区域性运营中心。加快建设跨境电子商务供货基地，推动传统制造业企业应用跨境电子商务开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互联网+营销</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新模式，逐步提高跨境电子商务出口在全市外贸出口中的比重。加快建设跨境电子商务物流基地，提升集货拼柜能力和物流效率。加快打造跨境电子商务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基地，汇聚创新发展新动力，拓展创新发展新渠道。到2025年，基本建成东盟邵阳跨境电商平台。</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建设中外合作产业园。</w:t>
      </w:r>
      <w:r>
        <w:rPr>
          <w:rFonts w:ascii="Times New Roman" w:hAnsi="Times New Roman" w:eastAsia="仿宋_GB2312" w:cs="Times New Roman"/>
          <w:color w:val="000000" w:themeColor="text1"/>
          <w:spacing w:val="-6"/>
          <w:sz w:val="32"/>
          <w:szCs w:val="32"/>
          <w14:textFill>
            <w14:solidFill>
              <w14:schemeClr w14:val="tx1"/>
            </w14:solidFill>
          </w14:textFill>
        </w:rPr>
        <w:t>深度融入RCEP，加强与东盟十国以及日本、韩国、澳大利亚、新西兰等国家和地区对接，支持企业开展国际贸易、物流服务、海外仓、电商平台、制造加工、现代农业等领域合作，促进产业链企业和合作项目集聚。推动建立国际园区战略合作机制，加强政策沟通、设施联通、贸易畅通，建设一批中外合作的生态工业园、循环经济示范园、建筑节能产业园、农业产业园、轻工产业园，打造高质量的利用外资载体和对外开放平台。支持建设东盟</w:t>
      </w:r>
      <w:r>
        <w:rPr>
          <w:rFonts w:hint="eastAsia" w:ascii="Times New Roman" w:hAnsi="Times New Roman" w:eastAsia="仿宋_GB2312" w:cs="Times New Roman"/>
          <w:color w:val="000000" w:themeColor="text1"/>
          <w:spacing w:val="-6"/>
          <w:sz w:val="32"/>
          <w:szCs w:val="32"/>
          <w14:textFill>
            <w14:solidFill>
              <w14:schemeClr w14:val="tx1"/>
            </w14:solidFill>
          </w14:textFill>
        </w:rPr>
        <w:t>科技</w:t>
      </w:r>
      <w:r>
        <w:rPr>
          <w:rFonts w:ascii="Times New Roman" w:hAnsi="Times New Roman" w:eastAsia="仿宋_GB2312" w:cs="Times New Roman"/>
          <w:color w:val="000000" w:themeColor="text1"/>
          <w:spacing w:val="-6"/>
          <w:sz w:val="32"/>
          <w:szCs w:val="32"/>
          <w14:textFill>
            <w14:solidFill>
              <w14:schemeClr w14:val="tx1"/>
            </w14:solidFill>
          </w14:textFill>
        </w:rPr>
        <w:t>产业园和中非</w:t>
      </w:r>
      <w:r>
        <w:rPr>
          <w:rFonts w:hint="eastAsia" w:ascii="Times New Roman" w:hAnsi="Times New Roman" w:eastAsia="仿宋_GB2312" w:cs="Times New Roman"/>
          <w:color w:val="000000" w:themeColor="text1"/>
          <w:spacing w:val="-6"/>
          <w:sz w:val="32"/>
          <w:szCs w:val="32"/>
          <w14:textFill>
            <w14:solidFill>
              <w14:schemeClr w14:val="tx1"/>
            </w14:solidFill>
          </w14:textFill>
        </w:rPr>
        <w:t>经贸</w:t>
      </w:r>
      <w:r>
        <w:rPr>
          <w:rFonts w:ascii="Times New Roman" w:hAnsi="Times New Roman" w:eastAsia="仿宋_GB2312" w:cs="Times New Roman"/>
          <w:color w:val="000000" w:themeColor="text1"/>
          <w:spacing w:val="-6"/>
          <w:sz w:val="32"/>
          <w:szCs w:val="32"/>
          <w14:textFill>
            <w14:solidFill>
              <w14:schemeClr w14:val="tx1"/>
            </w14:solidFill>
          </w14:textFill>
        </w:rPr>
        <w:t>产业园。</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引导资本双向流动。</w:t>
      </w:r>
      <w:r>
        <w:rPr>
          <w:rFonts w:ascii="Times New Roman" w:hAnsi="Times New Roman" w:eastAsia="仿宋_GB2312" w:cs="Times New Roman"/>
          <w:color w:val="000000" w:themeColor="text1"/>
          <w:spacing w:val="-6"/>
          <w:sz w:val="32"/>
          <w:szCs w:val="32"/>
          <w14:textFill>
            <w14:solidFill>
              <w14:schemeClr w14:val="tx1"/>
            </w14:solidFill>
          </w14:textFill>
        </w:rPr>
        <w:t>坚持国内国际互促双循环，促进国内外要素有序流动、资源高效配置、市场深度融合。完善外商投资准入前国民待遇加负面清单管理制度，有序扩大服务业对外开放。着力引进一批有品牌、有品质的企业，争取引进国内外500强企业、国有大型企业、上市公司、行业龙头企业、高新技术企业等，引导外部资金和先进技术更多投向高端制造业、高新技术产业、现代服务业。以推进国际产能合作为重点，支持我市优势产业参与国际产业分工，开展制造业和农产品生产加工合作，鼓励对外承包工程企业抱团</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走出去</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重点扶持具有一定规模实力、品牌优势和市场基础的大型企业集团、行业骨干企业、高新技术企业、出口创汇企业，鼓励他们到境外设立贸易公司，建立生产企业和开展其他形式的国际经济技术合作，形成示范效应。鼓励本地企业与国内外有实力和经验的企业建立战略联盟。</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092" w:name="_Toc28861"/>
      <w:bookmarkStart w:id="1093" w:name="_Toc11870"/>
      <w:bookmarkStart w:id="1094" w:name="_Toc29412"/>
      <w:bookmarkStart w:id="1095" w:name="_Toc15240"/>
      <w:bookmarkStart w:id="1096" w:name="_Toc8112"/>
      <w:bookmarkStart w:id="1097" w:name="_Toc22180"/>
      <w:bookmarkStart w:id="1098" w:name="_Toc11962"/>
      <w:bookmarkStart w:id="1099" w:name="_Toc2539"/>
      <w:bookmarkStart w:id="1100" w:name="_Toc14540"/>
      <w:bookmarkStart w:id="1101" w:name="_Toc23370"/>
      <w:bookmarkStart w:id="1102" w:name="_Toc7166"/>
      <w:bookmarkStart w:id="1103" w:name="_Toc11252"/>
      <w:bookmarkStart w:id="1104" w:name="_Toc5268"/>
      <w:bookmarkStart w:id="1105" w:name="_Toc23901"/>
      <w:bookmarkStart w:id="1106" w:name="_Toc7900"/>
      <w:bookmarkStart w:id="1107" w:name="_Toc15422"/>
      <w:bookmarkStart w:id="1108" w:name="_Toc55390940"/>
      <w:bookmarkStart w:id="1109" w:name="_Toc14585"/>
      <w:bookmarkStart w:id="1110" w:name="_Toc2213"/>
      <w:bookmarkStart w:id="1111" w:name="_Toc8545"/>
      <w:bookmarkStart w:id="1112" w:name="_Toc23670"/>
      <w:bookmarkStart w:id="1113" w:name="_Toc22912"/>
      <w:bookmarkStart w:id="1114" w:name="_Toc22385"/>
      <w:bookmarkStart w:id="1115" w:name="_Toc9838"/>
      <w:bookmarkStart w:id="1116" w:name="_Toc24607"/>
      <w:bookmarkStart w:id="1117" w:name="_Toc261"/>
      <w:bookmarkStart w:id="1118" w:name="_Toc23704"/>
      <w:bookmarkStart w:id="1119" w:name="_Toc12698"/>
      <w:bookmarkStart w:id="1120" w:name="_Toc7840"/>
      <w:bookmarkStart w:id="1121" w:name="_Toc22705"/>
      <w:bookmarkStart w:id="1122" w:name="_Toc9806"/>
      <w:bookmarkStart w:id="1123" w:name="_Toc29530"/>
      <w:bookmarkStart w:id="1124" w:name="_Toc10493"/>
      <w:bookmarkStart w:id="1125" w:name="_Toc10513"/>
      <w:bookmarkStart w:id="1126" w:name="_Toc16870"/>
      <w:bookmarkStart w:id="1127" w:name="_Toc20790"/>
      <w:bookmarkStart w:id="1128" w:name="_Toc2772"/>
      <w:bookmarkStart w:id="1129" w:name="_Toc29720"/>
      <w:r>
        <w:rPr>
          <w:rFonts w:ascii="Times New Roman" w:hAnsi="Times New Roman" w:cs="Times New Roman"/>
          <w:color w:val="000000" w:themeColor="text1"/>
          <w:szCs w:val="32"/>
          <w14:textFill>
            <w14:solidFill>
              <w14:schemeClr w14:val="tx1"/>
            </w14:solidFill>
          </w14:textFill>
        </w:rPr>
        <w:t>第四节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建设</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法治化、可预期</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营商环境</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pPr>
        <w:widowControl w:val="0"/>
        <w:adjustRightInd/>
        <w:snapToGrid/>
        <w:spacing w:before="0" w:after="0" w:line="54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落实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对接北上广、优化大环境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行动导则，进一步深化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放管服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改革，降低市场运行成本，全力打造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湖南标杆、全国一流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的市场化、法治化、国际化营商环境。</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激发各类市场主体活力。</w:t>
      </w:r>
      <w:r>
        <w:rPr>
          <w:rFonts w:ascii="Times New Roman" w:hAnsi="Times New Roman" w:eastAsia="仿宋_GB2312" w:cs="Times New Roman"/>
          <w:color w:val="000000" w:themeColor="text1"/>
          <w:sz w:val="32"/>
          <w:szCs w:val="32"/>
          <w14:textFill>
            <w14:solidFill>
              <w14:schemeClr w14:val="tx1"/>
            </w14:solidFill>
          </w14:textFill>
        </w:rPr>
        <w:t>毫不动摇巩固和发展公有制经济，毫不动摇鼓励、支持、引导非公有制经济发展。深化国资国企改革，</w:t>
      </w:r>
      <w:r>
        <w:rPr>
          <w:rFonts w:ascii="Times New Roman" w:hAnsi="Times New Roman" w:eastAsia="仿宋_GB2312" w:cs="Times New Roman"/>
          <w:color w:val="000000" w:themeColor="text1"/>
          <w:sz w:val="32"/>
          <w:szCs w:val="32"/>
          <w:lang w:bidi="ar"/>
          <w14:textFill>
            <w14:solidFill>
              <w14:schemeClr w14:val="tx1"/>
            </w14:solidFill>
          </w14:textFill>
        </w:rPr>
        <w:t>加快国有资本布局优化、结构调整、重组整合，实现城投集团、市国投公司市场化转型目标。</w:t>
      </w:r>
      <w:r>
        <w:rPr>
          <w:rFonts w:ascii="Times New Roman" w:hAnsi="Times New Roman" w:eastAsia="仿宋_GB2312" w:cs="Times New Roman"/>
          <w:color w:val="000000" w:themeColor="text1"/>
          <w:sz w:val="32"/>
          <w:szCs w:val="32"/>
          <w14:textFill>
            <w14:solidFill>
              <w14:schemeClr w14:val="tx1"/>
            </w14:solidFill>
          </w14:textFill>
        </w:rPr>
        <w:t>健全管资本为主的国有资产监管体制，深化国有资本投资、运营公司改革。推进能源、铁路、电信、公用事业等行业竞争性环节市场化改革。优化民营经济发展环境，构建亲清政商关系，促进非公有制经济健康发展和非公有制经济人士健康成长，破除制约民营企业发展的各种壁垒，完善促进中小微企业和个体工商户发展的法律环境和政策体系。弘扬企业家精神，加快建设一流企业。</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打造营商服务品牌。</w:t>
      </w:r>
      <w:r>
        <w:rPr>
          <w:rFonts w:ascii="Times New Roman" w:hAnsi="Times New Roman" w:eastAsia="仿宋_GB2312" w:cs="Times New Roman"/>
          <w:color w:val="000000" w:themeColor="text1"/>
          <w:sz w:val="32"/>
          <w:szCs w:val="32"/>
          <w14:textFill>
            <w14:solidFill>
              <w14:schemeClr w14:val="tx1"/>
            </w14:solidFill>
          </w14:textFill>
        </w:rPr>
        <w:t>落实国、省关于支持湘南湘西承接产业转移示范区建设和优化经济发展环境各项政策措施，</w:t>
      </w:r>
      <w:bookmarkStart w:id="1130" w:name="_Hlk59189079"/>
      <w:r>
        <w:rPr>
          <w:rFonts w:ascii="Times New Roman" w:hAnsi="Times New Roman" w:eastAsia="仿宋_GB2312" w:cs="Times New Roman"/>
          <w:color w:val="000000" w:themeColor="text1"/>
          <w:sz w:val="32"/>
          <w:szCs w:val="32"/>
          <w14:textFill>
            <w14:solidFill>
              <w14:schemeClr w14:val="tx1"/>
            </w14:solidFill>
          </w14:textFill>
        </w:rPr>
        <w:t>优化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1+7+10</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的营商环境工作体系</w:t>
      </w:r>
      <w:bookmarkEnd w:id="1130"/>
      <w:r>
        <w:rPr>
          <w:rFonts w:ascii="Times New Roman" w:hAnsi="Times New Roman" w:eastAsia="仿宋_GB2312" w:cs="Times New Roman"/>
          <w:color w:val="000000" w:themeColor="text1"/>
          <w:sz w:val="32"/>
          <w:szCs w:val="32"/>
          <w14:textFill>
            <w14:solidFill>
              <w14:schemeClr w14:val="tx1"/>
            </w14:solidFill>
          </w14:textFill>
        </w:rPr>
        <w:t>，营造风清气正的政治生态，着力打造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法治化、可预期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营商环境。借鉴复制综合保税区境内关外有关政策制度，拓展海关特殊监管区域和保税监管场所的服务出口功能。完善海关、商检、工商注册、金融保险等综合性服务体系，推行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一次申报、一次查验、一次放行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通关模式，清理和规范进出口环节经营性服务收费。全面推行代办服务，建立代办服务机制，公布代办事项目录清单。</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提升行政审批效率。</w:t>
      </w:r>
      <w:r>
        <w:rPr>
          <w:rFonts w:ascii="Times New Roman" w:hAnsi="Times New Roman" w:eastAsia="仿宋_GB2312" w:cs="Times New Roman"/>
          <w:color w:val="000000" w:themeColor="text1"/>
          <w:sz w:val="32"/>
          <w:szCs w:val="32"/>
          <w14:textFill>
            <w14:solidFill>
              <w14:schemeClr w14:val="tx1"/>
            </w14:solidFill>
          </w14:textFill>
        </w:rPr>
        <w:t>深化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放管服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改革，坚持以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一件事一次办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三集中三到位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互联网+政务服务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为重点，带动行政审批各领域改革创新，进一步推动政务服务改革向基层延伸、向公共场所覆盖、向项目业主拓展，市、县市区规划建设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市民之家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持续优化业务流程，实行企业开办2个工作日（邵阳经开区压缩至1.5个工作日）、不动产登记5个工作日内完成审批，企业投资项目开工前审批最多3个月。全面施行多图一审，对有条件的省市重大产业项目实施分段许可、分段施工。全面落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跑一次、免打扰、前审批、总测绘、保用工、扶升级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等措施，努力实现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四个最少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（找最少的部门、跑最少的路、花最少的时间、交最少的材料）。</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实施公平规范市场监管。</w:t>
      </w:r>
      <w:r>
        <w:rPr>
          <w:rFonts w:ascii="Times New Roman" w:hAnsi="Times New Roman" w:eastAsia="仿宋_GB2312" w:cs="Times New Roman"/>
          <w:color w:val="000000" w:themeColor="text1"/>
          <w:sz w:val="32"/>
          <w:szCs w:val="32"/>
          <w14:textFill>
            <w14:solidFill>
              <w14:schemeClr w14:val="tx1"/>
            </w14:solidFill>
          </w14:textFill>
        </w:rPr>
        <w:t>全面实施行政执法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三项制度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。在市场监管领域全面推行部门联合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双随机、一公开</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监管，实现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进一次门、查多项事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严格控制重点检查事项的数量和一般检查事项的抽查比例。建立以信用为基础的新型监管机制，全面推行信用分级分类监管，对信用较好、风险较低的市场主体合理降低抽查比例和频次。继续探索跨领域跨部门综合执法。深入探索对新技术、新产业、新业态、新模式等实施包容审慎监管，梳理发布市场轻微违法违规经营行为免罚清单。</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131" w:name="_Toc13599"/>
      <w:bookmarkStart w:id="1132" w:name="_Toc10206"/>
      <w:bookmarkStart w:id="1133" w:name="_Toc55390941"/>
      <w:bookmarkStart w:id="1134" w:name="_Toc18084"/>
      <w:bookmarkStart w:id="1135" w:name="_Toc31395"/>
      <w:bookmarkStart w:id="1136" w:name="_Toc5902"/>
      <w:bookmarkStart w:id="1137" w:name="_Toc13950"/>
      <w:bookmarkStart w:id="1138" w:name="_Toc32083"/>
      <w:bookmarkStart w:id="1139" w:name="_Toc18519"/>
      <w:bookmarkStart w:id="1140" w:name="_Toc25942"/>
      <w:bookmarkStart w:id="1141" w:name="_Toc24816"/>
      <w:bookmarkStart w:id="1142" w:name="_Toc10173"/>
      <w:bookmarkStart w:id="1143" w:name="_Toc8421"/>
      <w:bookmarkStart w:id="1144" w:name="_Toc2965"/>
      <w:bookmarkStart w:id="1145" w:name="_Toc4625"/>
      <w:bookmarkStart w:id="1146" w:name="_Toc5772"/>
      <w:bookmarkStart w:id="1147" w:name="_Toc11431"/>
      <w:bookmarkStart w:id="1148" w:name="_Toc22051"/>
      <w:bookmarkStart w:id="1149" w:name="_Toc16993"/>
      <w:bookmarkStart w:id="1150" w:name="_Toc2272"/>
      <w:bookmarkStart w:id="1151" w:name="_Toc5950"/>
      <w:bookmarkStart w:id="1152" w:name="_Toc2452"/>
      <w:bookmarkStart w:id="1153" w:name="_Toc12823"/>
      <w:bookmarkStart w:id="1154" w:name="_Toc22011"/>
      <w:bookmarkStart w:id="1155" w:name="_Toc29857"/>
      <w:bookmarkStart w:id="1156" w:name="_Toc21754"/>
      <w:bookmarkStart w:id="1157" w:name="_Toc18064"/>
      <w:bookmarkStart w:id="1158" w:name="_Toc9171"/>
      <w:bookmarkStart w:id="1159" w:name="_Toc20969"/>
      <w:bookmarkStart w:id="1160" w:name="_Toc1722"/>
      <w:bookmarkStart w:id="1161" w:name="_Toc6949"/>
      <w:bookmarkStart w:id="1162" w:name="_Toc1203"/>
      <w:bookmarkStart w:id="1163" w:name="_Toc6254"/>
      <w:bookmarkStart w:id="1164" w:name="_Toc11009"/>
      <w:bookmarkStart w:id="1165" w:name="_Toc15285"/>
      <w:bookmarkStart w:id="1166" w:name="_Toc5140"/>
      <w:bookmarkStart w:id="1167" w:name="_Toc2891"/>
      <w:bookmarkStart w:id="1168" w:name="_Toc17906"/>
      <w:r>
        <w:rPr>
          <w:rFonts w:ascii="Times New Roman" w:hAnsi="Times New Roman" w:cs="Times New Roman"/>
          <w:color w:val="000000" w:themeColor="text1"/>
          <w:szCs w:val="32"/>
          <w14:textFill>
            <w14:solidFill>
              <w14:schemeClr w14:val="tx1"/>
            </w14:solidFill>
          </w14:textFill>
        </w:rPr>
        <w:t>第五节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推进</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多领域、专业化</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招商引资</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聚焦差异化招商、全要素招商、多渠道招商、新动能招商，拓展招商引资内涵，集聚高端资源要素，构建产业发展新生态，吸引更多战略投资者进驻邵阳。</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搭建专业化招商平台。</w:t>
      </w:r>
      <w:r>
        <w:rPr>
          <w:rFonts w:hint="eastAsia" w:ascii="Times New Roman" w:hAnsi="Times New Roman" w:eastAsia="仿宋_GB2312" w:cs="Times New Roman"/>
          <w:color w:val="000000" w:themeColor="text1"/>
          <w:sz w:val="32"/>
          <w:szCs w:val="32"/>
          <w14:textFill>
            <w14:solidFill>
              <w14:schemeClr w14:val="tx1"/>
            </w14:solidFill>
          </w14:textFill>
        </w:rPr>
        <w:t>规划建设邵阳国际会展中心，</w:t>
      </w:r>
      <w:r>
        <w:rPr>
          <w:rFonts w:ascii="Times New Roman" w:hAnsi="Times New Roman" w:eastAsia="仿宋_GB2312" w:cs="Times New Roman"/>
          <w:color w:val="000000" w:themeColor="text1"/>
          <w:sz w:val="32"/>
          <w:szCs w:val="32"/>
          <w14:textFill>
            <w14:solidFill>
              <w14:schemeClr w14:val="tx1"/>
            </w14:solidFill>
          </w14:textFill>
        </w:rPr>
        <w:t>积极创办湖南-东盟博览会-邵阳论坛、中非经贸博览会-邵阳论坛等对外交流平台，深度拓展中东、南亚、东盟、拉美、非洲等新兴市场</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重点创办湖南东盟</w:t>
      </w:r>
      <w:r>
        <w:rPr>
          <w:rFonts w:hint="eastAsia" w:ascii="Times New Roman" w:hAnsi="Times New Roman" w:eastAsia="仿宋_GB2312" w:cs="Times New Roman"/>
          <w:color w:val="000000" w:themeColor="text1"/>
          <w:sz w:val="32"/>
          <w:szCs w:val="32"/>
          <w14:textFill>
            <w14:solidFill>
              <w14:schemeClr w14:val="tx1"/>
            </w14:solidFill>
          </w14:textFill>
        </w:rPr>
        <w:t>名优产品交易</w:t>
      </w:r>
      <w:r>
        <w:rPr>
          <w:rFonts w:ascii="Times New Roman" w:hAnsi="Times New Roman" w:eastAsia="仿宋_GB2312" w:cs="Times New Roman"/>
          <w:color w:val="000000" w:themeColor="text1"/>
          <w:sz w:val="32"/>
          <w:szCs w:val="32"/>
          <w14:textFill>
            <w14:solidFill>
              <w14:schemeClr w14:val="tx1"/>
            </w14:solidFill>
          </w14:textFill>
        </w:rPr>
        <w:t>会。主动融入湖南自贸区发展，强化交通、物流、产业对接。采取靶向招商方式，坚持招商引资与招才引智相结合，紧盯粤港澳大湾区，发挥异地商会作用，瞄准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三类500强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和行业龙头企业，着力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招大引强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，实现量的增长，质的飞跃。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承办参与重大招商活动。</w:t>
      </w:r>
      <w:r>
        <w:rPr>
          <w:rFonts w:ascii="Times New Roman" w:hAnsi="Times New Roman" w:eastAsia="仿宋_GB2312" w:cs="Times New Roman"/>
          <w:color w:val="000000" w:themeColor="text1"/>
          <w:sz w:val="32"/>
          <w:szCs w:val="32"/>
          <w14:textFill>
            <w14:solidFill>
              <w14:schemeClr w14:val="tx1"/>
            </w14:solidFill>
          </w14:textFill>
        </w:rPr>
        <w:t>开展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地图式</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产业化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精准对接，着力将全球邵商大会、邵阳东盟进出口商品博览会、邵东五金机电博览会等展会打造成全球品牌盛会。积极组织企业参加广交会、高交会</w:t>
      </w:r>
      <w:r>
        <w:rPr>
          <w:rFonts w:hint="eastAsia" w:ascii="Times New Roman" w:hAnsi="Times New Roman" w:eastAsia="仿宋_GB2312" w:cs="Times New Roman"/>
          <w:color w:val="000000" w:themeColor="text1"/>
          <w:sz w:val="32"/>
          <w:szCs w:val="32"/>
          <w14:textFill>
            <w14:solidFill>
              <w14:schemeClr w14:val="tx1"/>
            </w14:solidFill>
          </w14:textFill>
        </w:rPr>
        <w:t>、世博会</w:t>
      </w:r>
      <w:r>
        <w:rPr>
          <w:rFonts w:ascii="Times New Roman" w:hAnsi="Times New Roman" w:eastAsia="仿宋_GB2312" w:cs="Times New Roman"/>
          <w:color w:val="000000" w:themeColor="text1"/>
          <w:sz w:val="32"/>
          <w:szCs w:val="32"/>
          <w14:textFill>
            <w14:solidFill>
              <w14:schemeClr w14:val="tx1"/>
            </w14:solidFill>
          </w14:textFill>
        </w:rPr>
        <w:t>等国际性展会，鼓励企业依托各类开放性平台建设境外营销渠道、海外仓等。用好用足国家和省鼓励</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走出去</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的各项优惠政策，继续推动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万企闯国际</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坚持多领域招商。</w:t>
      </w:r>
      <w:r>
        <w:rPr>
          <w:rFonts w:ascii="Times New Roman" w:hAnsi="Times New Roman" w:eastAsia="仿宋_GB2312" w:cs="Times New Roman"/>
          <w:color w:val="000000" w:themeColor="text1"/>
          <w:sz w:val="32"/>
          <w:szCs w:val="32"/>
          <w14:textFill>
            <w14:solidFill>
              <w14:schemeClr w14:val="tx1"/>
            </w14:solidFill>
          </w14:textFill>
        </w:rPr>
        <w:t>深入实施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对接500强、提升产业链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努力引进世界500强、国内200强和上市公司落户邵阳。更好发挥政府作用，加强对招商的规划和引导，聚焦新一代信息技术、高端装备制造、新材料、新能源、生命科学和生物技术五大领域，分别在新一代人工智能、新一代信息通信、智能终端、工业机器人、高端智能制造装备、先进材料、新能源汽车、高性能电池、生物医药、高端医疗器械十大产业上取得突破。引进建设一批特色专业产业园和多个重大产业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期间，年均引进亿元以上项目100个，其中三类</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500强企业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投资项目10个以上。到2025年，全市利用</w:t>
      </w:r>
      <w:r>
        <w:rPr>
          <w:rFonts w:hint="eastAsia" w:ascii="Times New Roman" w:hAnsi="Times New Roman" w:eastAsia="仿宋_GB2312" w:cs="Times New Roman"/>
          <w:color w:val="000000" w:themeColor="text1"/>
          <w:sz w:val="32"/>
          <w:szCs w:val="32"/>
          <w14:textFill>
            <w14:solidFill>
              <w14:schemeClr w14:val="tx1"/>
            </w14:solidFill>
          </w14:textFill>
        </w:rPr>
        <w:t>外商直接投资5000万</w:t>
      </w:r>
      <w:r>
        <w:rPr>
          <w:rFonts w:ascii="Times New Roman" w:hAnsi="Times New Roman" w:eastAsia="仿宋_GB2312" w:cs="Times New Roman"/>
          <w:color w:val="000000" w:themeColor="text1"/>
          <w:sz w:val="32"/>
          <w:szCs w:val="32"/>
          <w14:textFill>
            <w14:solidFill>
              <w14:schemeClr w14:val="tx1"/>
            </w14:solidFill>
          </w14:textFill>
        </w:rPr>
        <w:t>美元，年均增长</w:t>
      </w:r>
      <w:r>
        <w:rPr>
          <w:rFonts w:hint="eastAsia" w:ascii="Times New Roman" w:hAnsi="Times New Roman" w:eastAsia="仿宋_GB2312" w:cs="Times New Roman"/>
          <w:color w:val="000000" w:themeColor="text1"/>
          <w:sz w:val="32"/>
          <w:szCs w:val="32"/>
          <w14:textFill>
            <w14:solidFill>
              <w14:schemeClr w14:val="tx1"/>
            </w14:solidFill>
          </w14:textFill>
        </w:rPr>
        <w:t>2</w:t>
      </w:r>
      <w:r>
        <w:rPr>
          <w:rFonts w:ascii="Times New Roman" w:hAnsi="Times New Roman" w:eastAsia="仿宋_GB2312" w:cs="Times New Roman"/>
          <w:color w:val="000000" w:themeColor="text1"/>
          <w:sz w:val="32"/>
          <w:szCs w:val="32"/>
          <w14:textFill>
            <w14:solidFill>
              <w14:schemeClr w14:val="tx1"/>
            </w14:solidFill>
          </w14:textFill>
        </w:rPr>
        <w:t>0%以上。</w:t>
      </w:r>
    </w:p>
    <w:tbl>
      <w:tblPr>
        <w:tblStyle w:val="1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专栏12：内陆地区开放高地建设行动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国际物流体系建设工程：</w:t>
            </w:r>
            <w:r>
              <w:rPr>
                <w:rFonts w:ascii="Times New Roman" w:hAnsi="Times New Roman" w:eastAsia="宋体" w:cs="Times New Roman"/>
                <w:color w:val="000000" w:themeColor="text1"/>
                <w14:textFill>
                  <w14:solidFill>
                    <w14:schemeClr w14:val="tx1"/>
                  </w14:solidFill>
                </w14:textFill>
              </w:rPr>
              <w:t>依托</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铁公机</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立体交通优势，重点发展多式联运与集散型物流，积极争取中欧班列、国际铁海联运</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五定</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班列、港澳直通车延伸至邵阳，实现邵阳与大湾区海关资源信息共享。申请开通武冈机场临时开放口岸功能，争取开通邵阳至大湾区的全货班机。</w:t>
            </w:r>
          </w:p>
          <w:p>
            <w:pPr>
              <w:spacing w:before="0" w:after="0" w:line="54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开放平台建设工程：</w:t>
            </w:r>
            <w:r>
              <w:rPr>
                <w:rFonts w:ascii="Times New Roman" w:hAnsi="Times New Roman" w:eastAsia="宋体" w:cs="Times New Roman"/>
                <w:color w:val="000000" w:themeColor="text1"/>
                <w14:textFill>
                  <w14:solidFill>
                    <w14:schemeClr w14:val="tx1"/>
                  </w14:solidFill>
                </w14:textFill>
              </w:rPr>
              <w:t>围绕打造内陆地区改革开放高地，打通邵阳至东盟外贸通道，建设邵阳市东盟贸易综合示范区、东盟</w:t>
            </w:r>
            <w:r>
              <w:rPr>
                <w:rFonts w:hint="eastAsia" w:ascii="Times New Roman" w:hAnsi="Times New Roman" w:eastAsia="宋体" w:cs="Times New Roman"/>
                <w:color w:val="000000" w:themeColor="text1"/>
                <w14:textFill>
                  <w14:solidFill>
                    <w14:schemeClr w14:val="tx1"/>
                  </w14:solidFill>
                </w14:textFill>
              </w:rPr>
              <w:t>科技</w:t>
            </w:r>
            <w:r>
              <w:rPr>
                <w:rFonts w:ascii="Times New Roman" w:hAnsi="Times New Roman" w:eastAsia="宋体" w:cs="Times New Roman"/>
                <w:color w:val="000000" w:themeColor="text1"/>
                <w14:textFill>
                  <w14:solidFill>
                    <w14:schemeClr w14:val="tx1"/>
                  </w14:solidFill>
                </w14:textFill>
              </w:rPr>
              <w:t>产业园及中非</w:t>
            </w:r>
            <w:r>
              <w:rPr>
                <w:rFonts w:hint="eastAsia" w:ascii="Times New Roman" w:hAnsi="Times New Roman" w:eastAsia="宋体" w:cs="Times New Roman"/>
                <w:color w:val="000000" w:themeColor="text1"/>
                <w14:textFill>
                  <w14:solidFill>
                    <w14:schemeClr w14:val="tx1"/>
                  </w14:solidFill>
                </w14:textFill>
              </w:rPr>
              <w:t>经贸</w:t>
            </w:r>
            <w:r>
              <w:rPr>
                <w:rFonts w:ascii="Times New Roman" w:hAnsi="Times New Roman" w:eastAsia="宋体" w:cs="Times New Roman"/>
                <w:color w:val="000000" w:themeColor="text1"/>
                <w14:textFill>
                  <w14:solidFill>
                    <w14:schemeClr w14:val="tx1"/>
                  </w14:solidFill>
                </w14:textFill>
              </w:rPr>
              <w:t>新产业园。加快打造一批专业化、特色化承接产业转移示范园区，加快建设一批跨境电子商务基地、园区金融中心、经贸会展平台、商会行业协会平台。争取设立国家综合保税区。</w:t>
            </w:r>
          </w:p>
          <w:p>
            <w:pPr>
              <w:spacing w:before="0" w:after="0" w:line="540" w:lineRule="exact"/>
              <w:ind w:firstLine="562" w:firstLineChars="200"/>
              <w:jc w:val="both"/>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跨区域合作试点工程：</w:t>
            </w:r>
            <w:r>
              <w:rPr>
                <w:rFonts w:ascii="Times New Roman" w:hAnsi="Times New Roman" w:eastAsia="宋体" w:cs="Times New Roman"/>
                <w:color w:val="000000" w:themeColor="text1"/>
                <w14:textFill>
                  <w14:solidFill>
                    <w14:schemeClr w14:val="tx1"/>
                  </w14:solidFill>
                </w14:textFill>
              </w:rPr>
              <w:t>争取将湘西南桂北经济协作示范区纳入省级改革试点，打造我省西南出海口，紧密对直连东盟经济圈，加大对接国家</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一带一路</w:t>
            </w:r>
            <w:r>
              <w:rPr>
                <w:rFonts w:hint="eastAsia" w:ascii="仿宋" w:hAnsi="仿宋" w:cs="Times New Roman"/>
                <w:color w:val="000000" w:themeColor="text1"/>
                <w14:textFill>
                  <w14:solidFill>
                    <w14:schemeClr w14:val="tx1"/>
                  </w14:solidFill>
                </w14:textFill>
              </w:rPr>
              <w:t>”</w:t>
            </w:r>
            <w:r>
              <w:rPr>
                <w:rFonts w:hint="eastAsia" w:ascii="仿宋" w:hAnsi="仿宋" w:cs="Times New Roman"/>
                <w:color w:val="000000" w:themeColor="text1"/>
                <w:lang w:val="en-US" w:eastAsia="zh-CN"/>
                <w14:textFill>
                  <w14:solidFill>
                    <w14:schemeClr w14:val="tx1"/>
                  </w14:solidFill>
                </w14:textFill>
              </w:rPr>
              <w:t>倡议</w:t>
            </w:r>
            <w:r>
              <w:rPr>
                <w:rFonts w:ascii="Times New Roman" w:hAnsi="Times New Roman" w:eastAsia="宋体" w:cs="Times New Roman"/>
                <w:color w:val="000000" w:themeColor="text1"/>
                <w14:textFill>
                  <w14:solidFill>
                    <w14:schemeClr w14:val="tx1"/>
                  </w14:solidFill>
                </w14:textFill>
              </w:rPr>
              <w:t>力度。</w:t>
            </w:r>
          </w:p>
        </w:tc>
      </w:tr>
    </w:tbl>
    <w:p>
      <w:pPr>
        <w:widowControl w:val="0"/>
        <w:spacing w:before="0" w:after="0" w:line="579"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pPr>
        <w:pStyle w:val="3"/>
        <w:widowControl w:val="0"/>
        <w:spacing w:before="0" w:after="0" w:line="560" w:lineRule="exact"/>
        <w:rPr>
          <w:rFonts w:ascii="Times New Roman" w:hAnsi="Times New Roman" w:cs="Times New Roman"/>
          <w:color w:val="000000" w:themeColor="text1"/>
          <w14:textFill>
            <w14:solidFill>
              <w14:schemeClr w14:val="tx1"/>
            </w14:solidFill>
          </w14:textFill>
        </w:rPr>
      </w:pPr>
      <w:bookmarkStart w:id="1169" w:name="_Toc4932"/>
      <w:bookmarkStart w:id="1170" w:name="_Toc5960"/>
      <w:bookmarkStart w:id="1171" w:name="_Toc21527"/>
      <w:bookmarkStart w:id="1172" w:name="_Toc17294"/>
      <w:bookmarkStart w:id="1173" w:name="_Toc26324"/>
      <w:bookmarkStart w:id="1174" w:name="_Toc9365"/>
      <w:bookmarkStart w:id="1175" w:name="_Toc2185"/>
      <w:bookmarkStart w:id="1176" w:name="_Toc24066"/>
      <w:bookmarkStart w:id="1177" w:name="_Toc26644"/>
      <w:bookmarkStart w:id="1178" w:name="_Toc2557"/>
      <w:bookmarkStart w:id="1179" w:name="_Toc572"/>
      <w:bookmarkStart w:id="1180" w:name="_Toc8413"/>
      <w:bookmarkStart w:id="1181" w:name="_Toc13915"/>
      <w:bookmarkStart w:id="1182" w:name="_Toc19669"/>
      <w:bookmarkStart w:id="1183" w:name="_Toc485"/>
      <w:bookmarkStart w:id="1184" w:name="_Toc10452"/>
      <w:bookmarkStart w:id="1185" w:name="_Toc533"/>
      <w:bookmarkStart w:id="1186" w:name="_Toc10352"/>
      <w:bookmarkStart w:id="1187" w:name="_Toc733"/>
      <w:bookmarkStart w:id="1188" w:name="_Toc29140"/>
      <w:bookmarkStart w:id="1189" w:name="_Toc10326"/>
      <w:bookmarkStart w:id="1190" w:name="_Toc14186"/>
      <w:bookmarkStart w:id="1191" w:name="_Toc4484"/>
      <w:bookmarkStart w:id="1192" w:name="_Toc12078"/>
      <w:bookmarkStart w:id="1193" w:name="_Toc26346"/>
      <w:bookmarkStart w:id="1194" w:name="_Toc17777"/>
      <w:bookmarkStart w:id="1195" w:name="_Toc30158"/>
      <w:bookmarkStart w:id="1196" w:name="_Toc24947"/>
      <w:bookmarkStart w:id="1197" w:name="_Toc6203"/>
      <w:bookmarkStart w:id="1198" w:name="_Toc7246"/>
      <w:bookmarkStart w:id="1199" w:name="_Toc15394"/>
      <w:bookmarkStart w:id="1200" w:name="_Toc26611"/>
      <w:bookmarkStart w:id="1201" w:name="_Toc26268"/>
      <w:bookmarkStart w:id="1202" w:name="_Toc440"/>
      <w:bookmarkStart w:id="1203" w:name="_Toc20392"/>
      <w:bookmarkStart w:id="1204" w:name="_Toc4428"/>
      <w:bookmarkStart w:id="1205" w:name="_Toc20018"/>
      <w:r>
        <w:rPr>
          <w:rFonts w:ascii="Times New Roman" w:hAnsi="Times New Roman" w:cs="Times New Roman"/>
          <w:color w:val="000000" w:themeColor="text1"/>
          <w14:textFill>
            <w14:solidFill>
              <w14:schemeClr w14:val="tx1"/>
            </w14:solidFill>
          </w14:textFill>
        </w:rPr>
        <w:t>第七章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促进服务消费 推动形成强大内需市场</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pPr>
        <w:widowControl w:val="0"/>
        <w:spacing w:before="0" w:after="0" w:line="57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p>
    <w:p>
      <w:pPr>
        <w:widowControl w:val="0"/>
        <w:spacing w:before="0" w:after="0" w:line="57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聚焦服务业重点领域和发展短板，培育新热点、促消费、稳增长，深度融入国内大循环和国内国际双循环，拓展新模式和发展新业态，加快推进服务业创新发展。到2025年，力争服务业增加值达到2000亿元，年均增长9%以上。</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206" w:name="_Toc7784"/>
      <w:bookmarkStart w:id="1207" w:name="_Toc15153"/>
      <w:bookmarkStart w:id="1208" w:name="_Toc11165"/>
      <w:bookmarkStart w:id="1209" w:name="_Toc3603"/>
      <w:bookmarkStart w:id="1210" w:name="_Toc10972"/>
      <w:bookmarkStart w:id="1211" w:name="_Toc26911"/>
      <w:bookmarkStart w:id="1212" w:name="_Toc28096"/>
      <w:bookmarkStart w:id="1213" w:name="_Toc1075"/>
      <w:bookmarkStart w:id="1214" w:name="_Toc10027"/>
      <w:bookmarkStart w:id="1215" w:name="_Toc22722"/>
      <w:bookmarkStart w:id="1216" w:name="_Toc6943"/>
      <w:bookmarkStart w:id="1217" w:name="_Toc5043"/>
      <w:bookmarkStart w:id="1218" w:name="_Toc25455"/>
      <w:bookmarkStart w:id="1219" w:name="_Toc15596"/>
      <w:bookmarkStart w:id="1220" w:name="_Toc13475"/>
      <w:bookmarkStart w:id="1221" w:name="_Toc28141"/>
      <w:bookmarkStart w:id="1222" w:name="_Toc27630"/>
      <w:bookmarkStart w:id="1223" w:name="_Toc1782"/>
      <w:bookmarkStart w:id="1224" w:name="_Toc6719"/>
      <w:bookmarkStart w:id="1225" w:name="_Toc4674"/>
      <w:bookmarkStart w:id="1226" w:name="_Toc15442"/>
      <w:bookmarkStart w:id="1227" w:name="_Toc14769"/>
      <w:bookmarkStart w:id="1228" w:name="_Toc10605"/>
      <w:bookmarkStart w:id="1229" w:name="_Toc4764"/>
      <w:bookmarkStart w:id="1230" w:name="_Toc30386"/>
      <w:bookmarkStart w:id="1231" w:name="_Toc17059"/>
      <w:bookmarkStart w:id="1232" w:name="_Toc19689"/>
      <w:bookmarkStart w:id="1233" w:name="_Toc14815"/>
      <w:bookmarkStart w:id="1234" w:name="_Toc21141"/>
      <w:bookmarkStart w:id="1235" w:name="_Toc10796"/>
      <w:bookmarkStart w:id="1236" w:name="_Toc4349"/>
      <w:bookmarkStart w:id="1237" w:name="_Toc31806"/>
      <w:bookmarkStart w:id="1238" w:name="_Toc17589"/>
      <w:bookmarkStart w:id="1239" w:name="_Toc15808"/>
      <w:bookmarkStart w:id="1240" w:name="_Toc19411"/>
      <w:bookmarkStart w:id="1241" w:name="_Toc2898"/>
      <w:bookmarkStart w:id="1242" w:name="_Toc19657"/>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主动融入国内大循环和国内国际双循环</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坚持供给侧结构性改革战略方向，加强需求侧管理，扭住扩大内需战略基点，扩大有效投资，推动消费升级，打造国内大循环和国内国际双循环重要节点。</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主</w:t>
      </w:r>
      <w:r>
        <w:rPr>
          <w:rFonts w:ascii="Times New Roman" w:hAnsi="Times New Roman" w:eastAsia="仿宋_GB2312" w:cs="Times New Roman"/>
          <w:b/>
          <w:bCs/>
          <w:color w:val="000000" w:themeColor="text1"/>
          <w:sz w:val="32"/>
          <w:szCs w:val="32"/>
          <w:lang w:val="zh-CN"/>
          <w14:textFill>
            <w14:solidFill>
              <w14:schemeClr w14:val="tx1"/>
            </w14:solidFill>
          </w14:textFill>
        </w:rPr>
        <w:t>动融</w:t>
      </w:r>
      <w:r>
        <w:rPr>
          <w:rFonts w:ascii="Times New Roman" w:hAnsi="Times New Roman" w:eastAsia="仿宋_GB2312" w:cs="Times New Roman"/>
          <w:b/>
          <w:bCs/>
          <w:color w:val="000000" w:themeColor="text1"/>
          <w:sz w:val="32"/>
          <w:szCs w:val="32"/>
          <w14:textFill>
            <w14:solidFill>
              <w14:schemeClr w14:val="tx1"/>
            </w14:solidFill>
          </w14:textFill>
        </w:rPr>
        <w:t>入国内大循环。</w:t>
      </w:r>
      <w:r>
        <w:rPr>
          <w:rFonts w:ascii="Times New Roman" w:hAnsi="Times New Roman" w:eastAsia="仿宋_GB2312" w:cs="Times New Roman"/>
          <w:color w:val="000000" w:themeColor="text1"/>
          <w:sz w:val="32"/>
          <w:szCs w:val="32"/>
          <w14:textFill>
            <w14:solidFill>
              <w14:schemeClr w14:val="tx1"/>
            </w14:solidFill>
          </w14:textFill>
        </w:rPr>
        <w:t>依托强大国内市场，贯通生产、分配、流通、消费各环节，推动上下游、产供销有效衔接，实现一二三产业和各类资源要素均衡协调配置。完善扩大内需的政策支撑体系，以高质量供给引领和创造新需求，形成更高水平的供需动态平衡。充分利用财政、金融、税收、社保以及政府采购等各类惠企政策，帮助企业开拓国内外市场，增强循环畅通能力，提高供应链运转效能。支持出口企业拓展内销市场，制定支持外贸企业上线国内知名电商平台的优惠政策，引导外贸企业进驻政府采购网上商城，设置出口转内销企业专区，最大限度减收出口转内销技术服务收费，为外贸企业开拓国内市场纾危解困。畅通市场流通渠道。建立重点物流企业调度服务机制，强化重点物流园区、物流企业的调度，促进生产生活要素有序流动。统筹推进现代流通体系软硬件建设，发展流通新技术新业态新模式，培育一批现代流通企业，提升流通体系运行效率。</w:t>
      </w:r>
    </w:p>
    <w:p>
      <w:pPr>
        <w:widowControl w:val="0"/>
        <w:adjustRightInd/>
        <w:snapToGrid/>
        <w:spacing w:before="0" w:after="193" w:afterLines="50" w:line="560" w:lineRule="exact"/>
        <w:ind w:firstLine="643"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主动</w:t>
      </w:r>
      <w:r>
        <w:rPr>
          <w:rFonts w:ascii="Times New Roman" w:hAnsi="Times New Roman" w:eastAsia="仿宋_GB2312" w:cs="Times New Roman"/>
          <w:b/>
          <w:bCs/>
          <w:color w:val="000000" w:themeColor="text1"/>
          <w:sz w:val="32"/>
          <w:szCs w:val="32"/>
          <w14:textFill>
            <w14:solidFill>
              <w14:schemeClr w14:val="tx1"/>
            </w14:solidFill>
          </w14:textFill>
        </w:rPr>
        <w:t>融入国内国际双循环。</w:t>
      </w:r>
      <w:r>
        <w:rPr>
          <w:rFonts w:ascii="Times New Roman" w:hAnsi="Times New Roman" w:eastAsia="仿宋_GB2312" w:cs="Times New Roman"/>
          <w:color w:val="000000" w:themeColor="text1"/>
          <w:sz w:val="32"/>
          <w:szCs w:val="32"/>
          <w14:textFill>
            <w14:solidFill>
              <w14:schemeClr w14:val="tx1"/>
            </w14:solidFill>
          </w14:textFill>
        </w:rPr>
        <w:t>加强与市外沟通衔接，积极参与国内市场建设，坚决落实国家、省里开放战略，有效利用两个市场两种资源深度融入共建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一带一路</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以开放型经济先行区为契机，依托邵阳经开区、邵东经开区等11个省级平台，加快发展国际中转、配送、采购、转口贸易和出口加工等业务。重点加大对中亚、东欧、南美、非洲等新兴市场的开拓力度。鼓励支持三一专汽、中电彩虹（邵阳）特种玻璃、拓浦精工、阳光发品、军杰食品、东亿电气</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cs="Times New Roman"/>
          <w:color w:val="000000" w:themeColor="text1"/>
          <w:sz w:val="32"/>
          <w:szCs w:val="32"/>
          <w:lang w:bidi="ar"/>
          <w14:textFill>
            <w14:solidFill>
              <w14:schemeClr w14:val="tx1"/>
            </w14:solidFill>
          </w14:textFill>
        </w:rPr>
        <w:t>愉航汽配</w:t>
      </w:r>
      <w:r>
        <w:rPr>
          <w:rFonts w:ascii="Times New Roman" w:hAnsi="Times New Roman" w:eastAsia="仿宋_GB2312" w:cs="Times New Roman"/>
          <w:color w:val="000000" w:themeColor="text1"/>
          <w:sz w:val="32"/>
          <w:szCs w:val="32"/>
          <w14:textFill>
            <w14:solidFill>
              <w14:schemeClr w14:val="tx1"/>
            </w14:solidFill>
          </w14:textFill>
        </w:rPr>
        <w:t>等企业拓展国际市场。</w:t>
      </w:r>
    </w:p>
    <w:tbl>
      <w:tblPr>
        <w:tblStyle w:val="14"/>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00" w:type="pct"/>
            <w:tcBorders>
              <w:tl2br w:val="nil"/>
              <w:tr2bl w:val="nil"/>
            </w:tcBorders>
            <w:shd w:val="clear" w:color="auto" w:fill="auto"/>
            <w:vAlign w:val="center"/>
          </w:tcPr>
          <w:p>
            <w:pPr>
              <w:adjustRightInd/>
              <w:snapToGrid/>
              <w:spacing w:before="0" w:after="0" w:line="560" w:lineRule="exact"/>
              <w:jc w:val="center"/>
              <w:rPr>
                <w:rFonts w:ascii="Times New Roman" w:hAnsi="Times New Roman" w:eastAsia="宋体" w:cs="Times New Roman"/>
                <w:b/>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专栏13：国内国际</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黑体" w:cs="Times New Roman"/>
                <w:bCs/>
                <w:color w:val="000000" w:themeColor="text1"/>
                <w:sz w:val="32"/>
                <w:szCs w:val="32"/>
                <w14:textFill>
                  <w14:solidFill>
                    <w14:schemeClr w14:val="tx1"/>
                  </w14:solidFill>
                </w14:textFill>
              </w:rPr>
              <w:t>双循环</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黑体" w:cs="Times New Roman"/>
                <w:bCs/>
                <w:color w:val="000000" w:themeColor="text1"/>
                <w:sz w:val="32"/>
                <w:szCs w:val="32"/>
                <w14:textFill>
                  <w14:solidFill>
                    <w14:schemeClr w14:val="tx1"/>
                  </w14:solidFill>
                </w14:textFill>
              </w:rPr>
              <w:t>六大行动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00" w:type="pct"/>
            <w:tcBorders>
              <w:tl2br w:val="nil"/>
              <w:tr2bl w:val="nil"/>
            </w:tcBorders>
            <w:shd w:val="clear" w:color="auto" w:fill="auto"/>
            <w:vAlign w:val="center"/>
          </w:tcPr>
          <w:p>
            <w:pPr>
              <w:adjustRightInd/>
              <w:snapToGrid/>
              <w:spacing w:before="0" w:after="0" w:line="56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百场千店</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聚焦内循环，连接100家以上市场、布局1000家以上分销网点，共拓强大国内市场，让全国各地优秀的市场商品更好地进入各地的社区店和农村。</w:t>
            </w:r>
          </w:p>
          <w:p>
            <w:pPr>
              <w:adjustRightInd/>
              <w:snapToGrid/>
              <w:spacing w:before="0" w:after="0" w:line="56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百城千链</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聚焦内循环，连接100个以上物流枢纽和节点城市、对接1000家以上供应链企业，共建高效物流服务体系，以数字化手段整合与邵阳关联的物流资源，让物流服务更加智能、高效。</w:t>
            </w:r>
          </w:p>
          <w:p>
            <w:pPr>
              <w:adjustRightInd/>
              <w:snapToGrid/>
              <w:spacing w:before="0" w:after="0" w:line="56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百村千品</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聚焦内循环，支持100个以上欠发达村，为长株潭地区和粤港澳大湾区提供1000种以上农产品和工业制成品（代加工），建立发达与欠发达地区区域联动机制，让欠发达地区更好地发展。</w:t>
            </w:r>
          </w:p>
          <w:p>
            <w:pPr>
              <w:adjustRightInd/>
              <w:snapToGrid/>
              <w:spacing w:before="0" w:after="0" w:line="56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百仓千企</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聚焦外循环，布局100个以上海外仓、境外站、海外分市场等，服务1000家以上中小微企业开展跨境贸易，织密联系东盟、非洲等地区的商贸网络，提高物流控货能力，降低风险和成本，增加金融等增值服务。</w:t>
            </w:r>
          </w:p>
          <w:p>
            <w:pPr>
              <w:adjustRightInd/>
              <w:snapToGrid/>
              <w:spacing w:before="0" w:after="0" w:line="56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百馆千货</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聚焦国内国际双循环，设立100个以上进口商品特色馆，布局1000家以上进口商品分销网点，共享扩大进口发展机遇，建设</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境内关外</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新型进口市场。</w:t>
            </w:r>
          </w:p>
          <w:p>
            <w:pPr>
              <w:adjustRightInd/>
              <w:snapToGrid/>
              <w:spacing w:before="0" w:after="0" w:line="560" w:lineRule="exact"/>
              <w:ind w:firstLine="562" w:firstLineChars="200"/>
              <w:jc w:val="both"/>
              <w:rPr>
                <w:rFonts w:ascii="Times New Roman" w:hAnsi="Times New Roman" w:eastAsia="宋体" w:cs="Times New Roman"/>
                <w:b/>
                <w:bCs/>
                <w:color w:val="000000" w:themeColor="text1"/>
                <w:sz w:val="21"/>
                <w:szCs w:val="21"/>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百院千创</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聚焦国内国际双循环，与100所以上设计院校开展深度合作，集聚1000名设计人才，共聚创业创新服务要素，推动市场提质创牌，累计研发1000种以上创意设计产品，打造小商品创新策源地。</w:t>
            </w:r>
          </w:p>
        </w:tc>
      </w:tr>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243" w:name="_Toc55575127"/>
      <w:bookmarkStart w:id="1244" w:name="_Toc23329"/>
      <w:bookmarkStart w:id="1245" w:name="_Toc16050"/>
      <w:bookmarkStart w:id="1246" w:name="_Toc23463"/>
      <w:bookmarkStart w:id="1247" w:name="_Toc26851"/>
      <w:bookmarkStart w:id="1248" w:name="_Toc2811"/>
      <w:bookmarkStart w:id="1249" w:name="_Toc31334"/>
      <w:bookmarkStart w:id="1250" w:name="_Toc28400"/>
      <w:bookmarkStart w:id="1251" w:name="_Toc5542"/>
      <w:bookmarkStart w:id="1252" w:name="_Toc15041"/>
      <w:bookmarkStart w:id="1253" w:name="_Toc19885"/>
      <w:bookmarkStart w:id="1254" w:name="_Toc5724"/>
      <w:bookmarkStart w:id="1255" w:name="_Toc1650"/>
      <w:bookmarkStart w:id="1256" w:name="_Toc4229"/>
      <w:bookmarkStart w:id="1257" w:name="_Toc4020"/>
      <w:bookmarkStart w:id="1258" w:name="_Toc27948"/>
      <w:bookmarkStart w:id="1259" w:name="_Toc11139"/>
      <w:bookmarkStart w:id="1260" w:name="_Toc12852"/>
      <w:bookmarkStart w:id="1261" w:name="_Toc26976"/>
      <w:bookmarkStart w:id="1262" w:name="_Toc11970"/>
      <w:bookmarkStart w:id="1263" w:name="_Toc23252"/>
      <w:bookmarkStart w:id="1264" w:name="_Toc10410"/>
      <w:bookmarkStart w:id="1265" w:name="_Toc10713"/>
      <w:bookmarkStart w:id="1266" w:name="_Toc20425"/>
      <w:bookmarkStart w:id="1267" w:name="_Toc6100"/>
      <w:bookmarkStart w:id="1268" w:name="_Toc23242"/>
      <w:bookmarkStart w:id="1269" w:name="_Toc9514"/>
      <w:bookmarkStart w:id="1270" w:name="_Toc378"/>
      <w:bookmarkStart w:id="1271" w:name="_Toc15828"/>
      <w:bookmarkStart w:id="1272" w:name="_Toc22460"/>
      <w:bookmarkStart w:id="1273" w:name="_Toc8915"/>
      <w:bookmarkStart w:id="1274" w:name="_Toc10350"/>
      <w:bookmarkStart w:id="1275" w:name="_Toc772"/>
      <w:bookmarkStart w:id="1276" w:name="_Toc25886"/>
      <w:bookmarkStart w:id="1277" w:name="_Toc30707"/>
      <w:bookmarkStart w:id="1278" w:name="_Toc18363"/>
      <w:bookmarkStart w:id="1279" w:name="_Toc6616"/>
      <w:bookmarkStart w:id="1280" w:name="_Toc6380"/>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培育消费</w:t>
      </w:r>
      <w:bookmarkEnd w:id="1243"/>
      <w:r>
        <w:rPr>
          <w:rFonts w:ascii="Times New Roman" w:hAnsi="Times New Roman" w:cs="Times New Roman"/>
          <w:color w:val="000000" w:themeColor="text1"/>
          <w:szCs w:val="32"/>
          <w14:textFill>
            <w14:solidFill>
              <w14:schemeClr w14:val="tx1"/>
            </w14:solidFill>
          </w14:textFill>
        </w:rPr>
        <w:t>服务新模式</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增强消费对经济发展的基础性作用，适应城乡居民个性化、多层次的消费需</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求，优化市场布局，</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提升消费观念和培育消费新模式，</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推动各类生活性服务业加快发展、提质提效，</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为经济社会发展提供新动力</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加强</w:t>
      </w:r>
      <w:r>
        <w:rPr>
          <w:rFonts w:ascii="Times New Roman" w:hAnsi="Times New Roman" w:eastAsia="仿宋_GB2312" w:cs="Times New Roman"/>
          <w:b/>
          <w:bCs/>
          <w:color w:val="000000" w:themeColor="text1"/>
          <w:sz w:val="32"/>
          <w:szCs w:val="32"/>
          <w14:textFill>
            <w14:solidFill>
              <w14:schemeClr w14:val="tx1"/>
            </w14:solidFill>
          </w14:textFill>
        </w:rPr>
        <w:t>消费基础设施和服务体系网络布局建设。</w:t>
      </w:r>
      <w:r>
        <w:rPr>
          <w:rFonts w:ascii="Times New Roman" w:hAnsi="Times New Roman" w:eastAsia="仿宋_GB2312" w:cs="Times New Roman"/>
          <w:bCs/>
          <w:color w:val="000000" w:themeColor="text1"/>
          <w:sz w:val="32"/>
          <w:szCs w:val="32"/>
          <w14:textFill>
            <w14:solidFill>
              <w14:schemeClr w14:val="tx1"/>
            </w14:solidFill>
          </w14:textFill>
        </w:rPr>
        <w:t>积极发挥投资乘数效应，推进新基建及关联产业项目加快建设。加快布局支持5G网络基站、城际高速铁路和城市轨道交通、新能源汽车充电桩、大数据中心、工业互联网、物联网等新型基础设施。加快推动各县市区构建县乡村三级电商服务体系、农产品电商营销服务体系和农村电商物流配送体系。优化消费网络重要节点布局，培育若干消费中心商贸区，建设一批辐射带动能力强、资源整合有优势的区域消费中心。推动城乡商业网点建设，优化商业零售业企业规划布局，发展小店经济、夜经济。</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提升</w:t>
      </w:r>
      <w:r>
        <w:rPr>
          <w:rFonts w:ascii="Times New Roman" w:hAnsi="Times New Roman" w:eastAsia="仿宋_GB2312" w:cs="Times New Roman"/>
          <w:b/>
          <w:bCs/>
          <w:color w:val="000000" w:themeColor="text1"/>
          <w:sz w:val="32"/>
          <w:szCs w:val="32"/>
          <w:shd w:val="clear" w:color="auto" w:fill="FFFFFF"/>
          <w:lang w:val="zh-CN"/>
          <w14:textFill>
            <w14:solidFill>
              <w14:schemeClr w14:val="tx1"/>
            </w14:solidFill>
          </w14:textFill>
        </w:rPr>
        <w:t>改善传统消费和培育新型消费模式。</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把握消费需求变化趋势和特点，调整产业结构、产品结构，增强供需适应性，扩大产品消费。加快推动线上线下消费有机融合，促进传统线下业态数字化改造和转型升级。创新无接触、少接触型消费模式，探索发展智慧超市、智慧商店、智慧餐厅等新零售业态。大力发展</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互联网+社会服务</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消费模式，培育丰富在线教育、在线医疗、在线文娱等线上消费。积极发展中高端移动通信终端、可穿戴设备、超高清视频终端等新型信息产品，促进信息消费更新升级。促进发展</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网红</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、直播经济，推动数字商业化。打造夜间经济品牌。以电商进农村为契机，积极推动农村消费升级、产业升级。</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十四五</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期间，累计限额以上批发、零售、住宿、餐饮业实现销售额达到5000亿元，网络零售额实现2000亿元，直播、社群、数字商业、C2M（用户直连制造）等新型消费总额突破1000亿元。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积极</w:t>
      </w:r>
      <w:r>
        <w:rPr>
          <w:rFonts w:ascii="Times New Roman" w:hAnsi="Times New Roman" w:eastAsia="仿宋_GB2312" w:cs="Times New Roman"/>
          <w:b/>
          <w:bCs/>
          <w:color w:val="000000" w:themeColor="text1"/>
          <w:sz w:val="32"/>
          <w:szCs w:val="32"/>
          <w:shd w:val="clear" w:color="auto" w:fill="FFFFFF"/>
          <w:lang w:val="zh-CN"/>
          <w14:textFill>
            <w14:solidFill>
              <w14:schemeClr w14:val="tx1"/>
            </w14:solidFill>
          </w14:textFill>
        </w:rPr>
        <w:t>扩大绿色健康节能环保消费。</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以绿色发展为引领，推进绿色有机生态农产品的生产、供应和消费。畅通资源循环利用，加快完善回收利用网络，促进机动车、家电和电子产品消费更新换代。完善工业节能与绿色制造标准体系，</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促进</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绿色节能产品、绿色设计产品的推广应用。倡导全社会形成健康消费观念和健康生活方式，鼓励以家庭为单位储备包含口罩等在内的医疗救助箱。整合优化医疗健康资源和供应链，完善健康产业体系，扩大健康服务消费。</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全面</w:t>
      </w:r>
      <w:r>
        <w:rPr>
          <w:rFonts w:ascii="Times New Roman" w:hAnsi="Times New Roman" w:eastAsia="仿宋_GB2312" w:cs="Times New Roman"/>
          <w:b/>
          <w:bCs/>
          <w:color w:val="000000" w:themeColor="text1"/>
          <w:sz w:val="32"/>
          <w:szCs w:val="32"/>
          <w:shd w:val="clear" w:color="auto" w:fill="FFFFFF"/>
          <w:lang w:val="zh-CN"/>
          <w14:textFill>
            <w14:solidFill>
              <w14:schemeClr w14:val="tx1"/>
            </w14:solidFill>
          </w14:textFill>
        </w:rPr>
        <w:t>促进服务消费提质扩容。</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结合服务业供给侧改革，加快释放文化、旅游、体育、养老、托幼、家政、教育培训等服务消费的潜力，丰富文化和旅游产品供给，提升旅游质量，推动文化事业和产业繁荣发展，大力发展体育消费，普及全民健身和体育观赏。适当增加公共消费，促进餐饮</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住宿</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、文化体育、健康养老、旅游休闲、家</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政</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服务等生活性服务业消费提质扩容。完善促进消费政策，规范发展消费金融。改善消费环境，保护消费</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者</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权益。全方位优化养老服务有效供给，支持社会力量发展普惠托育服务，深入开展家政服务提质扩容</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领跑者</w:t>
      </w:r>
      <w:r>
        <w:rPr>
          <w:rFonts w:hint="eastAsia" w:ascii="仿宋" w:hAnsi="仿宋" w:cs="Times New Roman"/>
          <w:color w:val="000000" w:themeColor="text1"/>
          <w:sz w:val="32"/>
          <w:szCs w:val="32"/>
          <w:shd w:val="clear" w:color="auto" w:fill="FFFFFF"/>
          <w:lang w:val="zh-CN"/>
          <w14:textFill>
            <w14:solidFill>
              <w14:schemeClr w14:val="tx1"/>
            </w14:solidFill>
          </w14:textFill>
        </w:rPr>
        <w:t>”</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行动，推进产教融合，支持社会力量举办教育培训。</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281" w:name="_Toc29630"/>
      <w:bookmarkStart w:id="1282" w:name="_Toc31507"/>
      <w:bookmarkStart w:id="1283" w:name="_Toc5881"/>
      <w:bookmarkStart w:id="1284" w:name="_Toc13743"/>
      <w:bookmarkStart w:id="1285" w:name="_Toc13551"/>
      <w:bookmarkStart w:id="1286" w:name="_Toc32615"/>
      <w:bookmarkStart w:id="1287" w:name="_Toc16868"/>
      <w:bookmarkStart w:id="1288" w:name="_Toc12056"/>
      <w:bookmarkStart w:id="1289" w:name="_Toc10736"/>
      <w:bookmarkStart w:id="1290" w:name="_Toc24721"/>
      <w:bookmarkStart w:id="1291" w:name="_Toc29303"/>
      <w:bookmarkStart w:id="1292" w:name="_Toc14603"/>
      <w:bookmarkStart w:id="1293" w:name="_Toc8758"/>
      <w:bookmarkStart w:id="1294" w:name="_Toc15236"/>
      <w:bookmarkStart w:id="1295" w:name="_Toc16082"/>
      <w:bookmarkStart w:id="1296" w:name="_Toc9861"/>
      <w:bookmarkStart w:id="1297" w:name="_Toc369"/>
      <w:bookmarkStart w:id="1298" w:name="_Toc23816"/>
      <w:bookmarkStart w:id="1299" w:name="_Toc27943"/>
      <w:bookmarkStart w:id="1300" w:name="_Toc18157"/>
      <w:bookmarkStart w:id="1301" w:name="_Toc10265"/>
      <w:bookmarkStart w:id="1302" w:name="_Toc5792"/>
      <w:bookmarkStart w:id="1303" w:name="_Toc9199"/>
      <w:bookmarkStart w:id="1304" w:name="_Toc8937"/>
      <w:bookmarkStart w:id="1305" w:name="_Toc8033"/>
      <w:bookmarkStart w:id="1306" w:name="_Toc22795"/>
      <w:bookmarkStart w:id="1307" w:name="_Toc31268"/>
      <w:bookmarkStart w:id="1308" w:name="_Toc32468"/>
      <w:bookmarkStart w:id="1309" w:name="_Toc20778"/>
      <w:bookmarkStart w:id="1310" w:name="_Toc23937"/>
      <w:bookmarkStart w:id="1311" w:name="_Toc19756"/>
      <w:bookmarkStart w:id="1312" w:name="_Toc20906"/>
      <w:bookmarkStart w:id="1313" w:name="_Toc4095"/>
      <w:bookmarkStart w:id="1314" w:name="_Toc27361"/>
      <w:bookmarkStart w:id="1315" w:name="_Toc22532"/>
      <w:bookmarkStart w:id="1316" w:name="_Toc26120"/>
      <w:bookmarkStart w:id="1317" w:name="_Toc31437"/>
      <w:r>
        <w:rPr>
          <w:rFonts w:ascii="Times New Roman" w:hAnsi="Times New Roman" w:cs="Times New Roman"/>
          <w:color w:val="000000" w:themeColor="text1"/>
          <w:szCs w:val="32"/>
          <w14:textFill>
            <w14:solidFill>
              <w14:schemeClr w14:val="tx1"/>
            </w14:solidFill>
          </w14:textFill>
        </w:rPr>
        <w:t>第三节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转变生活服务新理念</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pP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坚持把服务业作为调结构促转型的战略重点，</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推进</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服务业标准化、从业者职业化，推动</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现代</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服务业向专业化和价值链高端延伸、向精细化和高品质转变，打造</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湘中湘西南</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一流、</w:t>
      </w:r>
      <w:r>
        <w:rPr>
          <w:rFonts w:ascii="Times New Roman" w:hAnsi="Times New Roman" w:eastAsia="仿宋_GB2312" w:cs="Times New Roman"/>
          <w:color w:val="000000" w:themeColor="text1"/>
          <w:sz w:val="32"/>
          <w:szCs w:val="32"/>
          <w:shd w:val="clear" w:color="auto" w:fill="FFFFFF"/>
          <w14:textFill>
            <w14:solidFill>
              <w14:schemeClr w14:val="tx1"/>
            </w14:solidFill>
          </w14:textFill>
        </w:rPr>
        <w:t>省</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内领先的区域性现代服务业中心。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lang w:val="zh-CN"/>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提升餐饮行业服务水平。</w:t>
      </w:r>
      <w:r>
        <w:rPr>
          <w:rFonts w:ascii="Times New Roman" w:hAnsi="Times New Roman" w:eastAsia="仿宋_GB2312" w:cs="Times New Roman"/>
          <w:color w:val="000000" w:themeColor="text1"/>
          <w:sz w:val="32"/>
          <w:szCs w:val="32"/>
          <w:lang w:val="zh-CN"/>
          <w14:textFill>
            <w14:solidFill>
              <w14:schemeClr w14:val="tx1"/>
            </w14:solidFill>
          </w14:textFill>
        </w:rPr>
        <w:t>按照规范化、连锁化、便利化、品牌化、特色化、智能化的发展方向，进一步引导餐饮业加快转型升级，促进餐饮业品质提升。支持品牌餐饮企业大力发展连锁经营，积极开展绿色餐饮和阳光餐饮，鼓励品牌和连锁企业提供老年餐、学生餐等服务，完善全市便民早餐服务体系，更好满足市民餐饮需求。</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lang w:val="zh-CN"/>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提升商业服务水平。</w:t>
      </w:r>
      <w:r>
        <w:rPr>
          <w:rFonts w:ascii="Times New Roman" w:hAnsi="Times New Roman" w:eastAsia="仿宋_GB2312" w:cs="Times New Roman"/>
          <w:color w:val="000000" w:themeColor="text1"/>
          <w:sz w:val="32"/>
          <w:szCs w:val="32"/>
          <w:lang w:val="zh-CN"/>
          <w14:textFill>
            <w14:solidFill>
              <w14:schemeClr w14:val="tx1"/>
            </w14:solidFill>
          </w14:textFill>
        </w:rPr>
        <w:t>优化大型商场(超市)消费环境，督促指导大型商场(超市)提升经营场所环境卫生水平，加快无障碍设施建设。提高社区商业服务水平，合理规划布局生活性服务业设施，支持便民商业服务综合体和社区商业E中心建设，提升便民服务综合体各业态整体服务质量。鼓励发展</w:t>
      </w:r>
      <w:r>
        <w:rPr>
          <w:rFonts w:hint="eastAsia" w:ascii="仿宋" w:hAnsi="仿宋" w:cs="Times New Roman"/>
          <w:color w:val="000000" w:themeColor="text1"/>
          <w:sz w:val="32"/>
          <w:szCs w:val="32"/>
          <w:lang w:val="zh-CN"/>
          <w14:textFill>
            <w14:solidFill>
              <w14:schemeClr w14:val="tx1"/>
            </w14:solidFill>
          </w14:textFill>
        </w:rPr>
        <w:t>“</w:t>
      </w:r>
      <w:r>
        <w:rPr>
          <w:rFonts w:ascii="Times New Roman" w:hAnsi="Times New Roman" w:eastAsia="仿宋_GB2312" w:cs="Times New Roman"/>
          <w:color w:val="000000" w:themeColor="text1"/>
          <w:sz w:val="32"/>
          <w:szCs w:val="32"/>
          <w:lang w:val="zh-CN"/>
          <w14:textFill>
            <w14:solidFill>
              <w14:schemeClr w14:val="tx1"/>
            </w14:solidFill>
          </w14:textFill>
        </w:rPr>
        <w:t>互联网+生活性服务业</w:t>
      </w:r>
      <w:r>
        <w:rPr>
          <w:rFonts w:hint="eastAsia" w:ascii="仿宋" w:hAnsi="仿宋" w:cs="Times New Roman"/>
          <w:color w:val="000000" w:themeColor="text1"/>
          <w:sz w:val="32"/>
          <w:szCs w:val="32"/>
          <w:lang w:val="zh-CN"/>
          <w14:textFill>
            <w14:solidFill>
              <w14:schemeClr w14:val="tx1"/>
            </w14:solidFill>
          </w14:textFill>
        </w:rPr>
        <w:t>”</w:t>
      </w:r>
      <w:r>
        <w:rPr>
          <w:rFonts w:ascii="Times New Roman" w:hAnsi="Times New Roman" w:eastAsia="仿宋_GB2312" w:cs="Times New Roman"/>
          <w:color w:val="000000" w:themeColor="text1"/>
          <w:sz w:val="32"/>
          <w:szCs w:val="32"/>
          <w:lang w:val="zh-CN"/>
          <w14:textFill>
            <w14:solidFill>
              <w14:schemeClr w14:val="tx1"/>
            </w14:solidFill>
          </w14:textFill>
        </w:rPr>
        <w:t>新模式，加快建设生活服务设施电子地图，创新便民商业服务模式。到2025年，力争每个街道建设1个便民商业服务综合体，实现便民商业服务功能在城市社区全覆盖。</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lang w:val="zh-CN"/>
          <w14:textFill>
            <w14:solidFill>
              <w14:schemeClr w14:val="tx1"/>
            </w14:solidFill>
          </w14:textFill>
        </w:rPr>
      </w:pPr>
      <w:r>
        <w:rPr>
          <w:rFonts w:ascii="Times New Roman" w:hAnsi="Times New Roman" w:eastAsia="仿宋_GB2312" w:cs="Times New Roman"/>
          <w:b/>
          <w:bCs/>
          <w:color w:val="000000" w:themeColor="text1"/>
          <w:sz w:val="32"/>
          <w:szCs w:val="32"/>
          <w:lang w:val="zh-CN"/>
          <w14:textFill>
            <w14:solidFill>
              <w14:schemeClr w14:val="tx1"/>
            </w14:solidFill>
          </w14:textFill>
        </w:rPr>
        <w:t>提升快递配送服务水平。</w:t>
      </w:r>
      <w:r>
        <w:rPr>
          <w:rFonts w:ascii="Times New Roman" w:hAnsi="Times New Roman" w:eastAsia="仿宋_GB2312" w:cs="Times New Roman"/>
          <w:color w:val="000000" w:themeColor="text1"/>
          <w:sz w:val="32"/>
          <w:szCs w:val="32"/>
          <w:lang w:val="zh-CN"/>
          <w14:textFill>
            <w14:solidFill>
              <w14:schemeClr w14:val="tx1"/>
            </w14:solidFill>
          </w14:textFill>
        </w:rPr>
        <w:t>鼓励传统物流园区与电子商务等企业对接合作，实现资源共享和高效利用，进一步提升仓储、运输、配送、信息等综合管理和服务水平。完善市内快递配送服务设施，在服务需求集中区域合理规划建设区域分拨中心和快递末端综合服务场所。鼓励快递企业开展联收联投服务合作，发展共同配送模式，提高投递效率。引导电子商务、物流和快递等平台型企业健全平台服务协议、交易规则和信用评价制度，保护消费者权益。鼓励电子商务、快递物流等企业与连锁超市、便利店、物业开展合作，支持在社区、居民小区、高等院校、商务中心、车站周边等末端节点布局设置智能快件箱，提供集约化配送、网订店取等多样化、个性化服务。到2025年，全市建设1000</w:t>
      </w:r>
      <w:r>
        <w:rPr>
          <w:rFonts w:ascii="Times New Roman" w:hAnsi="Times New Roman" w:eastAsia="仿宋_GB2312" w:cs="Times New Roman"/>
          <w:color w:val="000000" w:themeColor="text1"/>
          <w:sz w:val="32"/>
          <w:szCs w:val="32"/>
          <w14:textFill>
            <w14:solidFill>
              <w14:schemeClr w14:val="tx1"/>
            </w14:solidFill>
          </w14:textFill>
        </w:rPr>
        <w:t>个</w:t>
      </w:r>
      <w:r>
        <w:rPr>
          <w:rFonts w:ascii="Times New Roman" w:hAnsi="Times New Roman" w:eastAsia="仿宋_GB2312" w:cs="Times New Roman"/>
          <w:color w:val="000000" w:themeColor="text1"/>
          <w:sz w:val="32"/>
          <w:szCs w:val="32"/>
          <w:lang w:val="zh-CN"/>
          <w14:textFill>
            <w14:solidFill>
              <w14:schemeClr w14:val="tx1"/>
            </w14:solidFill>
          </w14:textFill>
        </w:rPr>
        <w:t>左右末端配送服务网点。</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318" w:name="_Toc9957"/>
      <w:bookmarkStart w:id="1319" w:name="_Toc1010"/>
      <w:bookmarkStart w:id="1320" w:name="_Toc10961"/>
      <w:bookmarkStart w:id="1321" w:name="_Toc19477"/>
      <w:bookmarkStart w:id="1322" w:name="_Toc120"/>
      <w:bookmarkStart w:id="1323" w:name="_Toc24217"/>
      <w:bookmarkStart w:id="1324" w:name="_Toc23976"/>
      <w:bookmarkStart w:id="1325" w:name="_Toc14057"/>
      <w:bookmarkStart w:id="1326" w:name="_Toc534"/>
      <w:bookmarkStart w:id="1327" w:name="_Toc1031"/>
      <w:bookmarkStart w:id="1328" w:name="_Toc31212"/>
      <w:bookmarkStart w:id="1329" w:name="_Toc9443"/>
      <w:bookmarkStart w:id="1330" w:name="_Toc24307"/>
      <w:bookmarkStart w:id="1331" w:name="_Toc21949"/>
      <w:bookmarkStart w:id="1332" w:name="_Toc8646"/>
      <w:bookmarkStart w:id="1333" w:name="_Toc32275"/>
      <w:bookmarkStart w:id="1334" w:name="_Toc31220"/>
      <w:bookmarkStart w:id="1335" w:name="_Toc12058"/>
      <w:bookmarkStart w:id="1336" w:name="_Toc28721"/>
      <w:bookmarkStart w:id="1337" w:name="_Toc5829"/>
      <w:bookmarkStart w:id="1338" w:name="_Toc18629"/>
      <w:bookmarkStart w:id="1339" w:name="_Toc18976"/>
      <w:bookmarkStart w:id="1340" w:name="_Toc30624"/>
      <w:bookmarkStart w:id="1341" w:name="_Toc7101"/>
      <w:bookmarkStart w:id="1342" w:name="_Toc13906"/>
      <w:bookmarkStart w:id="1343" w:name="_Toc27697"/>
      <w:bookmarkStart w:id="1344" w:name="_Toc30047"/>
      <w:bookmarkStart w:id="1345" w:name="_Toc28335"/>
      <w:bookmarkStart w:id="1346" w:name="_Toc24649"/>
      <w:bookmarkStart w:id="1347" w:name="_Toc712"/>
      <w:bookmarkStart w:id="1348" w:name="_Toc8539"/>
      <w:bookmarkStart w:id="1349" w:name="_Toc22234"/>
      <w:bookmarkStart w:id="1350" w:name="_Toc17702"/>
      <w:bookmarkStart w:id="1351" w:name="_Toc24447"/>
      <w:bookmarkStart w:id="1352" w:name="_Toc8537"/>
      <w:bookmarkStart w:id="1353" w:name="_Toc4806"/>
      <w:bookmarkStart w:id="1354" w:name="_Toc14069"/>
      <w:r>
        <w:rPr>
          <w:rFonts w:ascii="Times New Roman" w:hAnsi="Times New Roman" w:cs="Times New Roman"/>
          <w:color w:val="000000" w:themeColor="text1"/>
          <w:szCs w:val="32"/>
          <w14:textFill>
            <w14:solidFill>
              <w14:schemeClr w14:val="tx1"/>
            </w14:solidFill>
          </w14:textFill>
        </w:rPr>
        <w:t xml:space="preserve">第四节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拓展现代服务新业态</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把大力发展服务业作为创造新供给、释放新需求的战略重点，加快发展现代商贸物流、高端服务业等主导产业，培育发展新兴服务业，促进现代服务业功能化、广域化和市场化，找准服务业发展的重点领域与突破口，推动现代服务业实现融合式发展。</w:t>
      </w:r>
    </w:p>
    <w:p>
      <w:pPr>
        <w:widowControl w:val="0"/>
        <w:adjustRightInd/>
        <w:snapToGrid/>
        <w:spacing w:before="0" w:after="0" w:line="560" w:lineRule="exact"/>
        <w:ind w:firstLine="643"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大力推进现代服务商业业态和模式创新。</w:t>
      </w:r>
      <w:r>
        <w:rPr>
          <w:rFonts w:ascii="Times New Roman" w:hAnsi="Times New Roman" w:eastAsia="仿宋_GB2312" w:cs="Times New Roman"/>
          <w:color w:val="000000" w:themeColor="text1"/>
          <w:sz w:val="32"/>
          <w:szCs w:val="32"/>
          <w14:textFill>
            <w14:solidFill>
              <w14:schemeClr w14:val="tx1"/>
            </w14:solidFill>
          </w14:textFill>
        </w:rPr>
        <w:t>大力推进流通现代化，完善城乡市场体系建设，逐步形成大市场、大流通、大贸易的商贸流通格局。</w:t>
      </w:r>
      <w:r>
        <w:rPr>
          <w:rFonts w:ascii="Times New Roman" w:hAnsi="Times New Roman" w:eastAsia="仿宋_GB2312" w:cs="Times New Roman"/>
          <w:color w:val="000000" w:themeColor="text1"/>
          <w:w w:val="98"/>
          <w:sz w:val="32"/>
          <w:szCs w:val="32"/>
          <w14:textFill>
            <w14:solidFill>
              <w14:schemeClr w14:val="tx1"/>
            </w14:solidFill>
          </w14:textFill>
        </w:rPr>
        <w:t>大力发展消费新业态新模式新场景。支持做强</w:t>
      </w:r>
      <w:r>
        <w:rPr>
          <w:rFonts w:hint="eastAsia" w:ascii="仿宋" w:hAnsi="仿宋" w:cs="Times New Roman"/>
          <w:color w:val="000000" w:themeColor="text1"/>
          <w:w w:val="98"/>
          <w:sz w:val="32"/>
          <w:szCs w:val="32"/>
          <w14:textFill>
            <w14:solidFill>
              <w14:schemeClr w14:val="tx1"/>
            </w14:solidFill>
          </w14:textFill>
        </w:rPr>
        <w:t>“</w:t>
      </w:r>
      <w:r>
        <w:rPr>
          <w:rFonts w:ascii="Times New Roman" w:hAnsi="Times New Roman" w:eastAsia="仿宋_GB2312" w:cs="Times New Roman"/>
          <w:color w:val="000000" w:themeColor="text1"/>
          <w:w w:val="98"/>
          <w:sz w:val="32"/>
          <w:szCs w:val="32"/>
          <w14:textFill>
            <w14:solidFill>
              <w14:schemeClr w14:val="tx1"/>
            </w14:solidFill>
          </w14:textFill>
        </w:rPr>
        <w:t>首店经济</w:t>
      </w:r>
      <w:r>
        <w:rPr>
          <w:rFonts w:hint="eastAsia" w:ascii="仿宋" w:hAnsi="仿宋" w:cs="Times New Roman"/>
          <w:color w:val="000000" w:themeColor="text1"/>
          <w:w w:val="98"/>
          <w:sz w:val="32"/>
          <w:szCs w:val="32"/>
          <w14:textFill>
            <w14:solidFill>
              <w14:schemeClr w14:val="tx1"/>
            </w14:solidFill>
          </w14:textFill>
        </w:rPr>
        <w:t>”“</w:t>
      </w:r>
      <w:r>
        <w:rPr>
          <w:rFonts w:ascii="Times New Roman" w:hAnsi="Times New Roman" w:eastAsia="仿宋_GB2312" w:cs="Times New Roman"/>
          <w:color w:val="000000" w:themeColor="text1"/>
          <w:w w:val="98"/>
          <w:sz w:val="32"/>
          <w:szCs w:val="32"/>
          <w14:textFill>
            <w14:solidFill>
              <w14:schemeClr w14:val="tx1"/>
            </w14:solidFill>
          </w14:textFill>
        </w:rPr>
        <w:t>首发经济</w:t>
      </w:r>
      <w:r>
        <w:rPr>
          <w:rFonts w:hint="eastAsia" w:ascii="仿宋" w:hAnsi="仿宋" w:cs="Times New Roman"/>
          <w:color w:val="000000" w:themeColor="text1"/>
          <w:w w:val="98"/>
          <w:sz w:val="32"/>
          <w:szCs w:val="32"/>
          <w14:textFill>
            <w14:solidFill>
              <w14:schemeClr w14:val="tx1"/>
            </w14:solidFill>
          </w14:textFill>
        </w:rPr>
        <w:t>”</w:t>
      </w:r>
      <w:r>
        <w:rPr>
          <w:rFonts w:ascii="Times New Roman" w:hAnsi="Times New Roman" w:eastAsia="仿宋_GB2312" w:cs="Times New Roman"/>
          <w:color w:val="000000" w:themeColor="text1"/>
          <w:w w:val="98"/>
          <w:sz w:val="32"/>
          <w:szCs w:val="32"/>
          <w14:textFill>
            <w14:solidFill>
              <w14:schemeClr w14:val="tx1"/>
            </w14:solidFill>
          </w14:textFill>
        </w:rPr>
        <w:t>，有序发展</w:t>
      </w:r>
      <w:r>
        <w:rPr>
          <w:rFonts w:hint="eastAsia" w:ascii="仿宋" w:hAnsi="仿宋" w:cs="Times New Roman"/>
          <w:color w:val="000000" w:themeColor="text1"/>
          <w:w w:val="98"/>
          <w:sz w:val="32"/>
          <w:szCs w:val="32"/>
          <w14:textFill>
            <w14:solidFill>
              <w14:schemeClr w14:val="tx1"/>
            </w14:solidFill>
          </w14:textFill>
        </w:rPr>
        <w:t>“</w:t>
      </w:r>
      <w:r>
        <w:rPr>
          <w:rFonts w:ascii="Times New Roman" w:hAnsi="Times New Roman" w:eastAsia="仿宋_GB2312" w:cs="Times New Roman"/>
          <w:color w:val="000000" w:themeColor="text1"/>
          <w:w w:val="98"/>
          <w:sz w:val="32"/>
          <w:szCs w:val="32"/>
          <w14:textFill>
            <w14:solidFill>
              <w14:schemeClr w14:val="tx1"/>
            </w14:solidFill>
          </w14:textFill>
        </w:rPr>
        <w:t>夜经济</w:t>
      </w:r>
      <w:r>
        <w:rPr>
          <w:rFonts w:hint="eastAsia" w:ascii="仿宋" w:hAnsi="仿宋" w:cs="Times New Roman"/>
          <w:color w:val="000000" w:themeColor="text1"/>
          <w:w w:val="98"/>
          <w:sz w:val="32"/>
          <w:szCs w:val="32"/>
          <w14:textFill>
            <w14:solidFill>
              <w14:schemeClr w14:val="tx1"/>
            </w14:solidFill>
          </w14:textFill>
        </w:rPr>
        <w:t>”</w:t>
      </w:r>
      <w:r>
        <w:rPr>
          <w:rFonts w:ascii="Times New Roman" w:hAnsi="Times New Roman" w:eastAsia="仿宋_GB2312" w:cs="Times New Roman"/>
          <w:color w:val="000000" w:themeColor="text1"/>
          <w:w w:val="98"/>
          <w:sz w:val="32"/>
          <w:szCs w:val="32"/>
          <w14:textFill>
            <w14:solidFill>
              <w14:schemeClr w14:val="tx1"/>
            </w14:solidFill>
          </w14:textFill>
        </w:rPr>
        <w:t>。改造提升步行街、商业综合体，培育多层级消费中心。扩大农村消费，加快工业品下乡和农产品进城，推动新型消费向农村拓展。推动汽车等消费品由购买管理向使用管理转变。落实带薪休假制度，扩大节假日消费。</w:t>
      </w:r>
      <w:r>
        <w:rPr>
          <w:rFonts w:ascii="Times New Roman" w:hAnsi="Times New Roman" w:eastAsia="仿宋_GB2312" w:cs="Times New Roman"/>
          <w:color w:val="000000" w:themeColor="text1"/>
          <w:sz w:val="32"/>
          <w:szCs w:val="32"/>
          <w14:textFill>
            <w14:solidFill>
              <w14:schemeClr w14:val="tx1"/>
            </w14:solidFill>
          </w14:textFill>
        </w:rPr>
        <w:t>以友阿国际、步步高新天地、铜锣湾等大型商业综合体为带动，以高端商务为支撑，通过集聚发展，培育品牌商圈。规划建设中心城区CBD（中央商务区），加快特色商业区建设，发展知名品牌街区，形成具有邵阳特色的购物品牌。积极推进专业市场的现代化智能化改造。</w:t>
      </w:r>
    </w:p>
    <w:p>
      <w:pPr>
        <w:widowControl w:val="0"/>
        <w:adjustRightInd/>
        <w:snapToGrid/>
        <w:spacing w:before="0" w:after="0" w:line="560" w:lineRule="exact"/>
        <w:ind w:firstLine="643"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拓展健康服务。</w:t>
      </w:r>
      <w:r>
        <w:rPr>
          <w:rFonts w:ascii="Times New Roman" w:hAnsi="Times New Roman" w:eastAsia="仿宋_GB2312" w:cs="Times New Roman"/>
          <w:color w:val="000000" w:themeColor="text1"/>
          <w:sz w:val="32"/>
          <w:szCs w:val="32"/>
          <w14:textFill>
            <w14:solidFill>
              <w14:schemeClr w14:val="tx1"/>
            </w14:solidFill>
          </w14:textFill>
        </w:rPr>
        <w:t>大力发展高端医疗、特色医疗等医疗卫生服务，推动建设健康教育、健康体检、营养保健、心理健康等健康管理服务体系。加快构建养老医疗相结合的综合服务体系、康复医疗体系、健康保险服务体系，逐步完善健康旅游、体育健身、休闲保健等其他健康服务体系。推进智慧医疗云平台、医药健康科技园等项目建设,建设互联网医院,发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互联网医疗</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互联网健康管理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等新型医疗服务。</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加强社区服务。</w:t>
      </w:r>
      <w:r>
        <w:rPr>
          <w:rFonts w:ascii="Times New Roman" w:hAnsi="Times New Roman" w:eastAsia="仿宋_GB2312" w:cs="Times New Roman"/>
          <w:color w:val="000000" w:themeColor="text1"/>
          <w:sz w:val="32"/>
          <w:szCs w:val="32"/>
          <w14:textFill>
            <w14:solidFill>
              <w14:schemeClr w14:val="tx1"/>
            </w14:solidFill>
          </w14:textFill>
        </w:rPr>
        <w:t>加快推进社区服务业市场化、产业化、社会化，大力拓展面向社区全体居民和单位的有偿服务项目。培育若干大型家政服务企业，依法规范家政服务业发展，逐步发展面向农村尤其是中心镇的家庭服务，促进家政服务市场的成熟与发展；推动老年人社会福利快速发展，提高社区养老服务覆盖面；整合社区各类教育培训资源，引入行业组织等参与开展社区教育项目，为社区居民提供人文艺术、科学技术、幼儿教育、养老保健、生活休闲、职业技能等方面的教育服务；全面开展城乡社区服务中心建设提升工程，完善社区服务网点，完善信息服务平台功能，推进社区便民服务中心建设，实现全市社区便民服务联网，满足城乡人民日益增长的多元化、多层次公共服务需求。</w:t>
      </w:r>
    </w:p>
    <w:p>
      <w:pPr>
        <w:widowControl w:val="0"/>
        <w:spacing w:before="0" w:after="0" w:line="560" w:lineRule="exact"/>
        <w:ind w:firstLine="643" w:firstLineChars="200"/>
        <w:rPr>
          <w:rFonts w:ascii="Times New Roman" w:hAnsi="Times New Roman" w:eastAsia="仿宋_GB2312" w:cs="Times New Roman"/>
          <w:color w:val="000000" w:themeColor="text1"/>
          <w:sz w:val="32"/>
          <w:szCs w:val="32"/>
          <w:lang w:val="zh-CN"/>
          <w14:textFill>
            <w14:solidFill>
              <w14:schemeClr w14:val="tx1"/>
            </w14:solidFill>
          </w14:textFill>
        </w:rPr>
      </w:pPr>
      <w:r>
        <w:rPr>
          <w:rFonts w:ascii="Times New Roman" w:hAnsi="Times New Roman" w:eastAsia="仿宋_GB2312" w:cs="Times New Roman"/>
          <w:b/>
          <w:bCs/>
          <w:color w:val="000000" w:themeColor="text1"/>
          <w:sz w:val="32"/>
          <w:szCs w:val="32"/>
          <w:shd w:val="clear" w:color="auto" w:fill="FFFFFF"/>
          <w:lang w:val="zh-CN"/>
          <w14:textFill>
            <w14:solidFill>
              <w14:schemeClr w14:val="tx1"/>
            </w14:solidFill>
          </w14:textFill>
        </w:rPr>
        <w:t>拓展家政服务。</w:t>
      </w:r>
      <w:r>
        <w:rPr>
          <w:rFonts w:ascii="Times New Roman" w:hAnsi="Times New Roman" w:eastAsia="仿宋_GB2312" w:cs="Times New Roman"/>
          <w:color w:val="000000" w:themeColor="text1"/>
          <w:sz w:val="32"/>
          <w:szCs w:val="32"/>
          <w:shd w:val="clear" w:color="auto" w:fill="FFFFFF"/>
          <w:lang w:val="zh-CN"/>
          <w14:textFill>
            <w14:solidFill>
              <w14:schemeClr w14:val="tx1"/>
            </w14:solidFill>
          </w14:textFill>
        </w:rPr>
        <w:t>鼓励各类资本投资创办家庭服务企业，培育家庭服务市场，重点发展家政服务、社区服务、家庭教育、婴幼儿看护和病患陪护，基本形成便捷化、广覆盖的家庭服务体系。</w:t>
      </w:r>
      <w:r>
        <w:rPr>
          <w:rFonts w:ascii="Times New Roman" w:hAnsi="Times New Roman" w:eastAsia="仿宋_GB2312" w:cs="Times New Roman"/>
          <w:color w:val="000000" w:themeColor="text1"/>
          <w:sz w:val="32"/>
          <w:szCs w:val="32"/>
          <w:lang w:val="zh-CN"/>
          <w14:textFill>
            <w14:solidFill>
              <w14:schemeClr w14:val="tx1"/>
            </w14:solidFill>
          </w14:textFill>
        </w:rPr>
        <w:t>支持家政服务企业不断丰富服务内容，增加服务供给，提升服务附加值，增强市场竞争力。支持行业协会开展家政服务企业星级评定工作。</w:t>
      </w:r>
    </w:p>
    <w:p>
      <w:pPr>
        <w:pStyle w:val="2"/>
        <w:rPr>
          <w:rFonts w:ascii="Times New Roman" w:hAnsi="Times New Roman" w:cs="Times New Roman"/>
          <w:color w:val="000000" w:themeColor="text1"/>
          <w:lang w:val="zh-CN"/>
          <w14:textFill>
            <w14:solidFill>
              <w14:schemeClr w14:val="tx1"/>
            </w14:solidFill>
          </w14:textFill>
        </w:rPr>
      </w:pPr>
    </w:p>
    <w:tbl>
      <w:tblPr>
        <w:tblStyle w:val="1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5000" w:type="pct"/>
            <w:tcBorders>
              <w:tl2br w:val="nil"/>
              <w:tr2bl w:val="nil"/>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专栏14：扩内需发展行动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before="0" w:after="0" w:line="500" w:lineRule="exact"/>
              <w:ind w:firstLine="562" w:firstLineChars="200"/>
              <w:jc w:val="both"/>
              <w:textAlignment w:val="center"/>
              <w:rPr>
                <w:rStyle w:val="37"/>
                <w:rFonts w:hint="default" w:ascii="Times New Roman" w:hAnsi="Times New Roman" w:cs="Times New Roman"/>
                <w:color w:val="000000" w:themeColor="text1"/>
                <w:sz w:val="28"/>
                <w:szCs w:val="28"/>
                <w14:textFill>
                  <w14:solidFill>
                    <w14:schemeClr w14:val="tx1"/>
                  </w14:solidFill>
                </w14:textFill>
              </w:rPr>
            </w:pPr>
            <w:r>
              <w:rPr>
                <w:rStyle w:val="37"/>
                <w:rFonts w:hint="default" w:ascii="Times New Roman" w:hAnsi="Times New Roman" w:cs="Times New Roman"/>
                <w:b/>
                <w:bCs/>
                <w:color w:val="000000" w:themeColor="text1"/>
                <w:sz w:val="28"/>
                <w:szCs w:val="28"/>
                <w14:textFill>
                  <w14:solidFill>
                    <w14:schemeClr w14:val="tx1"/>
                  </w14:solidFill>
                </w14:textFill>
              </w:rPr>
              <w:t>商贸餐饮服务提升工程：</w:t>
            </w:r>
            <w:r>
              <w:rPr>
                <w:rStyle w:val="37"/>
                <w:rFonts w:hint="default" w:ascii="Times New Roman" w:hAnsi="Times New Roman" w:cs="Times New Roman"/>
                <w:color w:val="000000" w:themeColor="text1"/>
                <w:sz w:val="28"/>
                <w:szCs w:val="28"/>
                <w14:textFill>
                  <w14:solidFill>
                    <w14:schemeClr w14:val="tx1"/>
                  </w14:solidFill>
                </w14:textFill>
              </w:rPr>
              <w:t>重点打造以市区为核心的商业区，带动东部城镇群商业区、西部生态圈边贸区，大力发展现代流通产业。大力发展商贸流通、餐饮服务，构筑大商贸、大流通、大市场的商贸流通格局。加快建设粮油、建材、家电等大型批发零售市场，引进国内外著名大型连锁超市，建设一站式购物广场。突出饮食文化特色，扶持餐饮连锁地方品牌建设，规划建设商业特色街和休闲美食广场。到2025年，全市培育年交易额100亿元的商贸市场10家。</w:t>
            </w:r>
          </w:p>
          <w:p>
            <w:pPr>
              <w:spacing w:before="0" w:after="0" w:line="500" w:lineRule="exact"/>
              <w:ind w:firstLine="562" w:firstLineChars="200"/>
              <w:jc w:val="both"/>
              <w:textAlignment w:val="center"/>
              <w:rPr>
                <w:rStyle w:val="37"/>
                <w:rFonts w:hint="default" w:ascii="Times New Roman" w:hAnsi="Times New Roman" w:cs="Times New Roman"/>
                <w:color w:val="000000" w:themeColor="text1"/>
                <w:sz w:val="28"/>
                <w:szCs w:val="28"/>
                <w14:textFill>
                  <w14:solidFill>
                    <w14:schemeClr w14:val="tx1"/>
                  </w14:solidFill>
                </w14:textFill>
              </w:rPr>
            </w:pPr>
            <w:r>
              <w:rPr>
                <w:rStyle w:val="37"/>
                <w:rFonts w:hint="default" w:ascii="Times New Roman" w:hAnsi="Times New Roman" w:cs="Times New Roman"/>
                <w:b/>
                <w:bCs/>
                <w:color w:val="000000" w:themeColor="text1"/>
                <w:sz w:val="28"/>
                <w:szCs w:val="28"/>
                <w14:textFill>
                  <w14:solidFill>
                    <w14:schemeClr w14:val="tx1"/>
                  </w14:solidFill>
                </w14:textFill>
              </w:rPr>
              <w:t>健康服务提升工程：</w:t>
            </w:r>
            <w:r>
              <w:rPr>
                <w:rStyle w:val="37"/>
                <w:rFonts w:hint="default" w:ascii="Times New Roman" w:hAnsi="Times New Roman" w:cs="Times New Roman"/>
                <w:color w:val="000000" w:themeColor="text1"/>
                <w:sz w:val="28"/>
                <w:szCs w:val="28"/>
                <w14:textFill>
                  <w14:solidFill>
                    <w14:schemeClr w14:val="tx1"/>
                  </w14:solidFill>
                </w14:textFill>
              </w:rPr>
              <w:t>发展养生、保健、养老等高端服务业态，创立</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医、护、养、学、研</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一体化的新型健康养生、养老服务模式，推进养老服务规模化、品牌化发展。加快推进集医疗服务、体育健身、健康促进等为一体的健康服务产业体系建设。</w:t>
            </w:r>
          </w:p>
          <w:p>
            <w:pPr>
              <w:spacing w:before="0" w:after="0" w:line="500" w:lineRule="exact"/>
              <w:ind w:firstLine="562" w:firstLineChars="200"/>
              <w:jc w:val="both"/>
              <w:textAlignment w:val="center"/>
              <w:rPr>
                <w:rFonts w:ascii="Times New Roman" w:hAnsi="Times New Roman" w:eastAsia="宋体" w:cs="Times New Roman"/>
                <w:b/>
                <w:bCs/>
                <w:color w:val="000000" w:themeColor="text1"/>
                <w:sz w:val="21"/>
                <w:szCs w:val="21"/>
                <w14:textFill>
                  <w14:solidFill>
                    <w14:schemeClr w14:val="tx1"/>
                  </w14:solidFill>
                </w14:textFill>
              </w:rPr>
            </w:pPr>
            <w:r>
              <w:rPr>
                <w:rStyle w:val="37"/>
                <w:rFonts w:hint="default" w:ascii="Times New Roman" w:hAnsi="Times New Roman" w:cs="Times New Roman"/>
                <w:b/>
                <w:bCs/>
                <w:color w:val="000000" w:themeColor="text1"/>
                <w:sz w:val="28"/>
                <w:szCs w:val="28"/>
                <w14:textFill>
                  <w14:solidFill>
                    <w14:schemeClr w14:val="tx1"/>
                  </w14:solidFill>
                </w14:textFill>
              </w:rPr>
              <w:t>居民服务提升工程：</w:t>
            </w:r>
            <w:r>
              <w:rPr>
                <w:rStyle w:val="37"/>
                <w:rFonts w:hint="default" w:ascii="Times New Roman" w:hAnsi="Times New Roman" w:cs="Times New Roman"/>
                <w:color w:val="000000" w:themeColor="text1"/>
                <w:sz w:val="28"/>
                <w:szCs w:val="28"/>
                <w14:textFill>
                  <w14:solidFill>
                    <w14:schemeClr w14:val="tx1"/>
                  </w14:solidFill>
                </w14:textFill>
              </w:rPr>
              <w:t>依托城镇化建设，加快建设功能齐备的公共服务及配套基础设施体系。积极发展家政服务、社区照料服务等居民服务，完善幼托、健身、清洁、维修、家政服务、物业管理等居民便民服务项目，推进以邮政综合便民服务平台为基础的便民网点建设，加强公共服务叠加力度，推动居民服务业向品牌化、规模化、连锁化经营模式发展。</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十四五</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期间，居民服务总收入年均增长20%以上。</w:t>
            </w:r>
          </w:p>
        </w:tc>
      </w:tr>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355" w:name="_Toc10840"/>
      <w:bookmarkStart w:id="1356" w:name="_Toc31683"/>
      <w:bookmarkStart w:id="1357" w:name="_Toc27100"/>
      <w:bookmarkStart w:id="1358" w:name="_Toc12097"/>
      <w:bookmarkStart w:id="1359" w:name="_Toc12572"/>
      <w:bookmarkStart w:id="1360" w:name="_Toc30075"/>
      <w:bookmarkStart w:id="1361" w:name="_Toc31234"/>
      <w:bookmarkStart w:id="1362" w:name="_Toc10178"/>
      <w:bookmarkStart w:id="1363" w:name="_Toc18421"/>
      <w:bookmarkStart w:id="1364" w:name="_Toc17852"/>
      <w:bookmarkStart w:id="1365" w:name="_Toc24577"/>
      <w:bookmarkStart w:id="1366" w:name="_Toc6154"/>
      <w:bookmarkStart w:id="1367" w:name="_Toc16919"/>
      <w:bookmarkStart w:id="1368" w:name="_Toc32734"/>
      <w:bookmarkStart w:id="1369" w:name="_Toc7077"/>
      <w:bookmarkStart w:id="1370" w:name="_Toc10942"/>
      <w:bookmarkStart w:id="1371" w:name="_Toc1213"/>
      <w:bookmarkStart w:id="1372" w:name="_Toc18418"/>
      <w:bookmarkStart w:id="1373" w:name="_Toc5523"/>
      <w:bookmarkStart w:id="1374" w:name="_Toc31635"/>
      <w:bookmarkStart w:id="1375" w:name="_Toc11120"/>
      <w:bookmarkStart w:id="1376" w:name="_Toc24145"/>
      <w:bookmarkStart w:id="1377" w:name="_Toc9300"/>
      <w:bookmarkStart w:id="1378" w:name="_Toc31167"/>
      <w:bookmarkStart w:id="1379" w:name="_Toc18637"/>
      <w:bookmarkStart w:id="1380" w:name="_Toc22026"/>
      <w:bookmarkStart w:id="1381" w:name="_Toc32151"/>
      <w:bookmarkStart w:id="1382" w:name="_Toc14233"/>
      <w:bookmarkStart w:id="1383" w:name="_Toc3133"/>
      <w:r>
        <w:rPr>
          <w:rFonts w:ascii="Times New Roman" w:hAnsi="Times New Roman" w:cs="Times New Roman"/>
          <w:color w:val="000000" w:themeColor="text1"/>
          <w:szCs w:val="32"/>
          <w14:textFill>
            <w14:solidFill>
              <w14:schemeClr w14:val="tx1"/>
            </w14:solidFill>
          </w14:textFill>
        </w:rPr>
        <w:t>第五节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扩大有效投资新举措</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发挥投资对优化供给结构的作用，围绕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两新一重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，着眼补短板、强弱项、提质量，引导资金投向供需共同受益、具有乘数效应的先进制造、民生建设、基础设施短板等领域，激发内生动力，促进转型升级，稳定经济运行。</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保持投资合理增长。</w:t>
      </w:r>
      <w:r>
        <w:rPr>
          <w:rFonts w:ascii="Times New Roman" w:hAnsi="Times New Roman" w:eastAsia="仿宋_GB2312" w:cs="Times New Roman"/>
          <w:color w:val="000000" w:themeColor="text1"/>
          <w:sz w:val="32"/>
          <w:szCs w:val="32"/>
          <w14:textFill>
            <w14:solidFill>
              <w14:schemeClr w14:val="tx1"/>
            </w14:solidFill>
          </w14:textFill>
        </w:rPr>
        <w:t>加强稳投资项目储备和政策储备，积极稳定有效投资增长，发挥投资的关键作用。瞄准国家重大投资方向，聚焦关键领域和薄弱环节，按照近期、中期、长期三类，加强一批强基础、增动能、利长远重大项目谋划储备。密切跟踪和分析研判投资形势，完善投资评价机制，发挥好财政资金、专项债券等各类政府资金带动作用，盘活基础设施存量资产，调动民间投资积极性，拓宽投资来源。</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优化投资结构。</w:t>
      </w:r>
      <w:r>
        <w:rPr>
          <w:rFonts w:ascii="Times New Roman" w:hAnsi="Times New Roman" w:eastAsia="仿宋_GB2312" w:cs="Times New Roman"/>
          <w:color w:val="000000" w:themeColor="text1"/>
          <w:sz w:val="32"/>
          <w:szCs w:val="32"/>
          <w14:textFill>
            <w14:solidFill>
              <w14:schemeClr w14:val="tx1"/>
            </w14:solidFill>
          </w14:textFill>
        </w:rPr>
        <w:t>加大新动能培育投资，系统布局新型基础设施，加快第五代移动通信、工业互联网、大数据中心等建设。扩大高水平、高质量产业投资，扩大消费品工业占制造业投资比重，提高技改投入在工业投资中的比重。推进重大基础研究和关键核心技术攻关，加大重大科技基础设施、大型公用试验准备、重大科研平台等投入。提高人民群众幸福感和获得感，加大教育医疗、养老育幼、公共安全、防灾减灾等基本公共服务投入。</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提高投资效益。</w:t>
      </w:r>
      <w:r>
        <w:rPr>
          <w:rFonts w:ascii="Times New Roman" w:hAnsi="Times New Roman" w:eastAsia="仿宋_GB2312" w:cs="Times New Roman"/>
          <w:color w:val="000000" w:themeColor="text1"/>
          <w:sz w:val="32"/>
          <w:szCs w:val="32"/>
          <w14:textFill>
            <w14:solidFill>
              <w14:schemeClr w14:val="tx1"/>
            </w14:solidFill>
          </w14:textFill>
        </w:rPr>
        <w:t>坚持尽力而为、量力而行，严格把握政府投资范围，强化科学论证，围绕国省重大战略，推进供需两端共同受益、形成强大国内市场的重点项目建设。规范政府投资行为，防范地方政府隐性债务风险。加大现代化产业体系投资，避免无效投资和重复建设，提升投资质量和效益。注重盘活基础设施、产业园区等存量资产，形成投资良性循环引导示范。</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扩大民间投资。</w:t>
      </w:r>
      <w:r>
        <w:rPr>
          <w:rFonts w:ascii="Times New Roman" w:hAnsi="Times New Roman" w:eastAsia="仿宋_GB2312" w:cs="Times New Roman"/>
          <w:color w:val="000000" w:themeColor="text1"/>
          <w:sz w:val="32"/>
          <w:szCs w:val="32"/>
          <w14:textFill>
            <w14:solidFill>
              <w14:schemeClr w14:val="tx1"/>
            </w14:solidFill>
          </w14:textFill>
        </w:rPr>
        <w:t>进一步放宽民间资本市场准入，支持民间资本参与基础设施和公共服务领域建设运营，鼓励民间资本参与新型城镇化和新型基础设施建设，支持民营企业加大重大创新投资。降低民营企业融资成本，支持符合条件的民营企业上市、发行企业债券，加大政府投资产业基金支持，提高直接融资比例。营造良好投资环境，规范推广政府和社会资本合作，保障民营企业平等参与项目投资、建设和运营。</w:t>
      </w:r>
    </w:p>
    <w:tbl>
      <w:tblPr>
        <w:tblStyle w:val="14"/>
        <w:tblW w:w="8867" w:type="dxa"/>
        <w:tblInd w:w="0" w:type="dxa"/>
        <w:tblLayout w:type="autofit"/>
        <w:tblCellMar>
          <w:top w:w="0" w:type="dxa"/>
          <w:left w:w="0" w:type="dxa"/>
          <w:bottom w:w="0" w:type="dxa"/>
          <w:right w:w="0" w:type="dxa"/>
        </w:tblCellMar>
      </w:tblPr>
      <w:tblGrid>
        <w:gridCol w:w="8867"/>
      </w:tblGrid>
      <w:tr>
        <w:trPr>
          <w:trHeight w:val="578" w:hRule="atLeast"/>
        </w:trPr>
        <w:tc>
          <w:tcPr>
            <w:tcW w:w="88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lang w:bidi="ar"/>
                <w14:textFill>
                  <w14:solidFill>
                    <w14:schemeClr w14:val="tx1"/>
                  </w14:solidFill>
                </w14:textFill>
              </w:rPr>
              <w:t>专栏15：扩大投资行动计划</w:t>
            </w:r>
          </w:p>
        </w:tc>
      </w:tr>
      <w:tr>
        <w:tblPrEx>
          <w:tblCellMar>
            <w:top w:w="0" w:type="dxa"/>
            <w:left w:w="0" w:type="dxa"/>
            <w:bottom w:w="0" w:type="dxa"/>
            <w:right w:w="0" w:type="dxa"/>
          </w:tblCellMar>
        </w:tblPrEx>
        <w:trPr>
          <w:trHeight w:val="578" w:hRule="atLeast"/>
        </w:trPr>
        <w:tc>
          <w:tcPr>
            <w:tcW w:w="886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579" w:lineRule="exact"/>
              <w:ind w:firstLine="562" w:firstLineChars="200"/>
              <w:jc w:val="both"/>
              <w:textAlignment w:val="center"/>
              <w:rPr>
                <w:rStyle w:val="37"/>
                <w:rFonts w:hint="default" w:ascii="Times New Roman" w:hAnsi="Times New Roman" w:cs="Times New Roman"/>
                <w:color w:val="000000" w:themeColor="text1"/>
                <w:sz w:val="28"/>
                <w:szCs w:val="28"/>
                <w14:textFill>
                  <w14:solidFill>
                    <w14:schemeClr w14:val="tx1"/>
                  </w14:solidFill>
                </w14:textFill>
              </w:rPr>
            </w:pPr>
            <w:r>
              <w:rPr>
                <w:rStyle w:val="37"/>
                <w:rFonts w:hint="default" w:ascii="Times New Roman" w:hAnsi="Times New Roman" w:cs="Times New Roman"/>
                <w:b/>
                <w:bCs/>
                <w:color w:val="000000" w:themeColor="text1"/>
                <w:sz w:val="28"/>
                <w:szCs w:val="28"/>
                <w14:textFill>
                  <w14:solidFill>
                    <w14:schemeClr w14:val="tx1"/>
                  </w14:solidFill>
                </w14:textFill>
              </w:rPr>
              <w:t>产业投资提速行动。</w:t>
            </w:r>
            <w:r>
              <w:rPr>
                <w:rStyle w:val="37"/>
                <w:rFonts w:hint="default" w:ascii="Times New Roman" w:hAnsi="Times New Roman" w:cs="Times New Roman"/>
                <w:color w:val="000000" w:themeColor="text1"/>
                <w:sz w:val="28"/>
                <w:szCs w:val="28"/>
                <w14:textFill>
                  <w14:solidFill>
                    <w14:schemeClr w14:val="tx1"/>
                  </w14:solidFill>
                </w14:textFill>
              </w:rPr>
              <w:t>围绕实施</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三高四新</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战略，推进先进装备制造业倍增、智能制造赋能等</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八大工程</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，扩大战略新兴产业和现代化产业链投资，加大技改投资，培育壮大新增长点。</w:t>
            </w:r>
          </w:p>
          <w:p>
            <w:pPr>
              <w:spacing w:before="0" w:after="0" w:line="579" w:lineRule="exact"/>
              <w:ind w:firstLine="562" w:firstLineChars="200"/>
              <w:jc w:val="both"/>
              <w:textAlignment w:val="center"/>
              <w:rPr>
                <w:rStyle w:val="37"/>
                <w:rFonts w:hint="default" w:ascii="Times New Roman" w:hAnsi="Times New Roman" w:cs="Times New Roman"/>
                <w:color w:val="000000" w:themeColor="text1"/>
                <w:sz w:val="28"/>
                <w:szCs w:val="28"/>
                <w14:textFill>
                  <w14:solidFill>
                    <w14:schemeClr w14:val="tx1"/>
                  </w14:solidFill>
                </w14:textFill>
              </w:rPr>
            </w:pPr>
            <w:r>
              <w:rPr>
                <w:rStyle w:val="37"/>
                <w:rFonts w:hint="default" w:ascii="Times New Roman" w:hAnsi="Times New Roman" w:cs="Times New Roman"/>
                <w:b/>
                <w:bCs/>
                <w:color w:val="000000" w:themeColor="text1"/>
                <w:sz w:val="28"/>
                <w:szCs w:val="28"/>
                <w14:textFill>
                  <w14:solidFill>
                    <w14:schemeClr w14:val="tx1"/>
                  </w14:solidFill>
                </w14:textFill>
              </w:rPr>
              <w:t>民间投资扩量行动。</w:t>
            </w:r>
            <w:r>
              <w:rPr>
                <w:rStyle w:val="37"/>
                <w:rFonts w:hint="default" w:ascii="Times New Roman" w:hAnsi="Times New Roman" w:cs="Times New Roman"/>
                <w:color w:val="000000" w:themeColor="text1"/>
                <w:sz w:val="28"/>
                <w:szCs w:val="28"/>
                <w14:textFill>
                  <w14:solidFill>
                    <w14:schemeClr w14:val="tx1"/>
                  </w14:solidFill>
                </w14:textFill>
              </w:rPr>
              <w:t>支持民企参与重点领域建设运营，集中谋划一批重大民间投资项目。定期向社会资本推介PPP项目。创新投融资机制，推进技术、市场、流通等要素共享，降低成本，提升民间投资占固定资产投资比重。</w:t>
            </w:r>
          </w:p>
          <w:p>
            <w:pPr>
              <w:spacing w:before="0" w:after="0" w:line="579" w:lineRule="exact"/>
              <w:ind w:firstLine="562" w:firstLineChars="200"/>
              <w:jc w:val="both"/>
              <w:textAlignment w:val="center"/>
              <w:rPr>
                <w:rStyle w:val="37"/>
                <w:rFonts w:hint="default" w:ascii="Times New Roman" w:hAnsi="Times New Roman" w:cs="Times New Roman"/>
                <w:color w:val="000000" w:themeColor="text1"/>
                <w:sz w:val="28"/>
                <w:szCs w:val="28"/>
                <w14:textFill>
                  <w14:solidFill>
                    <w14:schemeClr w14:val="tx1"/>
                  </w14:solidFill>
                </w14:textFill>
              </w:rPr>
            </w:pPr>
            <w:r>
              <w:rPr>
                <w:rStyle w:val="37"/>
                <w:rFonts w:hint="default" w:ascii="Times New Roman" w:hAnsi="Times New Roman" w:cs="Times New Roman"/>
                <w:b/>
                <w:bCs/>
                <w:color w:val="000000" w:themeColor="text1"/>
                <w:sz w:val="28"/>
                <w:szCs w:val="28"/>
                <w14:textFill>
                  <w14:solidFill>
                    <w14:schemeClr w14:val="tx1"/>
                  </w14:solidFill>
                </w14:textFill>
              </w:rPr>
              <w:t>投资效益提升行动。</w:t>
            </w:r>
            <w:r>
              <w:rPr>
                <w:rStyle w:val="37"/>
                <w:rFonts w:hint="default" w:ascii="Times New Roman" w:hAnsi="Times New Roman" w:cs="Times New Roman"/>
                <w:color w:val="000000" w:themeColor="text1"/>
                <w:sz w:val="28"/>
                <w:szCs w:val="28"/>
                <w14:textFill>
                  <w14:solidFill>
                    <w14:schemeClr w14:val="tx1"/>
                  </w14:solidFill>
                </w14:textFill>
              </w:rPr>
              <w:t>建立投资效益评估机制，严格政府投向。推进传统产业投资级，加大现代产业投资，避免无效投资和重复建设。注重盘活基础设施、产业园区等存量资产，形成投资良性循环引导示范。</w:t>
            </w:r>
          </w:p>
          <w:p>
            <w:pPr>
              <w:spacing w:before="0" w:after="0" w:line="579" w:lineRule="exact"/>
              <w:ind w:firstLine="562" w:firstLineChars="200"/>
              <w:jc w:val="both"/>
              <w:textAlignment w:val="center"/>
              <w:rPr>
                <w:rFonts w:ascii="Times New Roman" w:hAnsi="Times New Roman" w:eastAsia="宋体" w:cs="Times New Roman"/>
                <w:bCs/>
                <w:color w:val="000000" w:themeColor="text1"/>
                <w:sz w:val="32"/>
                <w:szCs w:val="32"/>
                <w14:textFill>
                  <w14:solidFill>
                    <w14:schemeClr w14:val="tx1"/>
                  </w14:solidFill>
                </w14:textFill>
              </w:rPr>
            </w:pPr>
            <w:r>
              <w:rPr>
                <w:rStyle w:val="37"/>
                <w:rFonts w:hint="default" w:ascii="Times New Roman" w:hAnsi="Times New Roman" w:cs="Times New Roman"/>
                <w:b/>
                <w:bCs/>
                <w:color w:val="000000" w:themeColor="text1"/>
                <w:sz w:val="28"/>
                <w:szCs w:val="28"/>
                <w14:textFill>
                  <w14:solidFill>
                    <w14:schemeClr w14:val="tx1"/>
                  </w14:solidFill>
                </w14:textFill>
              </w:rPr>
              <w:t>服务保障创新行动。</w:t>
            </w:r>
            <w:r>
              <w:rPr>
                <w:rStyle w:val="37"/>
                <w:rFonts w:hint="default" w:ascii="Times New Roman" w:hAnsi="Times New Roman" w:cs="Times New Roman"/>
                <w:color w:val="000000" w:themeColor="text1"/>
                <w:sz w:val="28"/>
                <w:szCs w:val="28"/>
                <w14:textFill>
                  <w14:solidFill>
                    <w14:schemeClr w14:val="tx1"/>
                  </w14:solidFill>
                </w14:textFill>
              </w:rPr>
              <w:t>深化投资审批制度改革，推行区域评估，简化整合项目报建手续。深化投资项目在线审批监管平台应用，推进</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全程网办</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一网通办</w:t>
            </w:r>
            <w:r>
              <w:rPr>
                <w:rStyle w:val="37"/>
                <w:rFonts w:hint="default" w:ascii="仿宋" w:hAnsi="仿宋" w:eastAsia="仿宋" w:cs="Times New Roman"/>
                <w:color w:val="000000" w:themeColor="text1"/>
                <w:sz w:val="28"/>
                <w:szCs w:val="28"/>
                <w14:textFill>
                  <w14:solidFill>
                    <w14:schemeClr w14:val="tx1"/>
                  </w14:solidFill>
                </w14:textFill>
              </w:rPr>
              <w:t>”</w:t>
            </w:r>
            <w:r>
              <w:rPr>
                <w:rStyle w:val="37"/>
                <w:rFonts w:hint="default" w:ascii="Times New Roman" w:hAnsi="Times New Roman" w:cs="Times New Roman"/>
                <w:color w:val="000000" w:themeColor="text1"/>
                <w:sz w:val="28"/>
                <w:szCs w:val="28"/>
                <w14:textFill>
                  <w14:solidFill>
                    <w14:schemeClr w14:val="tx1"/>
                  </w14:solidFill>
                </w14:textFill>
              </w:rPr>
              <w:t>。坚持要素跟着项目走，推动重大项目物流通、资金通、人员通、政策通。完善重大项目落地协调机制。</w:t>
            </w:r>
          </w:p>
        </w:tc>
      </w:tr>
    </w:tbl>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br w:type="page"/>
      </w:r>
    </w:p>
    <w:p>
      <w:pPr>
        <w:rPr>
          <w:rFonts w:ascii="Times New Roman" w:hAnsi="Times New Roman" w:cs="Times New Roman"/>
        </w:rPr>
      </w:pPr>
      <w:bookmarkStart w:id="1384" w:name="_Toc18739"/>
      <w:bookmarkStart w:id="1385" w:name="_Toc13065"/>
      <w:bookmarkStart w:id="1386" w:name="_Toc9447"/>
      <w:bookmarkStart w:id="1387" w:name="_Toc11463"/>
      <w:bookmarkStart w:id="1388" w:name="_Toc5149"/>
      <w:bookmarkStart w:id="1389" w:name="_Toc10694"/>
      <w:bookmarkStart w:id="1390" w:name="_Toc9063"/>
      <w:bookmarkStart w:id="1391" w:name="_Toc2813"/>
      <w:bookmarkStart w:id="1392" w:name="_Toc32325"/>
      <w:bookmarkStart w:id="1393" w:name="_Toc26031"/>
      <w:bookmarkStart w:id="1394" w:name="_Toc24221"/>
      <w:bookmarkStart w:id="1395" w:name="_Toc3067"/>
      <w:bookmarkStart w:id="1396" w:name="_Toc30517"/>
      <w:bookmarkStart w:id="1397" w:name="_Toc9436"/>
      <w:bookmarkStart w:id="1398" w:name="_Toc23928"/>
      <w:bookmarkStart w:id="1399" w:name="_Toc20137"/>
      <w:bookmarkStart w:id="1400" w:name="_Toc6082"/>
      <w:bookmarkStart w:id="1401" w:name="_Toc19101"/>
      <w:bookmarkStart w:id="1402" w:name="_Toc12812"/>
      <w:bookmarkStart w:id="1403" w:name="_Toc8560"/>
      <w:bookmarkStart w:id="1404" w:name="_Toc17241"/>
      <w:bookmarkStart w:id="1405" w:name="_Toc16768"/>
      <w:bookmarkStart w:id="1406" w:name="_Toc21654"/>
      <w:bookmarkStart w:id="1407" w:name="_Toc1397"/>
      <w:bookmarkStart w:id="1408" w:name="_Toc8192"/>
      <w:bookmarkStart w:id="1409" w:name="_Toc16912"/>
      <w:bookmarkStart w:id="1410" w:name="_Toc722"/>
      <w:bookmarkStart w:id="1411" w:name="_Toc2835"/>
      <w:bookmarkStart w:id="1412" w:name="_Toc19465"/>
      <w:bookmarkStart w:id="1413" w:name="_Toc13783"/>
      <w:bookmarkStart w:id="1414" w:name="_Toc11487"/>
      <w:bookmarkStart w:id="1415" w:name="_Toc31140"/>
    </w:p>
    <w:p>
      <w:pPr>
        <w:pStyle w:val="3"/>
        <w:widowControl w:val="0"/>
        <w:spacing w:before="0" w:after="0" w:line="560" w:lineRule="exact"/>
        <w:rPr>
          <w:rFonts w:ascii="Times New Roman" w:hAnsi="Times New Roman" w:cs="Times New Roman"/>
          <w:color w:val="000000" w:themeColor="text1"/>
          <w14:textFill>
            <w14:solidFill>
              <w14:schemeClr w14:val="tx1"/>
            </w14:solidFill>
          </w14:textFill>
        </w:rPr>
      </w:pPr>
      <w:bookmarkStart w:id="1416" w:name="_Toc6834"/>
      <w:bookmarkStart w:id="1417" w:name="_Toc26773"/>
      <w:bookmarkStart w:id="1418" w:name="_Toc16627"/>
      <w:bookmarkStart w:id="1419" w:name="_Toc3289"/>
      <w:bookmarkStart w:id="1420" w:name="_Toc3409"/>
      <w:r>
        <w:rPr>
          <w:rFonts w:ascii="Times New Roman" w:hAnsi="Times New Roman" w:cs="Times New Roman"/>
          <w:color w:val="000000" w:themeColor="text1"/>
          <w14:textFill>
            <w14:solidFill>
              <w14:schemeClr w14:val="tx1"/>
            </w14:solidFill>
          </w14:textFill>
        </w:rPr>
        <w:t xml:space="preserve">第八章 </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推进乡村振兴 加快农业农村现代化</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坚持把解决好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三农</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问题作为重中之重，坚持农业优先发展，全面实施乡村振兴战略，强化以工补农、以城带乡，推动城乡融合发展，加快农业农村现代化。</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421" w:name="_Toc20231"/>
      <w:bookmarkStart w:id="1422" w:name="_Toc11267"/>
      <w:bookmarkStart w:id="1423" w:name="_Toc31440"/>
      <w:bookmarkStart w:id="1424" w:name="_Toc5640"/>
      <w:bookmarkStart w:id="1425" w:name="_Toc4444"/>
      <w:bookmarkStart w:id="1426" w:name="_Toc27985"/>
      <w:bookmarkStart w:id="1427" w:name="_Toc7759"/>
      <w:bookmarkStart w:id="1428" w:name="_Toc13663"/>
      <w:bookmarkStart w:id="1429" w:name="_Toc26415"/>
      <w:bookmarkStart w:id="1430" w:name="_Toc26098"/>
      <w:bookmarkStart w:id="1431" w:name="_Toc14143"/>
      <w:bookmarkStart w:id="1432" w:name="_Toc31881"/>
      <w:bookmarkStart w:id="1433" w:name="_Toc21207"/>
      <w:bookmarkStart w:id="1434" w:name="_Toc14517"/>
      <w:bookmarkStart w:id="1435" w:name="_Toc27979"/>
      <w:bookmarkStart w:id="1436" w:name="_Toc17358"/>
      <w:bookmarkStart w:id="1437" w:name="_Toc2218"/>
      <w:bookmarkStart w:id="1438" w:name="_Toc14858"/>
      <w:bookmarkStart w:id="1439" w:name="_Toc7630"/>
      <w:bookmarkStart w:id="1440" w:name="_Toc28197"/>
      <w:bookmarkStart w:id="1441" w:name="_Toc5320"/>
      <w:bookmarkStart w:id="1442" w:name="_Toc16549"/>
      <w:bookmarkStart w:id="1443" w:name="_Toc28669"/>
      <w:bookmarkStart w:id="1444" w:name="_Toc7126"/>
      <w:bookmarkStart w:id="1445" w:name="_Toc18529"/>
      <w:bookmarkStart w:id="1446" w:name="_Toc2854"/>
      <w:bookmarkStart w:id="1447" w:name="_Toc6540"/>
      <w:bookmarkStart w:id="1448" w:name="_Toc17918"/>
      <w:bookmarkStart w:id="1449" w:name="_Toc32074"/>
      <w:bookmarkStart w:id="1450" w:name="_Toc15096"/>
      <w:bookmarkStart w:id="1451" w:name="_Toc27596"/>
      <w:bookmarkStart w:id="1452" w:name="_Toc3525"/>
      <w:bookmarkStart w:id="1453" w:name="_Toc11353"/>
      <w:bookmarkStart w:id="1454" w:name="_Toc25630"/>
      <w:bookmarkStart w:id="1455" w:name="_Toc27413"/>
      <w:bookmarkStart w:id="1456" w:name="_Toc7269"/>
      <w:bookmarkStart w:id="1457" w:name="_Toc3590"/>
      <w:r>
        <w:rPr>
          <w:rFonts w:ascii="Times New Roman" w:hAnsi="Times New Roman" w:cs="Times New Roman"/>
          <w:color w:val="000000" w:themeColor="text1"/>
          <w:szCs w:val="32"/>
          <w14:textFill>
            <w14:solidFill>
              <w14:schemeClr w14:val="tx1"/>
            </w14:solidFill>
          </w14:textFill>
        </w:rPr>
        <w:t>第一节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做强乡村振兴产业支撑</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pPr>
        <w:widowControl w:val="0"/>
        <w:adjustRightInd/>
        <w:snapToGrid/>
        <w:spacing w:before="0" w:after="0" w:line="560" w:lineRule="exact"/>
        <w:ind w:firstLine="640"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以</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六大强农</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行动为抓手，突出龙头企业带动作用，打造优质农副产品供应基地，建设现代特色农业产业园，推进绿色食品加工业全产业链发展，把农业和农产品精深加工业打造成过千亿产业集群。</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推进特色强农行动。</w:t>
      </w:r>
      <w:r>
        <w:rPr>
          <w:rFonts w:ascii="Times New Roman" w:hAnsi="Times New Roman" w:eastAsia="仿宋_GB2312" w:cs="Times New Roman"/>
          <w:bCs/>
          <w:color w:val="000000" w:themeColor="text1"/>
          <w:sz w:val="32"/>
          <w:szCs w:val="32"/>
          <w14:textFill>
            <w14:solidFill>
              <w14:schemeClr w14:val="tx1"/>
            </w14:solidFill>
          </w14:textFill>
        </w:rPr>
        <w:t>大力实施</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一县一特</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战略，推进邵东和隆回中药材、隆回和新邵富硒农产品、新邵玫瑰花、洞口雪峰蜜桔和茶叶、邵阳县油茶、城步乳业和有机蔬菜、武冈卤制品和铜鹅、新宁脐橙、绥宁楠竹</w:t>
      </w:r>
      <w:r>
        <w:rPr>
          <w:rFonts w:hint="eastAsia" w:ascii="Times New Roman" w:hAnsi="Times New Roman" w:eastAsia="仿宋_GB2312"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sz w:val="32"/>
          <w:szCs w:val="32"/>
        </w:rPr>
        <w:t>隆回、新宁</w:t>
      </w:r>
      <w:r>
        <w:rPr>
          <w:rFonts w:hint="eastAsia" w:ascii="Times New Roman" w:hAnsi="Times New Roman" w:eastAsia="仿宋_GB2312" w:cs="Times New Roman"/>
          <w:bCs/>
          <w:color w:val="000000" w:themeColor="text1"/>
          <w:sz w:val="32"/>
          <w:szCs w:val="32"/>
          <w14:textFill>
            <w14:solidFill>
              <w14:schemeClr w14:val="tx1"/>
            </w14:solidFill>
          </w14:textFill>
        </w:rPr>
        <w:t>和</w:t>
      </w:r>
      <w:r>
        <w:rPr>
          <w:rFonts w:ascii="Times New Roman" w:hAnsi="Times New Roman" w:eastAsia="仿宋_GB2312" w:cs="Times New Roman"/>
          <w:bCs/>
          <w:color w:val="000000"/>
          <w:sz w:val="32"/>
          <w:szCs w:val="32"/>
        </w:rPr>
        <w:t>邵阳县烟叶</w:t>
      </w:r>
      <w:r>
        <w:rPr>
          <w:rFonts w:ascii="Times New Roman" w:hAnsi="Times New Roman" w:eastAsia="仿宋_GB2312" w:cs="Times New Roman"/>
          <w:bCs/>
          <w:color w:val="000000" w:themeColor="text1"/>
          <w:sz w:val="32"/>
          <w:szCs w:val="32"/>
          <w14:textFill>
            <w14:solidFill>
              <w14:schemeClr w14:val="tx1"/>
            </w14:solidFill>
          </w14:textFill>
        </w:rPr>
        <w:t>等优势特色产业实现新发展。优化农业产业布局，打造以城镇蔬菜、时鲜水果、花卉苗木为特色的中部农业产业带，以优质稻、水产养殖、药材、油茶、休闲为特色的东南部农业产业带，以茶叶、生猪、奶业、脐橙为特色的西北部农业产业带。力争茶叶、油茶、</w:t>
      </w:r>
      <w:r>
        <w:rPr>
          <w:rFonts w:hint="eastAsia" w:ascii="Times New Roman" w:hAnsi="Times New Roman" w:eastAsia="仿宋_GB2312" w:cs="Times New Roman"/>
          <w:bCs/>
          <w:color w:val="000000" w:themeColor="text1"/>
          <w:sz w:val="32"/>
          <w:szCs w:val="32"/>
          <w14:textFill>
            <w14:solidFill>
              <w14:schemeClr w14:val="tx1"/>
            </w14:solidFill>
          </w14:textFill>
        </w:rPr>
        <w:t>油菜、水果、</w:t>
      </w:r>
      <w:r>
        <w:rPr>
          <w:rFonts w:ascii="Times New Roman" w:hAnsi="Times New Roman" w:eastAsia="仿宋_GB2312" w:cs="Times New Roman"/>
          <w:bCs/>
          <w:color w:val="000000" w:themeColor="text1"/>
          <w:sz w:val="32"/>
          <w:szCs w:val="32"/>
          <w14:textFill>
            <w14:solidFill>
              <w14:schemeClr w14:val="tx1"/>
            </w14:solidFill>
          </w14:textFill>
        </w:rPr>
        <w:t>中药材、楠竹、</w:t>
      </w:r>
      <w:r>
        <w:rPr>
          <w:rFonts w:hint="eastAsia" w:ascii="Times New Roman" w:hAnsi="Times New Roman" w:eastAsia="仿宋_GB2312" w:cs="Times New Roman"/>
          <w:bCs/>
          <w:color w:val="000000" w:themeColor="text1"/>
          <w:sz w:val="32"/>
          <w:szCs w:val="32"/>
          <w14:textFill>
            <w14:solidFill>
              <w14:schemeClr w14:val="tx1"/>
            </w14:solidFill>
          </w14:textFill>
        </w:rPr>
        <w:t>畜牧、蔬菜、家禽、水产</w:t>
      </w:r>
      <w:r>
        <w:rPr>
          <w:rFonts w:ascii="Times New Roman" w:hAnsi="Times New Roman" w:eastAsia="仿宋_GB2312" w:cs="Times New Roman"/>
          <w:bCs/>
          <w:color w:val="000000" w:themeColor="text1"/>
          <w:sz w:val="32"/>
          <w:szCs w:val="32"/>
          <w14:textFill>
            <w14:solidFill>
              <w14:schemeClr w14:val="tx1"/>
            </w14:solidFill>
          </w14:textFill>
        </w:rPr>
        <w:t>等特色优势产业</w:t>
      </w:r>
      <w:r>
        <w:rPr>
          <w:rFonts w:hint="eastAsia" w:ascii="Times New Roman" w:hAnsi="Times New Roman" w:eastAsia="仿宋_GB2312" w:cs="Times New Roman"/>
          <w:bCs/>
          <w:color w:val="000000" w:themeColor="text1"/>
          <w:sz w:val="32"/>
          <w:szCs w:val="32"/>
          <w14:textFill>
            <w14:solidFill>
              <w14:schemeClr w14:val="tx1"/>
            </w14:solidFill>
          </w14:textFill>
        </w:rPr>
        <w:t>均</w:t>
      </w:r>
      <w:r>
        <w:rPr>
          <w:rFonts w:ascii="Times New Roman" w:hAnsi="Times New Roman" w:eastAsia="仿宋_GB2312" w:cs="Times New Roman"/>
          <w:bCs/>
          <w:color w:val="000000" w:themeColor="text1"/>
          <w:sz w:val="32"/>
          <w:szCs w:val="32"/>
          <w14:textFill>
            <w14:solidFill>
              <w14:schemeClr w14:val="tx1"/>
            </w14:solidFill>
          </w14:textFill>
        </w:rPr>
        <w:t>实现百亿发展目标。</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推进品牌强农行动。</w:t>
      </w:r>
      <w:r>
        <w:rPr>
          <w:rFonts w:ascii="Times New Roman" w:hAnsi="Times New Roman" w:eastAsia="仿宋_GB2312" w:cs="Times New Roman"/>
          <w:bCs/>
          <w:color w:val="000000" w:themeColor="text1"/>
          <w:sz w:val="32"/>
          <w:szCs w:val="32"/>
          <w14:textFill>
            <w14:solidFill>
              <w14:schemeClr w14:val="tx1"/>
            </w14:solidFill>
          </w14:textFill>
        </w:rPr>
        <w:t>坚持以</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同一区域、同一产业、同一品牌</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为导向，打造</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邵阳红</w:t>
      </w:r>
      <w:r>
        <w:rPr>
          <w:rFonts w:hint="eastAsia" w:ascii="仿宋" w:hAnsi="仿宋" w:cs="Times New Roman"/>
          <w:bCs/>
          <w:color w:val="000000" w:themeColor="text1"/>
          <w:sz w:val="32"/>
          <w:szCs w:val="32"/>
          <w:lang w:val="zh-TW"/>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农产品区域公用品牌。做大做强邵东玉竹和黄花菜、新邵玉竹、隆回金银花和龙牙百合、洞口雪峰蜜桔、绥宁青钱柳茶和绞股蓝、武冈铜鹅和卤菜、城步南山鲜奶和峒茶、新宁崀山脐橙和博落回（药材）、邵阳茶油、湘村黑猪、大祥宝庆朝天椒等县级农产品区域公用品牌。到2025年，培育10个湖南十大区域公用品牌、10个湖南十大农业企业品牌和10个湖南十大农业特色品牌，全市农产品品牌优质率达90%以上。</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推进质量强农行动。</w:t>
      </w:r>
      <w:r>
        <w:rPr>
          <w:rFonts w:ascii="Times New Roman" w:hAnsi="Times New Roman" w:eastAsia="仿宋_GB2312" w:cs="Times New Roman"/>
          <w:bCs/>
          <w:color w:val="000000" w:themeColor="text1"/>
          <w:sz w:val="32"/>
          <w:szCs w:val="32"/>
          <w14:textFill>
            <w14:solidFill>
              <w14:schemeClr w14:val="tx1"/>
            </w14:solidFill>
          </w14:textFill>
        </w:rPr>
        <w:t>围绕保障农产品的有效供给和质量安全，构建科学有效的农产品质量安全生产和监管机制。推进</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两证一追溯</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农产品质量安全体系，加强重大动植物疫情预警体系和防疫体系建设。建立标准化农产品生产基地45</w:t>
      </w:r>
      <w:r>
        <w:rPr>
          <w:rFonts w:ascii="Times New Roman" w:hAnsi="Times New Roman" w:eastAsia="仿宋_GB2312" w:cs="Times New Roman"/>
          <w:bCs/>
          <w:color w:val="000000" w:themeColor="text1"/>
          <w:sz w:val="32"/>
          <w:szCs w:val="32"/>
          <w:lang w:val="zh-TW"/>
          <w14:textFill>
            <w14:solidFill>
              <w14:schemeClr w14:val="tx1"/>
            </w14:solidFill>
          </w14:textFill>
        </w:rPr>
        <w:t>0</w:t>
      </w:r>
      <w:r>
        <w:rPr>
          <w:rFonts w:ascii="Times New Roman" w:hAnsi="Times New Roman" w:eastAsia="仿宋_GB2312" w:cs="Times New Roman"/>
          <w:bCs/>
          <w:color w:val="000000" w:themeColor="text1"/>
          <w:sz w:val="32"/>
          <w:szCs w:val="32"/>
          <w14:textFill>
            <w14:solidFill>
              <w14:schemeClr w14:val="tx1"/>
            </w14:solidFill>
          </w14:textFill>
        </w:rPr>
        <w:t>万亩，开展果菜茶有机肥替代化肥行动，实施病虫害绿色防控和专业化统防统治，全力打造农产品质量安全示范市。到2025年，全市</w:t>
      </w:r>
      <w:r>
        <w:rPr>
          <w:rFonts w:hint="eastAsia" w:ascii="仿宋" w:hAnsi="仿宋" w:cs="Times New Roman"/>
          <w:bCs/>
          <w:color w:val="000000" w:themeColor="text1"/>
          <w:sz w:val="32"/>
          <w:szCs w:val="32"/>
          <w:lang w:val="zh-TW"/>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两品一标</w:t>
      </w:r>
      <w:r>
        <w:rPr>
          <w:rFonts w:hint="eastAsia" w:ascii="仿宋" w:hAnsi="仿宋" w:cs="Times New Roman"/>
          <w:bCs/>
          <w:color w:val="000000" w:themeColor="text1"/>
          <w:sz w:val="32"/>
          <w:szCs w:val="32"/>
          <w:lang w:val="zh-TW"/>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认证产品达400个以上，创建</w:t>
      </w:r>
      <w:r>
        <w:rPr>
          <w:rFonts w:ascii="Times New Roman" w:hAnsi="Times New Roman" w:eastAsia="仿宋_GB2312" w:cs="Times New Roman"/>
          <w:bCs/>
          <w:color w:val="000000" w:themeColor="text1"/>
          <w:sz w:val="32"/>
          <w:szCs w:val="32"/>
          <w:lang w:val="zh-TW"/>
          <w14:textFill>
            <w14:solidFill>
              <w14:schemeClr w14:val="tx1"/>
            </w14:solidFill>
          </w14:textFill>
        </w:rPr>
        <w:t>5</w:t>
      </w:r>
      <w:r>
        <w:rPr>
          <w:rFonts w:ascii="Times New Roman" w:hAnsi="Times New Roman" w:eastAsia="仿宋_GB2312" w:cs="Times New Roman"/>
          <w:bCs/>
          <w:color w:val="000000" w:themeColor="text1"/>
          <w:sz w:val="32"/>
          <w:szCs w:val="32"/>
          <w14:textFill>
            <w14:solidFill>
              <w14:schemeClr w14:val="tx1"/>
            </w14:solidFill>
          </w14:textFill>
        </w:rPr>
        <w:t>个以上农产品质量安全县，争取全市90%以上规模生产经营主体纳入农产品质量追溯信息平台信息库。</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推进科技强农行动。</w:t>
      </w:r>
      <w:r>
        <w:rPr>
          <w:rFonts w:ascii="Times New Roman" w:hAnsi="Times New Roman" w:eastAsia="仿宋_GB2312" w:cs="Times New Roman"/>
          <w:bCs/>
          <w:color w:val="000000" w:themeColor="text1"/>
          <w:sz w:val="32"/>
          <w:szCs w:val="32"/>
          <w14:textFill>
            <w14:solidFill>
              <w14:schemeClr w14:val="tx1"/>
            </w14:solidFill>
          </w14:textFill>
        </w:rPr>
        <w:t>推进智慧农业发展，实现农业发展提质增效，构建现代农业科技创新体系与推广体系。大力推进科技兴粮兴储，齐心协力保障国家粮食安全。围绕优势特色农业产业，创建农业推广体系首席专家制度，建立一批研发基地，大力推进农业新技术、新品种、新模式的引进、示范和推广，加快农业提质增效。</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推进产业融合强农。</w:t>
      </w:r>
      <w:r>
        <w:rPr>
          <w:rFonts w:ascii="Times New Roman" w:hAnsi="Times New Roman" w:eastAsia="仿宋_GB2312" w:cs="Times New Roman"/>
          <w:bCs/>
          <w:color w:val="000000" w:themeColor="text1"/>
          <w:spacing w:val="-6"/>
          <w:sz w:val="32"/>
          <w:szCs w:val="32"/>
          <w14:textFill>
            <w14:solidFill>
              <w14:schemeClr w14:val="tx1"/>
            </w14:solidFill>
          </w14:textFill>
        </w:rPr>
        <w:t>实施三园一体（现代农业产业园、现代农业科技园、现代农业创业园、田园综合体）、两区两镇（产业集聚区、农产品优势区、特色小镇、产业强镇）建设工程，打造产业融合园区共享平台。以邵阳国家农业科技园区、双清区省级农业科技园区、洞口县农副产品直批电商综合博览园、邵阳油茶产业博览园等为重点，推进30个省级现代农业特色产业园、100个市级现代农业特色产业园建设。以打造区域品牌为核心，以</w:t>
      </w:r>
      <w:r>
        <w:rPr>
          <w:rFonts w:hint="eastAsia" w:ascii="仿宋" w:hAnsi="仿宋" w:cs="Times New Roman"/>
          <w:bCs/>
          <w:color w:val="000000" w:themeColor="text1"/>
          <w:spacing w:val="-6"/>
          <w:sz w:val="32"/>
          <w:szCs w:val="32"/>
          <w14:textFill>
            <w14:solidFill>
              <w14:schemeClr w14:val="tx1"/>
            </w14:solidFill>
          </w14:textFill>
        </w:rPr>
        <w:t>“</w:t>
      </w:r>
      <w:r>
        <w:rPr>
          <w:rFonts w:ascii="Times New Roman" w:hAnsi="Times New Roman" w:eastAsia="仿宋_GB2312" w:cs="Times New Roman"/>
          <w:bCs/>
          <w:color w:val="000000" w:themeColor="text1"/>
          <w:spacing w:val="-6"/>
          <w:sz w:val="32"/>
          <w:szCs w:val="32"/>
          <w14:textFill>
            <w14:solidFill>
              <w14:schemeClr w14:val="tx1"/>
            </w14:solidFill>
          </w14:textFill>
        </w:rPr>
        <w:t>园区</w:t>
      </w:r>
      <w:r>
        <w:rPr>
          <w:rFonts w:ascii="Times New Roman" w:hAnsi="Times New Roman" w:eastAsia="仿宋_GB2312" w:cs="Times New Roman"/>
          <w:bCs/>
          <w:color w:val="000000" w:themeColor="text1"/>
          <w:spacing w:val="-6"/>
          <w:sz w:val="32"/>
          <w:szCs w:val="32"/>
          <w:lang w:val="zh-TW"/>
          <w14:textFill>
            <w14:solidFill>
              <w14:schemeClr w14:val="tx1"/>
            </w14:solidFill>
          </w14:textFill>
        </w:rPr>
        <w:t>+</w:t>
      </w:r>
      <w:r>
        <w:rPr>
          <w:rFonts w:ascii="Times New Roman" w:hAnsi="Times New Roman" w:eastAsia="仿宋_GB2312" w:cs="Times New Roman"/>
          <w:bCs/>
          <w:color w:val="000000" w:themeColor="text1"/>
          <w:spacing w:val="-6"/>
          <w:sz w:val="32"/>
          <w:szCs w:val="32"/>
          <w14:textFill>
            <w14:solidFill>
              <w14:schemeClr w14:val="tx1"/>
            </w14:solidFill>
          </w14:textFill>
        </w:rPr>
        <w:t>协会</w:t>
      </w:r>
      <w:r>
        <w:rPr>
          <w:rFonts w:ascii="Times New Roman" w:hAnsi="Times New Roman" w:eastAsia="仿宋_GB2312" w:cs="Times New Roman"/>
          <w:bCs/>
          <w:color w:val="000000" w:themeColor="text1"/>
          <w:spacing w:val="-6"/>
          <w:sz w:val="32"/>
          <w:szCs w:val="32"/>
          <w:lang w:val="zh-TW"/>
          <w14:textFill>
            <w14:solidFill>
              <w14:schemeClr w14:val="tx1"/>
            </w14:solidFill>
          </w14:textFill>
        </w:rPr>
        <w:t>+</w:t>
      </w:r>
      <w:r>
        <w:rPr>
          <w:rFonts w:ascii="Times New Roman" w:hAnsi="Times New Roman" w:eastAsia="仿宋_GB2312" w:cs="Times New Roman"/>
          <w:bCs/>
          <w:color w:val="000000" w:themeColor="text1"/>
          <w:spacing w:val="-6"/>
          <w:sz w:val="32"/>
          <w:szCs w:val="32"/>
          <w14:textFill>
            <w14:solidFill>
              <w14:schemeClr w14:val="tx1"/>
            </w14:solidFill>
          </w14:textFill>
        </w:rPr>
        <w:t>企业</w:t>
      </w:r>
      <w:r>
        <w:rPr>
          <w:rFonts w:ascii="Times New Roman" w:hAnsi="Times New Roman" w:eastAsia="仿宋_GB2312" w:cs="Times New Roman"/>
          <w:bCs/>
          <w:color w:val="000000" w:themeColor="text1"/>
          <w:spacing w:val="-6"/>
          <w:sz w:val="32"/>
          <w:szCs w:val="32"/>
          <w:lang w:val="zh-TW"/>
          <w14:textFill>
            <w14:solidFill>
              <w14:schemeClr w14:val="tx1"/>
            </w14:solidFill>
          </w14:textFill>
        </w:rPr>
        <w:t>+</w:t>
      </w:r>
      <w:r>
        <w:rPr>
          <w:rFonts w:ascii="Times New Roman" w:hAnsi="Times New Roman" w:eastAsia="仿宋_GB2312" w:cs="Times New Roman"/>
          <w:bCs/>
          <w:color w:val="000000" w:themeColor="text1"/>
          <w:spacing w:val="-6"/>
          <w:sz w:val="32"/>
          <w:szCs w:val="32"/>
          <w14:textFill>
            <w14:solidFill>
              <w14:schemeClr w14:val="tx1"/>
            </w14:solidFill>
          </w14:textFill>
        </w:rPr>
        <w:t>合作社</w:t>
      </w:r>
      <w:r>
        <w:rPr>
          <w:rFonts w:ascii="Times New Roman" w:hAnsi="Times New Roman" w:eastAsia="仿宋_GB2312" w:cs="Times New Roman"/>
          <w:bCs/>
          <w:color w:val="000000" w:themeColor="text1"/>
          <w:spacing w:val="-6"/>
          <w:sz w:val="32"/>
          <w:szCs w:val="32"/>
          <w:lang w:val="zh-TW"/>
          <w14:textFill>
            <w14:solidFill>
              <w14:schemeClr w14:val="tx1"/>
            </w14:solidFill>
          </w14:textFill>
        </w:rPr>
        <w:t>+</w:t>
      </w:r>
      <w:r>
        <w:rPr>
          <w:rFonts w:ascii="Times New Roman" w:hAnsi="Times New Roman" w:eastAsia="仿宋_GB2312" w:cs="Times New Roman"/>
          <w:bCs/>
          <w:color w:val="000000" w:themeColor="text1"/>
          <w:spacing w:val="-6"/>
          <w:sz w:val="32"/>
          <w:szCs w:val="32"/>
          <w14:textFill>
            <w14:solidFill>
              <w14:schemeClr w14:val="tx1"/>
            </w14:solidFill>
          </w14:textFill>
        </w:rPr>
        <w:t>农户</w:t>
      </w:r>
      <w:r>
        <w:rPr>
          <w:rFonts w:hint="eastAsia" w:ascii="仿宋" w:hAnsi="仿宋" w:cs="Times New Roman"/>
          <w:bCs/>
          <w:color w:val="000000" w:themeColor="text1"/>
          <w:spacing w:val="-6"/>
          <w:sz w:val="32"/>
          <w:szCs w:val="32"/>
          <w14:textFill>
            <w14:solidFill>
              <w14:schemeClr w14:val="tx1"/>
            </w14:solidFill>
          </w14:textFill>
        </w:rPr>
        <w:t>”</w:t>
      </w:r>
      <w:r>
        <w:rPr>
          <w:rFonts w:ascii="Times New Roman" w:hAnsi="Times New Roman" w:eastAsia="仿宋_GB2312" w:cs="Times New Roman"/>
          <w:bCs/>
          <w:color w:val="000000" w:themeColor="text1"/>
          <w:spacing w:val="-6"/>
          <w:sz w:val="32"/>
          <w:szCs w:val="32"/>
          <w14:textFill>
            <w14:solidFill>
              <w14:schemeClr w14:val="tx1"/>
            </w14:solidFill>
          </w14:textFill>
        </w:rPr>
        <w:t>为模式，推动一二三产业深度融合。探索以生态田园为基地，以特色种植养殖为基础，以生态农业为引领，打造现代农业汇创基地、产业融合示范基地、乡村文化体验基地、乡居休闲度假基地。推动打造蔡锷故居生态博览田园综合体、西域香海田园综合体、白水洞田园综合体、坪山谏议书院文化博览田园综合体等田园综合体。</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推进开放强农行动。</w:t>
      </w:r>
      <w:r>
        <w:rPr>
          <w:rFonts w:ascii="Times New Roman" w:hAnsi="Times New Roman" w:eastAsia="仿宋_GB2312" w:cs="Times New Roman"/>
          <w:bCs/>
          <w:color w:val="000000" w:themeColor="text1"/>
          <w:sz w:val="32"/>
          <w:szCs w:val="32"/>
          <w14:textFill>
            <w14:solidFill>
              <w14:schemeClr w14:val="tx1"/>
            </w14:solidFill>
          </w14:textFill>
        </w:rPr>
        <w:t>推进</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米袋子</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肉铺子</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果篮子</w:t>
      </w:r>
      <w:r>
        <w:rPr>
          <w:rFonts w:hint="eastAsia" w:ascii="仿宋" w:hAnsi="仿宋" w:cs="Times New Roman"/>
          <w:bCs/>
          <w:color w:val="000000" w:themeColor="text1"/>
          <w:sz w:val="32"/>
          <w:szCs w:val="32"/>
          <w14:textFill>
            <w14:solidFill>
              <w14:schemeClr w14:val="tx1"/>
            </w14:solidFill>
          </w14:textFill>
        </w:rPr>
        <w:t>”“烟叶子”</w:t>
      </w:r>
      <w:r>
        <w:rPr>
          <w:rFonts w:ascii="Times New Roman" w:hAnsi="Times New Roman" w:eastAsia="仿宋_GB2312" w:cs="Times New Roman"/>
          <w:bCs/>
          <w:color w:val="000000" w:themeColor="text1"/>
          <w:sz w:val="32"/>
          <w:szCs w:val="32"/>
          <w14:textFill>
            <w14:solidFill>
              <w14:schemeClr w14:val="tx1"/>
            </w14:solidFill>
          </w14:textFill>
        </w:rPr>
        <w:t>基地建设，与粤港澳大湾区签订框架协议，力争20个以上农产品加入粤港澳大湾区</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菜篮子</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工程建设销售平台。鼓励区域公用品牌走出去，积极参加农产品交易会、博览会、展示展销会和产销对接会，加快拓展</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一带一路</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沿线市场。举办产销对接活动和农事文化节会，搭建对外开放平台，主动拓展市场。</w:t>
      </w:r>
    </w:p>
    <w:p>
      <w:pPr>
        <w:pStyle w:val="2"/>
      </w:pPr>
    </w:p>
    <w:tbl>
      <w:tblPr>
        <w:tblStyle w:val="1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5000" w:type="pct"/>
            <w:tcBorders>
              <w:tl2br w:val="nil"/>
              <w:tr2bl w:val="nil"/>
            </w:tcBorders>
            <w:shd w:val="clear" w:color="auto" w:fill="auto"/>
            <w:tcMar>
              <w:top w:w="12" w:type="dxa"/>
              <w:left w:w="12" w:type="dxa"/>
              <w:right w:w="12" w:type="dxa"/>
            </w:tcMar>
            <w:vAlign w:val="center"/>
          </w:tcPr>
          <w:p>
            <w:pPr>
              <w:spacing w:before="0" w:after="0" w:line="579" w:lineRule="exact"/>
              <w:ind w:firstLine="640" w:firstLineChars="200"/>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专栏16：乡村振兴产业支撑行动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95" w:hRule="atLeast"/>
        </w:trPr>
        <w:tc>
          <w:tcPr>
            <w:tcW w:w="5000" w:type="pct"/>
            <w:tcBorders>
              <w:tl2br w:val="nil"/>
              <w:tr2bl w:val="nil"/>
            </w:tcBorders>
            <w:shd w:val="clear" w:color="auto" w:fill="auto"/>
            <w:tcMar>
              <w:top w:w="12" w:type="dxa"/>
              <w:left w:w="12" w:type="dxa"/>
              <w:right w:w="12" w:type="dxa"/>
            </w:tcMar>
            <w:vAlign w:val="center"/>
          </w:tcPr>
          <w:p>
            <w:pPr>
              <w:spacing w:before="0" w:after="0" w:line="560" w:lineRule="exact"/>
              <w:ind w:firstLine="562" w:firstLineChars="200"/>
              <w:jc w:val="both"/>
              <w:textAlignment w:val="center"/>
              <w:rPr>
                <w:rFonts w:hint="eastAsia" w:ascii="Times New Roman" w:hAnsi="Times New Roman" w:eastAsia="宋体" w:cs="Times New Roman"/>
                <w:color w:val="000000" w:themeColor="text1"/>
                <w:szCs w:val="28"/>
                <w:lang w:eastAsia="zh-CN"/>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经济作物培育工程：</w:t>
            </w:r>
            <w:r>
              <w:rPr>
                <w:rFonts w:ascii="Times New Roman" w:hAnsi="Times New Roman" w:eastAsia="宋体" w:cs="Times New Roman"/>
                <w:color w:val="000000" w:themeColor="text1"/>
                <w:szCs w:val="28"/>
                <w14:textFill>
                  <w14:solidFill>
                    <w14:schemeClr w14:val="tx1"/>
                  </w14:solidFill>
                </w14:textFill>
              </w:rPr>
              <w:t>到2025年，蔬菜播种面积达230万亩，建成105万亩特色蔬菜基地；高产油茶基地面积增加100万亩；油菜播种面积达到180万亩；各种中药材栽培面积达到1</w:t>
            </w:r>
            <w:r>
              <w:rPr>
                <w:rFonts w:hint="eastAsia" w:ascii="Times New Roman" w:hAnsi="Times New Roman" w:eastAsia="宋体" w:cs="Times New Roman"/>
                <w:color w:val="000000" w:themeColor="text1"/>
                <w:szCs w:val="28"/>
                <w14:textFill>
                  <w14:solidFill>
                    <w14:schemeClr w14:val="tx1"/>
                  </w14:solidFill>
                </w14:textFill>
              </w:rPr>
              <w:t>3</w:t>
            </w:r>
            <w:r>
              <w:rPr>
                <w:rFonts w:ascii="Times New Roman" w:hAnsi="Times New Roman" w:eastAsia="宋体" w:cs="Times New Roman"/>
                <w:color w:val="000000" w:themeColor="text1"/>
                <w:szCs w:val="28"/>
                <w14:textFill>
                  <w14:solidFill>
                    <w14:schemeClr w14:val="tx1"/>
                  </w14:solidFill>
                </w14:textFill>
              </w:rPr>
              <w:t>0万亩；茶叶达到45万亩；水果种植面积达到1</w:t>
            </w:r>
            <w:r>
              <w:rPr>
                <w:rFonts w:hint="eastAsia" w:ascii="Times New Roman" w:hAnsi="Times New Roman" w:eastAsia="宋体" w:cs="Times New Roman"/>
                <w:color w:val="000000" w:themeColor="text1"/>
                <w:szCs w:val="28"/>
                <w14:textFill>
                  <w14:solidFill>
                    <w14:schemeClr w14:val="tx1"/>
                  </w14:solidFill>
                </w14:textFill>
              </w:rPr>
              <w:t>5</w:t>
            </w:r>
            <w:r>
              <w:rPr>
                <w:rFonts w:ascii="Times New Roman" w:hAnsi="Times New Roman" w:eastAsia="宋体" w:cs="Times New Roman"/>
                <w:color w:val="000000" w:themeColor="text1"/>
                <w:szCs w:val="28"/>
                <w14:textFill>
                  <w14:solidFill>
                    <w14:schemeClr w14:val="tx1"/>
                  </w14:solidFill>
                </w14:textFill>
              </w:rPr>
              <w:t>0万亩，建成80万亩标准化果园；楠竹种植面积达到255万亩；</w:t>
            </w:r>
            <w:r>
              <w:rPr>
                <w:rFonts w:ascii="Times New Roman" w:hAnsi="Times New Roman" w:eastAsia="宋体" w:cs="Times New Roman"/>
                <w:color w:val="000000"/>
                <w:szCs w:val="28"/>
              </w:rPr>
              <w:t>烟叶种植达到面积8万亩；</w:t>
            </w:r>
            <w:r>
              <w:rPr>
                <w:rFonts w:ascii="Times New Roman" w:hAnsi="Times New Roman" w:eastAsia="宋体" w:cs="Times New Roman"/>
                <w:color w:val="000000" w:themeColor="text1"/>
                <w:szCs w:val="28"/>
                <w14:textFill>
                  <w14:solidFill>
                    <w14:schemeClr w14:val="tx1"/>
                  </w14:solidFill>
                </w14:textFill>
              </w:rPr>
              <w:t>草食畜牧出栏量达到100万头以上，生猪供应稳定在950万头以上。</w:t>
            </w:r>
          </w:p>
          <w:p>
            <w:pPr>
              <w:spacing w:before="0" w:after="0" w:line="560" w:lineRule="exact"/>
              <w:ind w:firstLine="560" w:firstLineChars="200"/>
              <w:jc w:val="both"/>
              <w:textAlignment w:val="center"/>
              <w:rPr>
                <w:rFonts w:hint="eastAsia" w:ascii="Times New Roman" w:hAnsi="Times New Roman" w:eastAsia="宋体" w:cs="Times New Roman"/>
                <w:color w:val="000000" w:themeColor="text1"/>
                <w:szCs w:val="28"/>
                <w:lang w:eastAsia="zh-CN"/>
                <w14:textFill>
                  <w14:solidFill>
                    <w14:schemeClr w14:val="tx1"/>
                  </w14:solidFill>
                </w14:textFill>
              </w:rPr>
            </w:pP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重点农业园区建设工程：</w:t>
            </w:r>
            <w:r>
              <w:rPr>
                <w:rFonts w:ascii="Times New Roman" w:hAnsi="Times New Roman" w:eastAsia="宋体" w:cs="Times New Roman"/>
                <w:color w:val="000000" w:themeColor="text1"/>
                <w:szCs w:val="28"/>
                <w14:textFill>
                  <w14:solidFill>
                    <w14:schemeClr w14:val="tx1"/>
                  </w14:solidFill>
                </w14:textFill>
              </w:rPr>
              <w:t>加快推进邵阳国家农业科技园、湘西南园林植物（花卉）科技示范园、武冈市农业科技园、绥宁县关峡现代农业产业示范园、双清区省级农业科技园、邵阳县油茶国家现代农业产业园、隆回县龙牙百合综合示范产业园、中国渔业繁殖谷等项目建设实施。</w:t>
            </w:r>
          </w:p>
          <w:p>
            <w:pPr>
              <w:spacing w:before="0" w:after="0" w:line="560" w:lineRule="exact"/>
              <w:ind w:firstLine="560"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 xml:space="preserve">   </w:t>
            </w:r>
            <w:r>
              <w:rPr>
                <w:rFonts w:hint="eastAsia"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color w:val="000000" w:themeColor="text1"/>
                <w:szCs w:val="28"/>
                <w14:textFill>
                  <w14:solidFill>
                    <w14:schemeClr w14:val="tx1"/>
                  </w14:solidFill>
                </w14:textFill>
              </w:rPr>
              <w:t xml:space="preserve"> </w:t>
            </w:r>
            <w:r>
              <w:rPr>
                <w:rFonts w:ascii="Times New Roman" w:hAnsi="Times New Roman" w:eastAsia="宋体" w:cs="Times New Roman"/>
                <w:b/>
                <w:bCs/>
                <w:color w:val="000000" w:themeColor="text1"/>
                <w:szCs w:val="28"/>
                <w14:textFill>
                  <w14:solidFill>
                    <w14:schemeClr w14:val="tx1"/>
                  </w14:solidFill>
                </w14:textFill>
              </w:rPr>
              <w:t>龙头企业培育工程：</w:t>
            </w:r>
            <w:r>
              <w:rPr>
                <w:rFonts w:ascii="Times New Roman" w:hAnsi="Times New Roman" w:eastAsia="宋体" w:cs="Times New Roman"/>
                <w:color w:val="000000" w:themeColor="text1"/>
                <w:szCs w:val="28"/>
                <w14:textFill>
                  <w14:solidFill>
                    <w14:schemeClr w14:val="tx1"/>
                  </w14:solidFill>
                </w14:textFill>
              </w:rPr>
              <w:t>培育国家级农业产业化龙头企业5家以上，省级农业产业化龙头企业15家以上，全市建有专门研发机构的农业企业50家以上，获得省级以上高新技术认证农业企业20家以上，在省区域性股权交易市场(简称</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四板</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)挂牌交易的涉农企业10家以上，实现农产品年销售额过亿元企业15家以上。</w:t>
            </w:r>
          </w:p>
          <w:p>
            <w:pPr>
              <w:spacing w:before="0" w:after="0" w:line="56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林下经济培育工程：</w:t>
            </w:r>
            <w:r>
              <w:rPr>
                <w:rFonts w:ascii="Times New Roman" w:hAnsi="Times New Roman" w:eastAsia="宋体" w:cs="Times New Roman"/>
                <w:color w:val="000000" w:themeColor="text1"/>
                <w:szCs w:val="28"/>
                <w14:textFill>
                  <w14:solidFill>
                    <w14:schemeClr w14:val="tx1"/>
                  </w14:solidFill>
                </w14:textFill>
              </w:rPr>
              <w:t>规划建设邵阳市木本粮油生产示范产业园，培育一批木本粮油和林下经济龙头企业，积极发展家庭林场、林业专业合作社、股份合作林场等经营主体。</w:t>
            </w:r>
          </w:p>
        </w:tc>
      </w:tr>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458" w:name="_Toc21191"/>
      <w:bookmarkStart w:id="1459" w:name="_Toc26367"/>
      <w:bookmarkStart w:id="1460" w:name="_Toc275"/>
      <w:bookmarkStart w:id="1461" w:name="_Toc28102"/>
      <w:bookmarkStart w:id="1462" w:name="_Toc25965"/>
      <w:bookmarkStart w:id="1463" w:name="_Toc7128"/>
      <w:bookmarkStart w:id="1464" w:name="_Toc5057"/>
      <w:bookmarkStart w:id="1465" w:name="_Toc28990"/>
      <w:bookmarkStart w:id="1466" w:name="_Toc30333"/>
      <w:bookmarkStart w:id="1467" w:name="_Toc27895"/>
      <w:bookmarkStart w:id="1468" w:name="_Toc11943"/>
      <w:bookmarkStart w:id="1469" w:name="_Toc12897"/>
      <w:bookmarkStart w:id="1470" w:name="_Toc8838"/>
      <w:bookmarkStart w:id="1471" w:name="_Toc28018"/>
      <w:bookmarkStart w:id="1472" w:name="_Toc25642"/>
      <w:bookmarkStart w:id="1473" w:name="_Toc25665"/>
      <w:bookmarkStart w:id="1474" w:name="_Toc16043"/>
      <w:bookmarkStart w:id="1475" w:name="_Toc31692"/>
      <w:bookmarkStart w:id="1476" w:name="_Toc4817"/>
      <w:bookmarkStart w:id="1477" w:name="_Toc29645"/>
      <w:bookmarkStart w:id="1478" w:name="_Toc2948"/>
      <w:bookmarkStart w:id="1479" w:name="_Toc25806"/>
      <w:bookmarkStart w:id="1480" w:name="_Toc27918"/>
      <w:bookmarkStart w:id="1481" w:name="_Toc30426"/>
      <w:bookmarkStart w:id="1482" w:name="_Toc18279"/>
      <w:bookmarkStart w:id="1483" w:name="_Toc18385"/>
      <w:bookmarkStart w:id="1484" w:name="_Toc1013"/>
      <w:bookmarkStart w:id="1485" w:name="_Toc10056"/>
      <w:bookmarkStart w:id="1486" w:name="_Toc15269"/>
      <w:bookmarkStart w:id="1487" w:name="_Toc25185"/>
      <w:bookmarkStart w:id="1488" w:name="_Toc29695"/>
      <w:bookmarkStart w:id="1489" w:name="_Toc15436"/>
      <w:bookmarkStart w:id="1490" w:name="_Toc20211"/>
      <w:bookmarkStart w:id="1491" w:name="_Toc18085"/>
      <w:bookmarkStart w:id="1492" w:name="_Toc19976"/>
      <w:bookmarkStart w:id="1493" w:name="_Toc18986"/>
      <w:bookmarkStart w:id="1494" w:name="_Toc32609"/>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完善乡村振兴基础保障</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着力抓重点、补短板、强弱项，组织实施农村基础设施提升行动，完善乡村振兴基础保障。</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提高农村交通物流设施水平。</w:t>
      </w:r>
      <w:r>
        <w:rPr>
          <w:rFonts w:ascii="Times New Roman" w:hAnsi="Times New Roman" w:eastAsia="仿宋_GB2312" w:cs="Times New Roman"/>
          <w:bCs/>
          <w:color w:val="000000" w:themeColor="text1"/>
          <w:sz w:val="32"/>
          <w:szCs w:val="32"/>
          <w14:textFill>
            <w14:solidFill>
              <w14:schemeClr w14:val="tx1"/>
            </w14:solidFill>
          </w14:textFill>
        </w:rPr>
        <w:t>重点建设市区与各县城、各乡镇的快捷联系通道，加快实现县市与中心镇通二级以上公路、与一般镇通三级以上公路、村村通公路的交通格局。全面推进</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四好农村路</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建设，加强乡村旅游通道、县乡道断头路、乡级以上边界路、25户以及100人以上的自然村通水泥(沥青)路和农村公路提质改造建设。整合优化现有物流要素，以商贸、邮政、快递、供销、运输等物流设施为基础，推进县、乡、村三级物流站场设施和信息系统建设。按照</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多站合一、资源共享</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的模式，推广货运班线、客运班车代运邮件等农村物流组织模式。</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加强农村水利基础设施建设。</w:t>
      </w:r>
      <w:r>
        <w:rPr>
          <w:rFonts w:ascii="Times New Roman" w:hAnsi="Times New Roman" w:eastAsia="仿宋_GB2312" w:cs="Times New Roman"/>
          <w:bCs/>
          <w:color w:val="000000" w:themeColor="text1"/>
          <w:sz w:val="32"/>
          <w:szCs w:val="32"/>
          <w14:textFill>
            <w14:solidFill>
              <w14:schemeClr w14:val="tx1"/>
            </w14:solidFill>
          </w14:textFill>
        </w:rPr>
        <w:t>突出</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量质并重、多源供给</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实施以重点水源和骨干引调水工程为主脉的水资源网络化配置。以粮食主产县为重点，配套改造重点中型灌区30处。结合新增千亿斤粮食产能规划，新建一批现代化的大中型灌区。落实最严格水资源管理。继续实施农村安全饮水巩固提升工程，做到</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城乡供水一体化、区域供水规模化、工程建设管理专业化</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，确保农村饮水安全问题全面得到解决。</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推进农村能源革命。</w:t>
      </w:r>
      <w:r>
        <w:rPr>
          <w:rFonts w:ascii="Times New Roman" w:hAnsi="Times New Roman" w:eastAsia="仿宋_GB2312" w:cs="Times New Roman"/>
          <w:bCs/>
          <w:color w:val="000000" w:themeColor="text1"/>
          <w:sz w:val="32"/>
          <w:szCs w:val="32"/>
          <w14:textFill>
            <w14:solidFill>
              <w14:schemeClr w14:val="tx1"/>
            </w14:solidFill>
          </w14:textFill>
        </w:rPr>
        <w:t>加快推进新一轮农村电网改造升级，推动供气设施向农村延伸，形成以电网为基础，其他管网互补衔接、协同转化的能源设施网络体系。推进绿色能源示范村镇、可再生能源重大工程建设，重点支持规模化生物质天然气、规模化大型沼气、太阳能、地热能等技术推广应用，提高农村清洁能源自给率。</w:t>
      </w:r>
    </w:p>
    <w:p>
      <w:pPr>
        <w:widowControl w:val="0"/>
        <w:adjustRightInd/>
        <w:snapToGrid/>
        <w:spacing w:before="0" w:after="0" w:line="560" w:lineRule="exact"/>
        <w:ind w:firstLine="643"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夯实农村信息化基础。</w:t>
      </w:r>
      <w:r>
        <w:rPr>
          <w:rFonts w:ascii="Times New Roman" w:hAnsi="Times New Roman" w:eastAsia="仿宋_GB2312" w:cs="Times New Roman"/>
          <w:color w:val="000000" w:themeColor="text1"/>
          <w:sz w:val="32"/>
          <w:szCs w:val="32"/>
          <w14:textFill>
            <w14:solidFill>
              <w14:schemeClr w14:val="tx1"/>
            </w14:solidFill>
          </w14:textFill>
        </w:rPr>
        <w:t>围绕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智慧乡村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推进智能化、自动化成套装备技术集成应用。推动农业机械设备和生产设施智能化改造，加快物联网技术和智能装备技术在农业生产中的应用，开展遥感、固定观测和移动监测等一体化的农业资源环境监测体系建设。推进基于数字技术的特色农产品种植、精深加工、冷链物流、农业观光、乡村旅游等一体化发展，整合、延伸和再造农业产业链。推动农村地区有线电视、光纤宽带网络和5G移动通信网络建设。实施农业农村信息进村入户项目，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多站合一、多员合一、一站多能、多模式服务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的乡镇级或村级信息综合服务站，为农民提供信息发布、远程咨询、网上办事等服务，协助开展技能培训、科普宣传等活动</w:t>
      </w:r>
      <w:r>
        <w:rPr>
          <w:rFonts w:hint="eastAsia" w:ascii="Times New Roman" w:hAnsi="Times New Roman" w:eastAsia="仿宋_GB2312" w:cs="Times New Roman"/>
          <w:color w:val="000000" w:themeColor="text1"/>
          <w:sz w:val="32"/>
          <w:szCs w:val="32"/>
          <w14:textFill>
            <w14:solidFill>
              <w14:schemeClr w14:val="tx1"/>
            </w14:solidFill>
          </w14:textFill>
        </w:rPr>
        <w:t>，提高农民科学素质</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大力发展农村电子商务。</w:t>
      </w:r>
      <w:r>
        <w:rPr>
          <w:rFonts w:ascii="Times New Roman" w:hAnsi="Times New Roman" w:eastAsia="仿宋_GB2312" w:cs="Times New Roman"/>
          <w:color w:val="000000" w:themeColor="text1"/>
          <w:sz w:val="32"/>
          <w:szCs w:val="32"/>
          <w14:textFill>
            <w14:solidFill>
              <w14:schemeClr w14:val="tx1"/>
            </w14:solidFill>
          </w14:textFill>
        </w:rPr>
        <w:t>支持大型农业基地和农副产品交易市场建设网上交易平台，鼓励农村金融机构积极参与农村电商及乡村物流建设。推广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田头市场＋电子商务企业＋城市终端配送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网上农店</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等营销模式。深度推进农产品分级、仓储、物流等农业产业链和农产品供应链建设。到2025年，基本建成数字农业产业服务体系，农村电子商务年网络交易额超过300亿元。</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专栏17：乡村振兴基础保障行动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农村公路畅通工程：</w:t>
            </w:r>
            <w:r>
              <w:rPr>
                <w:rFonts w:ascii="Times New Roman" w:hAnsi="Times New Roman" w:eastAsia="宋体" w:cs="Times New Roman"/>
                <w:color w:val="000000" w:themeColor="text1"/>
                <w:szCs w:val="28"/>
                <w14:textFill>
                  <w14:solidFill>
                    <w14:schemeClr w14:val="tx1"/>
                  </w14:solidFill>
                </w14:textFill>
              </w:rPr>
              <w:t>做好</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四好农村路</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建设和农村公路管护养护工作，到2025年，实现全市农村公路路面铺装率100%、农村公路列养率100%、优良中等路率不低于90%，建制村农村客运班车通达率达到100%。</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农村供水保障工程：</w:t>
            </w:r>
            <w:r>
              <w:rPr>
                <w:rFonts w:ascii="Times New Roman" w:hAnsi="Times New Roman" w:eastAsia="宋体" w:cs="Times New Roman"/>
                <w:color w:val="000000" w:themeColor="text1"/>
                <w:szCs w:val="28"/>
                <w14:textFill>
                  <w14:solidFill>
                    <w14:schemeClr w14:val="tx1"/>
                  </w14:solidFill>
                </w14:textFill>
              </w:rPr>
              <w:t>做好市区及各县城第二水源暨城乡一体化工程建设，推进千吨万人供水巩固提升工程，通过</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建大、并中、减小</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提升农村供水工程建设和管理水平。到2025年，农村自来水普及率达到95%、千吨万人饮水工程覆盖率达到60%。</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农村清洁能源工程：</w:t>
            </w:r>
            <w:r>
              <w:rPr>
                <w:rFonts w:ascii="Times New Roman" w:hAnsi="Times New Roman" w:eastAsia="宋体" w:cs="Times New Roman"/>
                <w:color w:val="000000" w:themeColor="text1"/>
                <w:szCs w:val="28"/>
                <w14:textFill>
                  <w14:solidFill>
                    <w14:schemeClr w14:val="tx1"/>
                  </w14:solidFill>
                </w14:textFill>
              </w:rPr>
              <w:t>利用好</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气化湖南</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气化邵阳</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，推动清洁能源在农村地区利用。</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1495" w:name="_Toc13995"/>
      <w:bookmarkStart w:id="1496" w:name="_Toc21350"/>
      <w:bookmarkStart w:id="1497" w:name="_Toc29807"/>
      <w:bookmarkStart w:id="1498" w:name="_Toc28415"/>
      <w:bookmarkStart w:id="1499" w:name="_Toc10815"/>
      <w:bookmarkStart w:id="1500" w:name="_Toc24424"/>
      <w:bookmarkStart w:id="1501" w:name="_Toc31753"/>
      <w:bookmarkStart w:id="1502" w:name="_Toc21285"/>
      <w:bookmarkStart w:id="1503" w:name="_Toc17169"/>
      <w:bookmarkStart w:id="1504" w:name="_Toc18901"/>
      <w:bookmarkStart w:id="1505" w:name="_Toc17540"/>
      <w:bookmarkStart w:id="1506" w:name="_Toc2810"/>
      <w:bookmarkStart w:id="1507" w:name="_Toc10855"/>
      <w:bookmarkStart w:id="1508" w:name="_Toc20627"/>
      <w:bookmarkStart w:id="1509" w:name="_Toc15515"/>
      <w:bookmarkStart w:id="1510" w:name="_Toc26049"/>
      <w:bookmarkStart w:id="1511" w:name="_Toc11787"/>
      <w:bookmarkStart w:id="1512" w:name="_Toc15569"/>
      <w:bookmarkStart w:id="1513" w:name="_Toc15696"/>
      <w:bookmarkStart w:id="1514" w:name="_Toc9252"/>
      <w:bookmarkStart w:id="1515" w:name="_Toc7242"/>
      <w:bookmarkStart w:id="1516" w:name="_Toc2219"/>
      <w:bookmarkStart w:id="1517" w:name="_Toc22428"/>
      <w:bookmarkStart w:id="1518" w:name="_Toc3666"/>
      <w:bookmarkStart w:id="1519" w:name="_Toc24736"/>
      <w:bookmarkStart w:id="1520" w:name="_Toc22262"/>
      <w:bookmarkStart w:id="1521" w:name="_Toc19727"/>
      <w:bookmarkStart w:id="1522" w:name="_Toc24997"/>
      <w:bookmarkStart w:id="1523" w:name="_Toc24165"/>
      <w:bookmarkStart w:id="1524" w:name="_Toc15445"/>
      <w:bookmarkStart w:id="1525" w:name="_Toc19811"/>
      <w:bookmarkStart w:id="1526" w:name="_Toc2382"/>
      <w:bookmarkStart w:id="1527" w:name="_Toc18559"/>
      <w:bookmarkStart w:id="1528" w:name="_Toc21901"/>
      <w:bookmarkStart w:id="1529" w:name="_Toc27386"/>
      <w:bookmarkStart w:id="1530" w:name="_Toc29050"/>
      <w:bookmarkStart w:id="1531" w:name="_Toc20622"/>
      <w:r>
        <w:rPr>
          <w:rFonts w:ascii="Times New Roman" w:hAnsi="Times New Roman" w:cs="Times New Roman"/>
          <w:color w:val="000000" w:themeColor="text1"/>
          <w:szCs w:val="32"/>
          <w14:textFill>
            <w14:solidFill>
              <w14:schemeClr w14:val="tx1"/>
            </w14:solidFill>
          </w14:textFill>
        </w:rPr>
        <w:t xml:space="preserve">第三节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提升乡村振兴服务体系</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以完善农村产权制度和推进要素市场化配置为重点，统筹推进城乡配套改革，巩固完善农村基本经营制度，构建农业农村发展新机制，激活市场、激活主体、激活要素，为乡村振兴提供强有力的服务体系。</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建立健全用地保障机制。</w:t>
      </w:r>
      <w:r>
        <w:rPr>
          <w:rFonts w:ascii="Times New Roman" w:hAnsi="Times New Roman" w:eastAsia="仿宋_GB2312" w:cs="Times New Roman"/>
          <w:color w:val="000000" w:themeColor="text1"/>
          <w:sz w:val="32"/>
          <w:szCs w:val="32"/>
          <w14:textFill>
            <w14:solidFill>
              <w14:schemeClr w14:val="tx1"/>
            </w14:solidFill>
          </w14:textFill>
        </w:rPr>
        <w:t>完善新增建设用地保障机制，将年度新增建设用地计划指标确定一定比例用于支持农村新产业、新业态发展。加快编制村级土地利用规划，在控制农村建设用地总量不占用永久基本农田前提下，加大盘活农村存量建设用地力度，允许通过村庄整治、宅基地整理等节约的建设用地采取入股、联营等方式，重点支持乡村休闲旅游养老等产业和农村三产融合发展。完善农业用地政策，积极支持农产品冷链、初加工、休闲采摘、仓储等设施建设。规范耕地占补平衡，严格落实耕地占补平衡责任，探索对资源匮乏区域补充耕地实行统筹。</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健全农村人才培育机制。</w:t>
      </w:r>
      <w:r>
        <w:rPr>
          <w:rFonts w:ascii="Times New Roman" w:hAnsi="Times New Roman" w:eastAsia="仿宋_GB2312" w:cs="Times New Roman"/>
          <w:color w:val="000000" w:themeColor="text1"/>
          <w:sz w:val="32"/>
          <w:szCs w:val="32"/>
          <w14:textFill>
            <w14:solidFill>
              <w14:schemeClr w14:val="tx1"/>
            </w14:solidFill>
          </w14:textFill>
        </w:rPr>
        <w:t>大力培育新型职业农民。全面建立职业农民制度，完善配套政策体系。实施新型职业农民培育工程，支持新型职业农民通过弹性学制参加中高等农业职业教育，鼓励各地开展职业农民职称评定试点。创新培训机制，支持农民专业合作社、专业技术协会、龙头企业等主体承担培训。加强农民培育师资人才队伍建设，确定农民培育机构和示范基地。建立专业人才统筹使用制度，提高农村专业人才服务保障能力。开展农村实用人才带头人培训，围绕粮食种植、蔬菜种植、乡村旅游、农村电商、生态循环农业等方面进行培训，提高培训针对性、实用性和有效性。实施乡村工匠培育工程，落实农技推广骨干培养计划，培养一批农业职业经理人、经纪人、农村电子商务师、文化能人、非遗传承人等。</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优化完善财政支农投入结构。</w:t>
      </w:r>
      <w:r>
        <w:rPr>
          <w:rFonts w:ascii="Times New Roman" w:hAnsi="Times New Roman" w:eastAsia="仿宋_GB2312" w:cs="Times New Roman"/>
          <w:color w:val="000000" w:themeColor="text1"/>
          <w:sz w:val="32"/>
          <w:szCs w:val="32"/>
          <w14:textFill>
            <w14:solidFill>
              <w14:schemeClr w14:val="tx1"/>
            </w14:solidFill>
          </w14:textFill>
        </w:rPr>
        <w:t>坚持把农业农村作为财政支出的优先保障领域，保障农村投入适度增加，着力优化投入结构，创新使用方式，提升财政支农效能。固定资产投资继续向农业农村倾斜，发挥规划统筹引领作用，多层次、多形式推进涉农资金整合。</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bookmarkStart w:id="1532" w:name="_Toc22931"/>
      <w:r>
        <w:rPr>
          <w:rFonts w:ascii="Times New Roman" w:hAnsi="Times New Roman" w:eastAsia="仿宋_GB2312" w:cs="Times New Roman"/>
          <w:b/>
          <w:bCs/>
          <w:color w:val="000000" w:themeColor="text1"/>
          <w:sz w:val="32"/>
          <w:szCs w:val="32"/>
          <w14:textFill>
            <w14:solidFill>
              <w14:schemeClr w14:val="tx1"/>
            </w14:solidFill>
          </w14:textFill>
        </w:rPr>
        <w:t>加快农村金融服务体系创新</w:t>
      </w:r>
      <w:bookmarkEnd w:id="1532"/>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引导金融资源向乡村振兴重点领域和薄弱环节倾斜，加大对粮食安全、农田水利、农业科技研发、高端农机装备制造、农产品加工业、智慧农业产品技术研发推广、农产品冷链仓储物流及烘干等领域的支持力度。支持金融机构主动对接县域特色农业产业融资需求，积极创新金融产品，不断完善和推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百合贷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蜜桔贷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茶油贷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生猪贷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等系列惠农金融产品，优化信贷服务。鼓励发展农业供应链金融。结合农村产权制度改革，积极拓宽农业农村抵质押物范围，推动厂房和大型农机具抵押、圈舍和活体畜禽抵押、动产质押、仓单和应收账款质押、农业保单融资等信贷业务，积极稳妥开展林权抵押贷款、农村承包土地经营权抵押贷款、农民住房财产权抵押贷款，推动集体经营性建设用地使用权、集体资产股份等依法合规予以抵押，探索创新抵押贷款模式。加强涉农信贷数据的积累和共享，创新农村经营主体信用评价模式，在防范风险的前提下逐步提升发放信用贷款的比重。增加农业保险险种，稳步利用农产品期货(权)进行风险管理。支持符合条件的涉农企业利用资本市场融资。</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实施乡村建设行动。</w:t>
      </w:r>
      <w:r>
        <w:rPr>
          <w:rFonts w:ascii="Times New Roman" w:hAnsi="Times New Roman" w:eastAsia="仿宋_GB2312" w:cs="Times New Roman"/>
          <w:color w:val="000000" w:themeColor="text1"/>
          <w:sz w:val="32"/>
          <w:szCs w:val="32"/>
          <w14:textFill>
            <w14:solidFill>
              <w14:schemeClr w14:val="tx1"/>
            </w14:solidFill>
          </w14:textFill>
        </w:rPr>
        <w:t>强化县城综合服务能力，把乡镇建成服务农民的区域中心。统筹县域城镇和村庄规划建设，解决农村建房无序问题，保护传统村落和乡村风貌。完善乡村水、电、路、气、通信、广播电视、物流等基础设施。提升农房建设质量。积极推进农村改厕、生活垃圾处理和污水治理，实施河湖水系综合整治，改善农村人居环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深化农村改革。</w:t>
      </w:r>
      <w:r>
        <w:rPr>
          <w:rFonts w:ascii="Times New Roman" w:hAnsi="Times New Roman" w:eastAsia="仿宋_GB2312" w:cs="Times New Roman"/>
          <w:color w:val="000000" w:themeColor="text1"/>
          <w:sz w:val="32"/>
          <w:szCs w:val="32"/>
          <w14:textFill>
            <w14:solidFill>
              <w14:schemeClr w14:val="tx1"/>
            </w14:solidFill>
          </w14:textFill>
        </w:rPr>
        <w:t>坚持城乡融合发展，促进城乡要素自由流动、平等交换和公共资源合理配置。守住土地公有制性质不改变、耕地红线不突破、农民利益不受损三条底线。落实农村第二轮土地承包到期后再延长30年政策，推进承包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分置改革，稳慎开展宅基地制度改革试点。积极稳妥开展农村集体经营性建设用地入市，建立公平合理的增值收益分配机制。深化农村集体产权制度改革，因地制宜发展村级集体经济。推进供销合作社综合改革、农业领域综合执法改革。</w:t>
      </w:r>
    </w:p>
    <w:p>
      <w:pPr>
        <w:spacing w:before="0" w:after="0" w:line="56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实现巩固拓展脱贫攻坚成果同乡村振兴有效衔接。</w:t>
      </w:r>
      <w:r>
        <w:rPr>
          <w:rFonts w:ascii="Times New Roman" w:hAnsi="Times New Roman" w:eastAsia="仿宋_GB2312" w:cs="Times New Roman"/>
          <w:color w:val="000000" w:themeColor="text1"/>
          <w:sz w:val="32"/>
          <w:szCs w:val="32"/>
          <w14:textFill>
            <w14:solidFill>
              <w14:schemeClr w14:val="tx1"/>
            </w14:solidFill>
          </w14:textFill>
        </w:rPr>
        <w:t>脱贫攻坚目标任务完成后，对摆脱贫困的县，从脱贫之日起设立5年过渡期，对现有帮扶政策逐项分类优化调整，逐步实现由集中资源支持脱贫攻坚向全面推进乡村振兴平稳过渡。狠抓脱贫成果巩固，保持帮扶政策总体稳定，严格落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四个不摘</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要求，保持现有帮扶政策、资金支持、帮扶力量总体稳定，继续选派驻村第一书记。</w:t>
      </w:r>
      <w:r>
        <w:rPr>
          <w:rFonts w:ascii="仿宋" w:hAnsi="仿宋" w:cs="仿宋"/>
          <w:color w:val="000000"/>
          <w:sz w:val="31"/>
          <w:szCs w:val="31"/>
          <w:lang w:bidi="ar"/>
        </w:rPr>
        <w:t>健全防止返贫动态监测和帮扶机</w:t>
      </w:r>
      <w:r>
        <w:rPr>
          <w:rFonts w:hint="eastAsia" w:ascii="仿宋" w:hAnsi="仿宋" w:cs="仿宋"/>
          <w:color w:val="000000"/>
          <w:sz w:val="31"/>
          <w:szCs w:val="31"/>
          <w:lang w:bidi="ar"/>
        </w:rPr>
        <w:t>制。重点围绕收入支出变化、“两不愁三保障”及饮水安全等主要指标，对脱贫不稳定户、边缘易致贫户，以及因病因灾因意外事故等刚性支出较大或收入大幅缩减导致基本生活出现严重困难户，开展定期检查、动态管理。建立健全易返贫致贫人口快速发现和响应核查机制，通过农户自主申请、部门信息比对、干部走访排查等方式，及时将符合条件的对象分层分类按程序纳入动态监测和帮扶政策范围，实行动态清零</w:t>
      </w:r>
      <w:r>
        <w:rPr>
          <w:rFonts w:ascii="Times New Roman" w:hAnsi="Times New Roman" w:eastAsia="仿宋_GB2312" w:cs="Times New Roman"/>
          <w:color w:val="000000" w:themeColor="text1"/>
          <w:sz w:val="32"/>
          <w:szCs w:val="32"/>
          <w14:textFill>
            <w14:solidFill>
              <w14:schemeClr w14:val="tx1"/>
            </w14:solidFill>
          </w14:textFill>
        </w:rPr>
        <w:t>。持续发展壮大扶贫产业，继续加强产业发展基础设施建设，拓展销售渠道，创新流通方式，促进稳定销售。做好脱贫人口稳岗就业，加大对脱贫人口职业技能培训力度。要强化易地搬迁后续扶持，完善集中安置区公共服务和配套基础设施，因地制宜在搬迁地发展产业，确保搬迁群众稳得住、有就业、逐步能致富。加强资金资产项目管理，建立健全资产管理制度，持续发挥效益。兜住民生底线，规范管理公益岗位，以现有社会保障体系为依托，促进弱劳力、半劳力等家庭就近就地解决就业，保障这些群众基本生活。推进脱贫攻坚和乡村振兴在组织、规划、政策、工作上有效衔接, 从培育扶贫产业向产业兴旺推进，从改善基础设施向生态宜居推进，从激发内生动力向乡风文明推进，从加强社会管理向治理有效推进，从</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两不愁三保障</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向生活富裕转变，确保从脱贫攻坚顺利过渡到乡村振兴。</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533" w:name="_Toc30521"/>
      <w:bookmarkStart w:id="1534" w:name="_Toc14311"/>
      <w:bookmarkStart w:id="1535" w:name="_Toc19376"/>
      <w:bookmarkStart w:id="1536" w:name="_Toc14504"/>
      <w:bookmarkStart w:id="1537" w:name="_Toc24578"/>
      <w:bookmarkStart w:id="1538" w:name="_Toc1027"/>
      <w:bookmarkStart w:id="1539" w:name="_Toc10853"/>
      <w:bookmarkStart w:id="1540" w:name="_Toc30515"/>
      <w:bookmarkStart w:id="1541" w:name="_Toc14038"/>
      <w:bookmarkStart w:id="1542" w:name="_Toc2123"/>
      <w:bookmarkStart w:id="1543" w:name="_Toc30302"/>
      <w:bookmarkStart w:id="1544" w:name="_Toc27464"/>
      <w:bookmarkStart w:id="1545" w:name="_Toc3224"/>
      <w:bookmarkStart w:id="1546" w:name="_Toc20442"/>
      <w:bookmarkStart w:id="1547" w:name="_Toc1495"/>
      <w:bookmarkStart w:id="1548" w:name="_Toc25228"/>
      <w:bookmarkStart w:id="1549" w:name="_Toc22451"/>
      <w:bookmarkStart w:id="1550" w:name="_Toc32560"/>
      <w:bookmarkStart w:id="1551" w:name="_Toc6767"/>
      <w:bookmarkStart w:id="1552" w:name="_Toc17525"/>
      <w:bookmarkStart w:id="1553" w:name="_Toc29043"/>
      <w:bookmarkStart w:id="1554" w:name="_Toc20526"/>
      <w:bookmarkStart w:id="1555" w:name="_Toc25316"/>
      <w:bookmarkStart w:id="1556" w:name="_Toc4528"/>
      <w:bookmarkStart w:id="1557" w:name="_Toc24119"/>
      <w:bookmarkStart w:id="1558" w:name="_Toc1117"/>
      <w:bookmarkStart w:id="1559" w:name="_Toc20112"/>
      <w:bookmarkStart w:id="1560" w:name="_Toc21409"/>
      <w:bookmarkStart w:id="1561" w:name="_Toc12539"/>
      <w:bookmarkStart w:id="1562" w:name="_Toc15650"/>
      <w:bookmarkStart w:id="1563" w:name="_Toc26719"/>
      <w:bookmarkStart w:id="1564" w:name="_Toc1879"/>
      <w:bookmarkStart w:id="1565" w:name="_Toc6926"/>
      <w:bookmarkStart w:id="1566" w:name="_Toc31823"/>
      <w:bookmarkStart w:id="1567" w:name="_Toc641"/>
      <w:bookmarkStart w:id="1568" w:name="_Toc15995"/>
      <w:bookmarkStart w:id="1569" w:name="_Toc3441"/>
      <w:r>
        <w:rPr>
          <w:rFonts w:ascii="Times New Roman" w:hAnsi="Times New Roman" w:cs="Times New Roman"/>
          <w:color w:val="000000" w:themeColor="text1"/>
          <w:szCs w:val="32"/>
          <w14:textFill>
            <w14:solidFill>
              <w14:schemeClr w14:val="tx1"/>
            </w14:solidFill>
          </w14:textFill>
        </w:rPr>
        <w:t xml:space="preserve">第四节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提高乡村治理现代化水平</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转变农村生产生活方式，加强乡村人居环境整治、推进乡村精神文明建设，实现乡村产业振兴、人才振兴、文化振兴、生态振兴、组织振兴。</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完善乡村治理体系和现代化能力建设。</w:t>
      </w:r>
      <w:r>
        <w:rPr>
          <w:rFonts w:ascii="Times New Roman" w:hAnsi="Times New Roman" w:eastAsia="仿宋_GB2312" w:cs="Times New Roman"/>
          <w:bCs/>
          <w:color w:val="000000" w:themeColor="text1"/>
          <w:sz w:val="32"/>
          <w:szCs w:val="32"/>
          <w14:textFill>
            <w14:solidFill>
              <w14:schemeClr w14:val="tx1"/>
            </w14:solidFill>
          </w14:textFill>
        </w:rPr>
        <w:t>加强农村基层党组织建设，深化村民自治实践，推进乡村法治建设，提升乡村德治水平。发展壮大村级集体经济，全面提高社会治理水平，到</w:t>
      </w:r>
      <w:r>
        <w:rPr>
          <w:rFonts w:ascii="Times New Roman" w:hAnsi="Times New Roman" w:eastAsia="仿宋_GB2312" w:cs="Times New Roman"/>
          <w:bCs/>
          <w:color w:val="000000" w:themeColor="text1"/>
          <w:sz w:val="32"/>
          <w:szCs w:val="32"/>
          <w:lang w:val="zh-TW"/>
          <w14:textFill>
            <w14:solidFill>
              <w14:schemeClr w14:val="tx1"/>
            </w14:solidFill>
          </w14:textFill>
        </w:rPr>
        <w:t>202</w:t>
      </w:r>
      <w:r>
        <w:rPr>
          <w:rFonts w:ascii="Times New Roman" w:hAnsi="Times New Roman" w:eastAsia="仿宋_GB2312" w:cs="Times New Roman"/>
          <w:bCs/>
          <w:color w:val="000000" w:themeColor="text1"/>
          <w:sz w:val="32"/>
          <w:szCs w:val="32"/>
          <w14:textFill>
            <w14:solidFill>
              <w14:schemeClr w14:val="tx1"/>
            </w14:solidFill>
          </w14:textFill>
        </w:rPr>
        <w:t>5年，村党组织书记兼任村委会主任的村占比达到9</w:t>
      </w:r>
      <w:r>
        <w:rPr>
          <w:rFonts w:ascii="Times New Roman" w:hAnsi="Times New Roman" w:eastAsia="仿宋_GB2312" w:cs="Times New Roman"/>
          <w:bCs/>
          <w:color w:val="000000" w:themeColor="text1"/>
          <w:sz w:val="32"/>
          <w:szCs w:val="32"/>
          <w:lang w:val="zh-TW"/>
          <w14:textFill>
            <w14:solidFill>
              <w14:schemeClr w14:val="tx1"/>
            </w14:solidFill>
          </w14:textFill>
        </w:rPr>
        <w:t>0%</w:t>
      </w:r>
      <w:r>
        <w:rPr>
          <w:rFonts w:ascii="Times New Roman" w:hAnsi="Times New Roman" w:eastAsia="仿宋_GB2312" w:cs="Times New Roman"/>
          <w:bCs/>
          <w:color w:val="000000" w:themeColor="text1"/>
          <w:sz w:val="32"/>
          <w:szCs w:val="32"/>
          <w14:textFill>
            <w14:solidFill>
              <w14:schemeClr w14:val="tx1"/>
            </w14:solidFill>
          </w14:textFill>
        </w:rPr>
        <w:t>以上。</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统筹农村人居环境集中整治。</w:t>
      </w:r>
      <w:r>
        <w:rPr>
          <w:rFonts w:ascii="Times New Roman" w:hAnsi="Times New Roman" w:eastAsia="仿宋_GB2312" w:cs="Times New Roman"/>
          <w:bCs/>
          <w:color w:val="000000" w:themeColor="text1"/>
          <w:sz w:val="32"/>
          <w:szCs w:val="32"/>
          <w14:textFill>
            <w14:solidFill>
              <w14:schemeClr w14:val="tx1"/>
            </w14:solidFill>
          </w14:textFill>
        </w:rPr>
        <w:t>推广农村生活污水县域统筹治理，推进黑臭水体治理，开展农村生活垃圾专项治理，建立农村生活垃圾治理长效机制。做好村庄建设发展规划，开展美丽乡村县乡整域推进试点，统筹推进美丽乡村、农村人居环境整治、乡村振兴试点示范。</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注重农业生态系统修复与保护。</w:t>
      </w:r>
      <w:r>
        <w:rPr>
          <w:rFonts w:ascii="Times New Roman" w:hAnsi="Times New Roman" w:eastAsia="仿宋_GB2312" w:cs="Times New Roman"/>
          <w:bCs/>
          <w:color w:val="000000" w:themeColor="text1"/>
          <w:sz w:val="32"/>
          <w:szCs w:val="32"/>
          <w14:textFill>
            <w14:solidFill>
              <w14:schemeClr w14:val="tx1"/>
            </w14:solidFill>
          </w14:textFill>
        </w:rPr>
        <w:t>强化农田生态保育，实施保护性耕作，加强退化农田的改良修复和集雨保水保土，优化种植制度和方式。推广节水灌溉，逐步退还生态用水。配套科学的农艺措施，实施土壤改良培肥，治理和修复污染土地，增强农田抗御风蚀和截土蓄水能力。恢复园地原有植被，减少水土流失。加大对退化草地、草地易灾区、草场生态脆弱区和草场生态项目区保护力度；推进石漠化治理工作，加快植被恢复和生态重建。</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推进精神文明建设。</w:t>
      </w:r>
      <w:r>
        <w:rPr>
          <w:rFonts w:ascii="Times New Roman" w:hAnsi="Times New Roman" w:eastAsia="仿宋_GB2312" w:cs="Times New Roman"/>
          <w:color w:val="000000" w:themeColor="text1"/>
          <w:sz w:val="32"/>
          <w:szCs w:val="32"/>
          <w14:textFill>
            <w14:solidFill>
              <w14:schemeClr w14:val="tx1"/>
            </w14:solidFill>
          </w14:textFill>
        </w:rPr>
        <w:t>全面深化农村精神文明建设，大力实施社会主义核心价值观培育提升行动、农民思想道德建设提升行动、良好社会风尚引领提升行动、公共文化服务优化提升行动，打造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一镇村一品牌、一镇村一特色</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，实现全市农村人文美、风尚美、文化美。到2025年，全市80%的村镇达到省文明村创建标准。</w:t>
      </w:r>
    </w:p>
    <w:tbl>
      <w:tblPr>
        <w:tblStyle w:val="14"/>
        <w:tblW w:w="5000" w:type="pct"/>
        <w:tblInd w:w="0" w:type="dxa"/>
        <w:tblLayout w:type="autofit"/>
        <w:tblCellMar>
          <w:top w:w="0" w:type="dxa"/>
          <w:left w:w="0" w:type="dxa"/>
          <w:bottom w:w="0" w:type="dxa"/>
          <w:right w:w="0" w:type="dxa"/>
        </w:tblCellMar>
      </w:tblPr>
      <w:tblGrid>
        <w:gridCol w:w="8868"/>
      </w:tblGrid>
      <w:tr>
        <w:trPr>
          <w:trHeight w:val="597"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专栏18：乡村振兴环境提升行动</w:t>
            </w:r>
          </w:p>
        </w:tc>
      </w:tr>
      <w:tr>
        <w:tblPrEx>
          <w:tblCellMar>
            <w:top w:w="0" w:type="dxa"/>
            <w:left w:w="0" w:type="dxa"/>
            <w:bottom w:w="0" w:type="dxa"/>
            <w:right w:w="0" w:type="dxa"/>
          </w:tblCellMar>
        </w:tblPrEx>
        <w:trPr>
          <w:trHeight w:val="1248"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1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农村人居环境整治工程：</w:t>
            </w:r>
            <w:r>
              <w:rPr>
                <w:rFonts w:ascii="Times New Roman" w:hAnsi="Times New Roman" w:eastAsia="宋体" w:cs="Times New Roman"/>
                <w:color w:val="000000" w:themeColor="text1"/>
                <w:szCs w:val="28"/>
                <w14:textFill>
                  <w14:solidFill>
                    <w14:schemeClr w14:val="tx1"/>
                  </w14:solidFill>
                </w14:textFill>
              </w:rPr>
              <w:t>推进农村废弃物、污水垃圾收集处理利用设施建设，普遍建立村庄保洁制度。</w:t>
            </w:r>
          </w:p>
          <w:p>
            <w:pPr>
              <w:spacing w:before="0" w:after="0" w:line="51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农村河塘整治工程：</w:t>
            </w:r>
            <w:r>
              <w:rPr>
                <w:rFonts w:ascii="Times New Roman" w:hAnsi="Times New Roman" w:eastAsia="宋体" w:cs="Times New Roman"/>
                <w:color w:val="000000" w:themeColor="text1"/>
                <w:szCs w:val="28"/>
                <w14:textFill>
                  <w14:solidFill>
                    <w14:schemeClr w14:val="tx1"/>
                  </w14:solidFill>
                </w14:textFill>
              </w:rPr>
              <w:t>开展农村小河道、小河沟、小塘坝、小湖泊、小泵站的清淤疏浚、岸坡整治、河渠连通等工程，完善农村灌溉排水体系，打通农田水利</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最后一公里</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，实现引排顺畅、水源互济、灌溉保障、水清岸绿。</w:t>
            </w:r>
          </w:p>
          <w:p>
            <w:pPr>
              <w:spacing w:before="0" w:after="0" w:line="51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农民综合素质提升工程：</w:t>
            </w:r>
            <w:r>
              <w:rPr>
                <w:rFonts w:ascii="Times New Roman" w:hAnsi="Times New Roman" w:eastAsia="宋体" w:cs="Times New Roman"/>
                <w:color w:val="000000" w:themeColor="text1"/>
                <w:szCs w:val="28"/>
                <w14:textFill>
                  <w14:solidFill>
                    <w14:schemeClr w14:val="tx1"/>
                  </w14:solidFill>
                </w14:textFill>
              </w:rPr>
              <w:t>充分利用各村级平台，展示宣传本村事迹、传统文化、村风民俗、孝道文化、惠民政策、法律法规等；引导群众自我教育、约束、管理，逐步提高村民文明素质；开展专业技能培训，培育生产经营型新型职业农民。</w:t>
            </w:r>
          </w:p>
        </w:tc>
      </w:tr>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570" w:name="_Toc11034"/>
      <w:bookmarkStart w:id="1571" w:name="_Toc19631"/>
      <w:bookmarkStart w:id="1572" w:name="_Toc7053"/>
      <w:bookmarkStart w:id="1573" w:name="_Toc24636"/>
      <w:bookmarkStart w:id="1574" w:name="_Toc3360"/>
      <w:bookmarkStart w:id="1575" w:name="_Toc4375"/>
      <w:bookmarkStart w:id="1576" w:name="_Toc26113"/>
      <w:bookmarkStart w:id="1577" w:name="_Toc24044"/>
      <w:bookmarkStart w:id="1578" w:name="_Toc1648"/>
      <w:bookmarkStart w:id="1579" w:name="_Toc27907"/>
      <w:bookmarkStart w:id="1580" w:name="_Toc15651"/>
      <w:bookmarkStart w:id="1581" w:name="_Toc27081"/>
      <w:bookmarkStart w:id="1582" w:name="_Toc16025"/>
      <w:bookmarkStart w:id="1583" w:name="_Toc16844"/>
      <w:bookmarkStart w:id="1584" w:name="_Toc29794"/>
      <w:bookmarkStart w:id="1585" w:name="_Toc4642"/>
      <w:bookmarkStart w:id="1586" w:name="_Toc1828"/>
      <w:bookmarkStart w:id="1587" w:name="_Toc21487"/>
      <w:bookmarkStart w:id="1588" w:name="_Toc18266"/>
      <w:bookmarkStart w:id="1589" w:name="_Toc15901"/>
      <w:bookmarkStart w:id="1590" w:name="_Toc5435"/>
      <w:bookmarkStart w:id="1591" w:name="_Toc4881"/>
      <w:bookmarkStart w:id="1592" w:name="_Toc477"/>
      <w:bookmarkStart w:id="1593" w:name="_Toc5476"/>
      <w:bookmarkStart w:id="1594" w:name="_Toc9733"/>
      <w:bookmarkStart w:id="1595" w:name="_Toc29768"/>
      <w:bookmarkStart w:id="1596" w:name="_Toc22077"/>
      <w:bookmarkStart w:id="1597" w:name="_Toc1022"/>
      <w:bookmarkStart w:id="1598" w:name="_Toc9741"/>
      <w:bookmarkStart w:id="1599" w:name="_Toc16526"/>
      <w:bookmarkStart w:id="1600" w:name="_Toc6353"/>
      <w:bookmarkStart w:id="1601" w:name="_Toc31142"/>
      <w:bookmarkStart w:id="1602" w:name="_Toc13989"/>
      <w:bookmarkStart w:id="1603" w:name="_Toc28686"/>
      <w:bookmarkStart w:id="1604" w:name="_Toc4357"/>
      <w:bookmarkStart w:id="1605" w:name="_Toc21953"/>
      <w:bookmarkStart w:id="1606" w:name="_Toc13484"/>
      <w:r>
        <w:rPr>
          <w:rFonts w:ascii="Times New Roman" w:hAnsi="Times New Roman" w:cs="Times New Roman"/>
          <w:color w:val="000000" w:themeColor="text1"/>
          <w:szCs w:val="32"/>
          <w14:textFill>
            <w14:solidFill>
              <w14:schemeClr w14:val="tx1"/>
            </w14:solidFill>
          </w14:textFill>
        </w:rPr>
        <w:t>第五节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助力打好种业翻身仗</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深入落实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藏粮于地、藏粮于技</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战略，提升耕地质量和确保耕地资源可持续利用，牢牢稳住粮食安全底线，持续推进农作物、畜禽和林果良种攻关，切实维护种业安全。</w:t>
      </w:r>
    </w:p>
    <w:p>
      <w:pPr>
        <w:spacing w:before="0" w:line="56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持续加强耕地保护。</w:t>
      </w:r>
      <w:r>
        <w:rPr>
          <w:rFonts w:ascii="Times New Roman" w:hAnsi="Times New Roman" w:eastAsia="仿宋_GB2312" w:cs="Times New Roman"/>
          <w:color w:val="000000" w:themeColor="text1"/>
          <w:sz w:val="32"/>
          <w:szCs w:val="32"/>
          <w14:textFill>
            <w14:solidFill>
              <w14:schemeClr w14:val="tx1"/>
            </w14:solidFill>
          </w14:textFill>
        </w:rPr>
        <w:t>压实耕地保护责任，不断完善耕地保护制度和占补平衡政策，确保全市耕地保有量不低于39.5万公顷，永久基本农田保护面积不低于34.3万公顷，确保建成</w:t>
      </w:r>
      <w:r>
        <w:rPr>
          <w:rFonts w:hint="eastAsia" w:ascii="Times New Roman" w:hAnsi="Times New Roman" w:eastAsia="仿宋_GB2312" w:cs="Times New Roman"/>
          <w:color w:val="000000" w:themeColor="text1"/>
          <w:sz w:val="32"/>
          <w:szCs w:val="32"/>
          <w14:textFill>
            <w14:solidFill>
              <w14:schemeClr w14:val="tx1"/>
            </w14:solidFill>
          </w14:textFill>
        </w:rPr>
        <w:t>180</w:t>
      </w:r>
      <w:r>
        <w:rPr>
          <w:rFonts w:ascii="Times New Roman" w:hAnsi="Times New Roman" w:eastAsia="仿宋_GB2312" w:cs="Times New Roman"/>
          <w:color w:val="000000" w:themeColor="text1"/>
          <w:sz w:val="32"/>
          <w:szCs w:val="32"/>
          <w14:textFill>
            <w14:solidFill>
              <w14:schemeClr w14:val="tx1"/>
            </w14:solidFill>
          </w14:textFill>
        </w:rPr>
        <w:t>万亩高标准农田</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sz w:val="32"/>
          <w:szCs w:val="32"/>
        </w:rPr>
        <w:t>建成永久基本烟田8万亩</w:t>
      </w:r>
      <w:r>
        <w:rPr>
          <w:rFonts w:ascii="Times New Roman" w:hAnsi="Times New Roman" w:eastAsia="仿宋_GB2312" w:cs="Times New Roman"/>
          <w:color w:val="000000" w:themeColor="text1"/>
          <w:sz w:val="32"/>
          <w:szCs w:val="32"/>
          <w14:textFill>
            <w14:solidFill>
              <w14:schemeClr w14:val="tx1"/>
            </w14:solidFill>
          </w14:textFill>
        </w:rPr>
        <w:t>。统筹全市国土利用现状，持续优化城乡建设用地布局，将工业类项目向园区集中，引导建设中心社区，逐步合并自然村庄。坚持农地农用，农业结构调整不得改变耕地用途，不得借农地流转和设施农用地之名违规搞非农业建设。坚持全市耕地占补平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一盘棋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，建立补充耕地管理体系，实行耕地数量、水田规模和粮食产能指标三类指标统一管理、使用和调剂。</w:t>
      </w:r>
    </w:p>
    <w:tbl>
      <w:tblPr>
        <w:tblStyle w:val="1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line="579" w:lineRule="exact"/>
              <w:ind w:firstLine="640" w:firstLineChars="200"/>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专栏19：耕地质量提升和保护行动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line="56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高标准基本农田建设工程：</w:t>
            </w:r>
            <w:r>
              <w:rPr>
                <w:rFonts w:ascii="Times New Roman" w:hAnsi="Times New Roman" w:eastAsia="宋体" w:cs="Times New Roman"/>
                <w:color w:val="000000" w:themeColor="text1"/>
                <w14:textFill>
                  <w14:solidFill>
                    <w14:schemeClr w14:val="tx1"/>
                  </w14:solidFill>
                </w14:textFill>
              </w:rPr>
              <w:t>五年共建</w:t>
            </w:r>
            <w:r>
              <w:rPr>
                <w:rFonts w:hint="eastAsia" w:ascii="Times New Roman" w:hAnsi="Times New Roman" w:eastAsia="宋体" w:cs="Times New Roman"/>
                <w:color w:val="000000" w:themeColor="text1"/>
                <w14:textFill>
                  <w14:solidFill>
                    <w14:schemeClr w14:val="tx1"/>
                  </w14:solidFill>
                </w14:textFill>
              </w:rPr>
              <w:t>180</w:t>
            </w:r>
            <w:r>
              <w:rPr>
                <w:rFonts w:ascii="Times New Roman" w:hAnsi="Times New Roman" w:eastAsia="宋体" w:cs="Times New Roman"/>
                <w:color w:val="000000" w:themeColor="text1"/>
                <w14:textFill>
                  <w14:solidFill>
                    <w14:schemeClr w14:val="tx1"/>
                  </w14:solidFill>
                </w14:textFill>
              </w:rPr>
              <w:t>万亩，有效改善农田灌溉及耕作条件，推动农民增产增收，促进农业可持续发展。</w:t>
            </w:r>
          </w:p>
          <w:p>
            <w:pPr>
              <w:spacing w:line="56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永久基本烟田建设工程：</w:t>
            </w:r>
            <w:r>
              <w:rPr>
                <w:rFonts w:ascii="Times New Roman" w:hAnsi="Times New Roman" w:eastAsia="宋体" w:cs="Times New Roman"/>
                <w:color w:val="000000" w:themeColor="text1"/>
                <w14:textFill>
                  <w14:solidFill>
                    <w14:schemeClr w14:val="tx1"/>
                  </w14:solidFill>
                </w14:textFill>
              </w:rPr>
              <w:t>加快推进永久烟田与水稻生产功能区融合建设，推行烟稻轮作模式，优先选择水稻生产功能区建设永久基本烟田8万亩。</w:t>
            </w:r>
          </w:p>
          <w:p>
            <w:pPr>
              <w:spacing w:line="56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土壤肥力保护提升工程：</w:t>
            </w:r>
            <w:r>
              <w:rPr>
                <w:rFonts w:ascii="Times New Roman" w:hAnsi="Times New Roman" w:eastAsia="宋体" w:cs="Times New Roman"/>
                <w:color w:val="000000" w:themeColor="text1"/>
                <w14:textFill>
                  <w14:solidFill>
                    <w14:schemeClr w14:val="tx1"/>
                  </w14:solidFill>
                </w14:textFill>
              </w:rPr>
              <w:t>全面推进建设占用耕地耕作层剥离再利用，将相关费用列入建设项目投资预算，提高补充耕地质量。将中低质量耕地纳入高标准农田建设范围，实施提质改造。加强新增耕地后期培肥改良，开展退化耕地综合治理、污染耕地阻控修复等，加速土壤熟化提质，实施测土配方施肥，有效提高耕地产能。</w:t>
            </w:r>
          </w:p>
          <w:p>
            <w:pPr>
              <w:spacing w:line="560" w:lineRule="exact"/>
              <w:ind w:firstLine="562" w:firstLineChars="200"/>
              <w:jc w:val="both"/>
              <w:textAlignment w:val="center"/>
              <w:rPr>
                <w:rFonts w:ascii="Times New Roman" w:hAnsi="Times New Roman" w:eastAsia="宋体" w:cs="Times New Roman"/>
                <w:sz w:val="32"/>
                <w:szCs w:val="32"/>
              </w:rPr>
            </w:pPr>
            <w:r>
              <w:rPr>
                <w:rFonts w:ascii="Times New Roman" w:hAnsi="Times New Roman" w:eastAsia="宋体" w:cs="Times New Roman"/>
                <w:b/>
                <w:bCs/>
                <w:color w:val="000000" w:themeColor="text1"/>
                <w14:textFill>
                  <w14:solidFill>
                    <w14:schemeClr w14:val="tx1"/>
                  </w14:solidFill>
                </w14:textFill>
              </w:rPr>
              <w:t>耕地后备资源开发工程：</w:t>
            </w:r>
            <w:r>
              <w:rPr>
                <w:rFonts w:ascii="Times New Roman" w:hAnsi="Times New Roman" w:eastAsia="宋体" w:cs="Times New Roman"/>
                <w:color w:val="000000" w:themeColor="text1"/>
                <w14:textFill>
                  <w14:solidFill>
                    <w14:schemeClr w14:val="tx1"/>
                  </w14:solidFill>
                </w14:textFill>
              </w:rPr>
              <w:t>持续加大投入，突出水田资源调查，对零星、分散的耕地后备资源整乡整村推进，打捆开发，将有条件开发成水田的尽量开发成水田，充分挖掘增减挂钩补充耕地潜力。大力推进</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空心房</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整治、工矿废弃地复垦和高标准农田建设项目上图入库等工作，提升现有耕地质量，拓宽新增耕地来源。</w:t>
            </w:r>
          </w:p>
        </w:tc>
      </w:tr>
    </w:tbl>
    <w:p>
      <w:pPr>
        <w:spacing w:line="57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推进现代种业发展。</w:t>
      </w:r>
      <w:r>
        <w:rPr>
          <w:rFonts w:ascii="Times New Roman" w:hAnsi="Times New Roman" w:eastAsia="仿宋_GB2312" w:cs="Times New Roman"/>
          <w:color w:val="000000" w:themeColor="text1"/>
          <w:sz w:val="32"/>
          <w:szCs w:val="32"/>
          <w14:textFill>
            <w14:solidFill>
              <w14:schemeClr w14:val="tx1"/>
            </w14:solidFill>
          </w14:textFill>
        </w:rPr>
        <w:t>围绕农作物、畜禽和林果三大种业领域，聚焦于产业体量大、带动力强且具备竞争优势的战略物种和具有本土特点、区域优势的地方物种，重点推进水稻、油菜、茶叶、油茶、金银花、蛋鸡、生猪、楠竹、柑橘、西甜瓜等物种产业创新高质量发展，培育具有竞争力的优良品种、优质企业和优秀品牌。以邵阳国家农业科技园为核心区，协同其他各县市特色种业发展，布局种业科技创新、试验示范与交易交流基地，形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一核多点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的种业发展布局，努力打造全国现代种业发展高地。到2025年，基本建立主要农产品种子种苗体系，现代种业产业规模和综合竞争力明显提升，种子种苗生产经营及其延伸产业总产值达到50亿元。</w:t>
      </w:r>
    </w:p>
    <w:tbl>
      <w:tblPr>
        <w:tblStyle w:val="1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7" w:hRule="atLeast"/>
        </w:trPr>
        <w:tc>
          <w:tcPr>
            <w:tcW w:w="5000" w:type="pct"/>
            <w:tcBorders>
              <w:tl2br w:val="nil"/>
              <w:tr2bl w:val="nil"/>
            </w:tcBorders>
            <w:shd w:val="clear" w:color="auto" w:fill="auto"/>
            <w:tcMar>
              <w:top w:w="12" w:type="dxa"/>
              <w:left w:w="12" w:type="dxa"/>
              <w:right w:w="12" w:type="dxa"/>
            </w:tcMar>
            <w:vAlign w:val="center"/>
          </w:tcPr>
          <w:p>
            <w:pPr>
              <w:spacing w:line="240" w:lineRule="auto"/>
              <w:ind w:firstLine="640" w:firstLineChars="200"/>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专栏20：现代种业发展行动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pPr>
              <w:spacing w:line="56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种业科技引领工程：</w:t>
            </w:r>
            <w:r>
              <w:rPr>
                <w:rFonts w:ascii="Times New Roman" w:hAnsi="Times New Roman" w:eastAsia="宋体" w:cs="Times New Roman"/>
                <w:color w:val="000000" w:themeColor="text1"/>
                <w14:textFill>
                  <w14:solidFill>
                    <w14:schemeClr w14:val="tx1"/>
                  </w14:solidFill>
                </w14:textFill>
              </w:rPr>
              <w:t>重点建设好绥宁县、隆回县、</w:t>
            </w:r>
            <w:r>
              <w:rPr>
                <w:rFonts w:hint="eastAsia" w:ascii="Times New Roman" w:hAnsi="Times New Roman" w:eastAsia="宋体" w:cs="Times New Roman"/>
                <w:color w:val="000000" w:themeColor="text1"/>
                <w14:textFill>
                  <w14:solidFill>
                    <w14:schemeClr w14:val="tx1"/>
                  </w14:solidFill>
                </w14:textFill>
              </w:rPr>
              <w:t>武冈市国家级杂交水稻制种产业园、</w:t>
            </w:r>
            <w:r>
              <w:rPr>
                <w:rFonts w:ascii="Times New Roman" w:hAnsi="Times New Roman" w:eastAsia="宋体" w:cs="Times New Roman"/>
                <w:color w:val="000000" w:themeColor="text1"/>
                <w14:textFill>
                  <w14:solidFill>
                    <w14:schemeClr w14:val="tx1"/>
                  </w14:solidFill>
                </w14:textFill>
              </w:rPr>
              <w:t>邵阳市国家级西甜瓜区域性良种繁育基地、邵东市国家级中药材区域性良种繁育基地等一批现代种业重大项目工程。每年选择2个物种，围绕材料创制、品系改良与新品种培育等创新链关键环节，开展种源</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卡脖子</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技术攻关，形成具有源头性领先优势的种业科技成果。</w:t>
            </w:r>
          </w:p>
          <w:p>
            <w:pPr>
              <w:spacing w:line="56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种业创新成果转化工程：</w:t>
            </w:r>
            <w:r>
              <w:rPr>
                <w:rFonts w:ascii="Times New Roman" w:hAnsi="Times New Roman" w:eastAsia="宋体" w:cs="Times New Roman"/>
                <w:color w:val="000000" w:themeColor="text1"/>
                <w14:textFill>
                  <w14:solidFill>
                    <w14:schemeClr w14:val="tx1"/>
                  </w14:solidFill>
                </w14:textFill>
              </w:rPr>
              <w:t>有序推进生物育种产业化应用。建立</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企业+农户+市场+政府</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的优新品种推广机制，支持农民合作社等新型生产经营主体进行特色经济物种的品种更新与技术应用，带动现代农业发展。开展优新品种与科技服务进村下田行动，通过示范引领、良种补贴等形式，面向农民专业合作社和种养大户推广30个农作物、畜禽和林果特色品种，提高农民新品种、新技术使用率。结合科技人员下乡活动，实现信息科技</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进村入户</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、农产品</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出村进城</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，促进种植农户增收。</w:t>
            </w:r>
            <w:r>
              <w:rPr>
                <w:rFonts w:ascii="Times New Roman" w:hAnsi="Times New Roman" w:eastAsia="宋体" w:cs="Times New Roman"/>
                <w:color w:val="000000" w:themeColor="text1"/>
                <w:spacing w:val="-6"/>
                <w14:textFill>
                  <w14:solidFill>
                    <w14:schemeClr w14:val="tx1"/>
                  </w14:solidFill>
                </w14:textFill>
              </w:rPr>
              <w:t>加快搭建种业交流交易及成果转化平台，推进创新成果集成融合与价值释放。争取举办5场全国性种业高峰论坛，促进种业资源要素聚集</w:t>
            </w:r>
            <w:r>
              <w:rPr>
                <w:rFonts w:ascii="Times New Roman" w:hAnsi="Times New Roman" w:eastAsia="宋体" w:cs="Times New Roman"/>
                <w:color w:val="000000" w:themeColor="text1"/>
                <w14:textFill>
                  <w14:solidFill>
                    <w14:schemeClr w14:val="tx1"/>
                  </w14:solidFill>
                </w14:textFill>
              </w:rPr>
              <w:t>。</w:t>
            </w:r>
          </w:p>
          <w:p>
            <w:pPr>
              <w:spacing w:line="56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种业产业提升工程：</w:t>
            </w:r>
            <w:r>
              <w:rPr>
                <w:rFonts w:ascii="Times New Roman" w:hAnsi="Times New Roman" w:eastAsia="宋体" w:cs="Times New Roman"/>
                <w:color w:val="000000" w:themeColor="text1"/>
                <w:spacing w:val="-6"/>
                <w14:textFill>
                  <w14:solidFill>
                    <w14:schemeClr w14:val="tx1"/>
                  </w14:solidFill>
                </w14:textFill>
              </w:rPr>
              <w:t>推进种业与地方特色产业融合发展，引导种业企业和农业龙头企业合作，通过开发优质高效新品种，培育优质种子种苗，提供生产托管、代收代种、收储加工等配套服务。引导种业企业与其它新型农业经营主体和农户合作，组建生产或服务联合体努力实现种业为引领的三产融合扩面增效。鼓励优势种子种苗企业打造一批以特色种子种苗为引擎，集成生产全程服务的种业产业园区。</w:t>
            </w:r>
          </w:p>
          <w:p>
            <w:pPr>
              <w:spacing w:line="56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种业种质资源保护与利用工程：</w:t>
            </w:r>
            <w:r>
              <w:rPr>
                <w:rFonts w:ascii="Times New Roman" w:hAnsi="Times New Roman" w:eastAsia="宋体" w:cs="Times New Roman"/>
                <w:color w:val="000000" w:themeColor="text1"/>
                <w14:textFill>
                  <w14:solidFill>
                    <w14:schemeClr w14:val="tx1"/>
                  </w14:solidFill>
                </w14:textFill>
              </w:rPr>
              <w:t>全面摸排全市现有农作物、畜禽和林果等种质资源库（圃、场、区）布局及运营情况，建立保护名录、规范运行管理、定期督查指导。加强种质资源活力与遗传完整性监测，及时繁殖与更新复壮，鼓励育繁推一体化企业开展种质资源收集、鉴定和创制，逐步成为种质创新利用的主体。鼓励支持地方品种申请地理标志产品保护和重要农业文化遗产，推动资源优势转化为产业优势。</w:t>
            </w:r>
          </w:p>
        </w:tc>
      </w:tr>
    </w:tbl>
    <w:p>
      <w:pPr>
        <w:pStyle w:val="4"/>
        <w:keepNext w:val="0"/>
        <w:keepLines w:val="0"/>
        <w:widowControl w:val="0"/>
        <w:spacing w:before="386" w:beforeLines="100" w:after="386" w:afterLines="100" w:line="540" w:lineRule="exact"/>
        <w:rPr>
          <w:rFonts w:ascii="Times New Roman" w:hAnsi="Times New Roman" w:cs="Times New Roman"/>
          <w:color w:val="000000" w:themeColor="text1"/>
          <w:szCs w:val="32"/>
          <w14:textFill>
            <w14:solidFill>
              <w14:schemeClr w14:val="tx1"/>
            </w14:solidFill>
          </w14:textFill>
        </w:rPr>
      </w:pPr>
      <w:bookmarkStart w:id="1607" w:name="_Toc16576"/>
      <w:bookmarkStart w:id="1608" w:name="_Toc18080"/>
      <w:bookmarkStart w:id="1609" w:name="_Toc12465"/>
      <w:bookmarkStart w:id="1610" w:name="_Toc31089"/>
      <w:bookmarkStart w:id="1611" w:name="_Toc12051"/>
      <w:bookmarkStart w:id="1612" w:name="_Toc11072"/>
      <w:bookmarkStart w:id="1613" w:name="_Toc10557"/>
      <w:bookmarkStart w:id="1614" w:name="_Toc27747"/>
      <w:bookmarkStart w:id="1615" w:name="_Toc7909"/>
      <w:bookmarkStart w:id="1616" w:name="_Toc2229"/>
      <w:bookmarkStart w:id="1617" w:name="_Toc19182"/>
      <w:bookmarkStart w:id="1618" w:name="_Toc13289"/>
      <w:bookmarkStart w:id="1619" w:name="_Toc32380"/>
      <w:bookmarkStart w:id="1620" w:name="_Toc8296"/>
      <w:bookmarkStart w:id="1621" w:name="_Toc16107"/>
      <w:bookmarkStart w:id="1622" w:name="_Toc17122"/>
      <w:bookmarkStart w:id="1623" w:name="_Toc10351"/>
      <w:bookmarkStart w:id="1624" w:name="_Toc26350"/>
      <w:bookmarkStart w:id="1625" w:name="_Toc231"/>
      <w:bookmarkStart w:id="1626" w:name="_Toc29281"/>
      <w:bookmarkStart w:id="1627" w:name="_Toc10236"/>
      <w:bookmarkStart w:id="1628" w:name="_Toc9782"/>
      <w:bookmarkStart w:id="1629" w:name="_Toc11746"/>
      <w:r>
        <w:rPr>
          <w:rFonts w:ascii="Times New Roman" w:hAnsi="Times New Roman" w:cs="Times New Roman"/>
          <w:color w:val="000000" w:themeColor="text1"/>
          <w:szCs w:val="32"/>
          <w14:textFill>
            <w14:solidFill>
              <w14:schemeClr w14:val="tx1"/>
            </w14:solidFill>
          </w14:textFill>
        </w:rPr>
        <w:t>第六节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推进</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以工补农、以城带乡</w:t>
      </w:r>
      <w:r>
        <w:rPr>
          <w:rFonts w:hint="eastAsia" w:ascii="仿宋" w:hAnsi="仿宋" w:eastAsia="仿宋" w:cs="Times New Roman"/>
          <w:color w:val="000000" w:themeColor="text1"/>
          <w:szCs w:val="32"/>
          <w14:textFill>
            <w14:solidFill>
              <w14:schemeClr w14:val="tx1"/>
            </w14:solidFill>
          </w14:textFill>
        </w:rPr>
        <w:t>”</w:t>
      </w:r>
      <w:r>
        <w:rPr>
          <w:rFonts w:ascii="Times New Roman" w:hAnsi="Times New Roman" w:cs="Times New Roman"/>
          <w:color w:val="000000" w:themeColor="text1"/>
          <w:szCs w:val="32"/>
          <w14:textFill>
            <w14:solidFill>
              <w14:schemeClr w14:val="tx1"/>
            </w14:solidFill>
          </w14:textFill>
        </w:rPr>
        <w:t>试点创新</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pPr>
        <w:widowControl w:val="0"/>
        <w:adjustRightInd/>
        <w:snapToGrid/>
        <w:spacing w:before="0" w:after="0" w:line="54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以产业园区为依托，以骨干企业为引领，以城乡结合部为重点，逐年提高土地出让收益用于乡村振兴比例，强化以工补农、以城带乡，推动形成工农互补、城乡互补、协调发展、共同繁荣的新型工农城乡关系，加快农业农村现代化。</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推进</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企业总部+卫星工厂+扶贫车间</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试点创新。</w:t>
      </w:r>
      <w:r>
        <w:rPr>
          <w:rFonts w:ascii="Times New Roman" w:hAnsi="Times New Roman" w:eastAsia="仿宋_GB2312" w:cs="Times New Roman"/>
          <w:color w:val="000000" w:themeColor="text1"/>
          <w:sz w:val="32"/>
          <w:szCs w:val="32"/>
          <w14:textFill>
            <w14:solidFill>
              <w14:schemeClr w14:val="tx1"/>
            </w14:solidFill>
          </w14:textFill>
        </w:rPr>
        <w:t>抢抓沿海地区劳动密集型企业加速向内地转移的契机，积极承接纺织、服装、制鞋、电子元件等企业。在园区高标准、高质量建设总部基地，发挥企业总部在产品研发设计、质检包装、仓储物流和财务结算等方面的功能，在镇村和社区建设卫星工厂和扶贫车间，实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管理标准、订单发放、原料配送、产品回收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四统一，让群众</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出家门、进厂门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，吸引外出务工人员回流，破解超大劳动密</w:t>
      </w:r>
      <w:r>
        <w:rPr>
          <w:rFonts w:ascii="Times New Roman" w:hAnsi="Times New Roman" w:eastAsia="仿宋_GB2312" w:cs="Times New Roman"/>
          <w:color w:val="000000" w:themeColor="text1"/>
          <w:spacing w:val="-6"/>
          <w:sz w:val="32"/>
          <w:szCs w:val="32"/>
          <w14:textFill>
            <w14:solidFill>
              <w14:schemeClr w14:val="tx1"/>
            </w14:solidFill>
          </w14:textFill>
        </w:rPr>
        <w:t>集型企业招工难、配套难等突出问题，促进群众就近就业、稳定脱贫，实现</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政府、企业、村民</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多方共赢。以九兴鞋业、慕容集团等骨干企业为重点，积极推进试点工作，到2025年，培育20家试点示范企业，带动群众就近就业10万人以上。</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推进</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产业园区+商住组团</w:t>
      </w:r>
      <w:r>
        <w:rPr>
          <w:rFonts w:hint="eastAsia" w:ascii="仿宋" w:hAnsi="仿宋"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试点创新。</w:t>
      </w:r>
      <w:r>
        <w:rPr>
          <w:rFonts w:ascii="Times New Roman" w:hAnsi="Times New Roman" w:eastAsia="仿宋_GB2312" w:cs="Times New Roman"/>
          <w:color w:val="000000" w:themeColor="text1"/>
          <w:sz w:val="32"/>
          <w:szCs w:val="32"/>
          <w14:textFill>
            <w14:solidFill>
              <w14:schemeClr w14:val="tx1"/>
            </w14:solidFill>
          </w14:textFill>
        </w:rPr>
        <w:t>坚持以省级园区为依托，以带动周边村镇发展为重点，按照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项目驱动、功能叠加、彰显特色</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的要求，统一规划、统筹推进。创新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产业园区+</w:t>
      </w:r>
      <w:r>
        <w:rPr>
          <w:rFonts w:hint="eastAsia" w:ascii="Times New Roman" w:hAnsi="Times New Roman" w:eastAsia="仿宋_GB2312" w:cs="Times New Roman"/>
          <w:color w:val="000000" w:themeColor="text1"/>
          <w:sz w:val="32"/>
          <w:szCs w:val="32"/>
          <w14:textFill>
            <w14:solidFill>
              <w14:schemeClr w14:val="tx1"/>
            </w14:solidFill>
          </w14:textFill>
        </w:rPr>
        <w:t>商住</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开发模式，按照五化（硬化、绿化、亮化、美化、净化）、六通（通路、通水、通气、通电话、通宽带、通有线电视）、七有（有医院、有商场、有休闲区、有综合服务中心、有物流配送中心、有幼儿园、有学校）的要求，打造集完善园区综合配套服务、实现有序连片征拆和高水平集中安置、带动乡镇和村级集体经济发展、促进拆迁群众转移就业等为一体的复合功能区，开创产业园区与周边村镇协同发展新局面。</w:t>
      </w:r>
    </w:p>
    <w:p>
      <w:pPr>
        <w:widowControl w:val="0"/>
        <w:spacing w:before="0" w:after="0" w:line="579" w:lineRule="exact"/>
        <w:ind w:firstLine="640" w:firstLineChars="200"/>
        <w:rPr>
          <w:rFonts w:ascii="Times New Roman" w:hAnsi="Times New Roman" w:cs="Times New Roman"/>
          <w:color w:val="000000" w:themeColor="text1"/>
          <w:sz w:val="32"/>
          <w:szCs w:val="32"/>
          <w14:textFill>
            <w14:solidFill>
              <w14:schemeClr w14:val="tx1"/>
            </w14:solidFill>
          </w14:textFill>
        </w:rPr>
      </w:pPr>
      <w:r>
        <w:rPr>
          <w:rFonts w:ascii="Times New Roman" w:hAnsi="Times New Roman" w:cs="Times New Roman"/>
          <w:color w:val="000000" w:themeColor="text1"/>
          <w:sz w:val="32"/>
          <w:szCs w:val="32"/>
          <w14:textFill>
            <w14:solidFill>
              <w14:schemeClr w14:val="tx1"/>
            </w14:solidFill>
          </w14:textFill>
        </w:rPr>
        <w:br w:type="page"/>
      </w:r>
    </w:p>
    <w:p>
      <w:pPr>
        <w:rPr>
          <w:rFonts w:ascii="Times New Roman" w:hAnsi="Times New Roman" w:cs="Times New Roman"/>
        </w:rPr>
      </w:pPr>
      <w:bookmarkStart w:id="1630" w:name="_Toc16601"/>
      <w:bookmarkStart w:id="1631" w:name="_Toc21309"/>
      <w:bookmarkStart w:id="1632" w:name="_Toc8174"/>
      <w:bookmarkStart w:id="1633" w:name="_Toc11523"/>
      <w:bookmarkStart w:id="1634" w:name="_Toc4722"/>
      <w:bookmarkStart w:id="1635" w:name="_Toc7273"/>
      <w:bookmarkStart w:id="1636" w:name="_Toc27281"/>
      <w:bookmarkStart w:id="1637" w:name="_Toc29662"/>
      <w:bookmarkStart w:id="1638" w:name="_Toc17051"/>
      <w:bookmarkStart w:id="1639" w:name="_Toc27462"/>
      <w:bookmarkStart w:id="1640" w:name="_Toc8134"/>
      <w:bookmarkStart w:id="1641" w:name="_Toc6469"/>
      <w:bookmarkStart w:id="1642" w:name="_Toc25304"/>
      <w:bookmarkStart w:id="1643" w:name="_Toc5366"/>
      <w:bookmarkStart w:id="1644" w:name="_Toc13131"/>
      <w:bookmarkStart w:id="1645" w:name="_Toc9466"/>
      <w:bookmarkStart w:id="1646" w:name="_Toc26075"/>
      <w:bookmarkStart w:id="1647" w:name="_Toc3283"/>
      <w:bookmarkStart w:id="1648" w:name="_Toc26756"/>
      <w:bookmarkStart w:id="1649" w:name="_Toc18238"/>
      <w:bookmarkStart w:id="1650" w:name="_Toc23803"/>
      <w:bookmarkStart w:id="1651" w:name="_Toc28486"/>
      <w:bookmarkStart w:id="1652" w:name="_Toc21580"/>
      <w:bookmarkStart w:id="1653" w:name="_Toc30836"/>
      <w:bookmarkStart w:id="1654" w:name="_Toc8538"/>
      <w:bookmarkStart w:id="1655" w:name="_Toc21799"/>
      <w:bookmarkStart w:id="1656" w:name="_Toc12552"/>
      <w:bookmarkStart w:id="1657" w:name="_Toc27707"/>
      <w:bookmarkStart w:id="1658" w:name="_Toc21212"/>
      <w:bookmarkStart w:id="1659" w:name="_Toc23475"/>
      <w:bookmarkStart w:id="1660" w:name="_Toc15721"/>
      <w:bookmarkStart w:id="1661" w:name="_Toc29110"/>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1662" w:name="_Toc22245"/>
      <w:bookmarkStart w:id="1663" w:name="_Toc5849"/>
      <w:bookmarkStart w:id="1664" w:name="_Toc18434"/>
      <w:bookmarkStart w:id="1665" w:name="_Toc17162"/>
      <w:bookmarkStart w:id="1666" w:name="_Toc20786"/>
      <w:r>
        <w:rPr>
          <w:rFonts w:ascii="Times New Roman" w:hAnsi="Times New Roman" w:cs="Times New Roman"/>
          <w:color w:val="000000" w:themeColor="text1"/>
          <w14:textFill>
            <w14:solidFill>
              <w14:schemeClr w14:val="tx1"/>
            </w14:solidFill>
          </w14:textFill>
        </w:rPr>
        <w:t>第九章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优化区域布局 加快推进新型城镇化</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实施以促进人的城镇化为核心、以提高城镇化质量为导向的新型城镇化战略，优化区域空间结构，推动形成主体功能分区，加快形成区域战略清晰、空间重点突出、城乡发展一体的区域发展格局。到2025年，全市常住人口城镇化率达到57.5%以上，年均提升1.5个百分点。</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667" w:name="_Toc3501"/>
      <w:bookmarkStart w:id="1668" w:name="_Toc15891"/>
      <w:bookmarkStart w:id="1669" w:name="_Toc26572"/>
      <w:bookmarkStart w:id="1670" w:name="_Toc26860"/>
      <w:bookmarkStart w:id="1671" w:name="_Toc25680"/>
      <w:bookmarkStart w:id="1672" w:name="_Toc305"/>
      <w:bookmarkStart w:id="1673" w:name="_Toc28017"/>
      <w:bookmarkStart w:id="1674" w:name="_Toc17342"/>
      <w:bookmarkStart w:id="1675" w:name="_Toc14258"/>
      <w:bookmarkStart w:id="1676" w:name="_Toc4013"/>
      <w:bookmarkStart w:id="1677" w:name="_Toc6867"/>
      <w:bookmarkStart w:id="1678" w:name="_Toc20979"/>
      <w:bookmarkStart w:id="1679" w:name="_Toc10115"/>
      <w:bookmarkStart w:id="1680" w:name="_Toc295"/>
      <w:bookmarkStart w:id="1681" w:name="_Toc32728"/>
      <w:bookmarkStart w:id="1682" w:name="_Toc32465"/>
      <w:bookmarkStart w:id="1683" w:name="_Toc31176"/>
      <w:bookmarkStart w:id="1684" w:name="_Toc28874"/>
      <w:bookmarkStart w:id="1685" w:name="_Toc5767"/>
      <w:bookmarkStart w:id="1686" w:name="_Toc21998"/>
      <w:bookmarkStart w:id="1687" w:name="_Toc14410"/>
      <w:bookmarkStart w:id="1688" w:name="_Toc25011"/>
      <w:bookmarkStart w:id="1689" w:name="_Toc9366"/>
      <w:bookmarkStart w:id="1690" w:name="_Toc30024"/>
      <w:bookmarkStart w:id="1691" w:name="_Toc15081"/>
      <w:bookmarkStart w:id="1692" w:name="_Toc19410"/>
      <w:bookmarkStart w:id="1693" w:name="_Toc12136"/>
      <w:bookmarkStart w:id="1694" w:name="_Toc18381"/>
      <w:bookmarkStart w:id="1695" w:name="_Toc27445"/>
      <w:bookmarkStart w:id="1696" w:name="_Toc13853"/>
      <w:bookmarkStart w:id="1697" w:name="_Toc7220"/>
      <w:bookmarkStart w:id="1698" w:name="_Toc20369"/>
      <w:bookmarkStart w:id="1699" w:name="_Toc10133"/>
      <w:bookmarkStart w:id="1700" w:name="_Toc9776"/>
      <w:bookmarkStart w:id="1701" w:name="_Toc15124"/>
      <w:bookmarkStart w:id="1702" w:name="_Toc11769"/>
      <w:bookmarkStart w:id="1703" w:name="_Toc29873"/>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建</w:t>
      </w:r>
      <w:bookmarkEnd w:id="1667"/>
      <w:bookmarkEnd w:id="1668"/>
      <w:bookmarkEnd w:id="1669"/>
      <w:bookmarkEnd w:id="1670"/>
      <w:bookmarkEnd w:id="1671"/>
      <w:bookmarkEnd w:id="1672"/>
      <w:r>
        <w:rPr>
          <w:rFonts w:ascii="Times New Roman" w:hAnsi="Times New Roman" w:cs="Times New Roman"/>
          <w:color w:val="000000" w:themeColor="text1"/>
          <w:szCs w:val="32"/>
          <w14:textFill>
            <w14:solidFill>
              <w14:schemeClr w14:val="tx1"/>
            </w14:solidFill>
          </w14:textFill>
        </w:rPr>
        <w:t>立空间规划体系</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pPr>
        <w:widowControl w:val="0"/>
        <w:adjustRightInd/>
        <w:snapToGrid/>
        <w:spacing w:before="0" w:after="0" w:line="560" w:lineRule="exact"/>
        <w:ind w:firstLine="640"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全面落实国家国土空间规划纲要，推动总体规划与专项规划和详细规划有机衔接。科学划定生态保护红线、永久基本农田、城镇开发边界三条控制线，逐步形成城市化地区、农产品主产区、生态功能区三大空间格局，优化重大基础设施、重大生产力和公共资源布局。</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建立国土空间规划体系。</w:t>
      </w:r>
      <w:r>
        <w:rPr>
          <w:rFonts w:ascii="Times New Roman" w:hAnsi="Times New Roman" w:eastAsia="仿宋_GB2312" w:cs="Times New Roman"/>
          <w:color w:val="000000" w:themeColor="text1"/>
          <w:sz w:val="32"/>
          <w:szCs w:val="32"/>
          <w14:textFill>
            <w14:solidFill>
              <w14:schemeClr w14:val="tx1"/>
            </w14:solidFill>
          </w14:textFill>
        </w:rPr>
        <w:t>支持城市化地区高效率聚集经济和人口保护基本农田和生态空间，支持农产品主产区增强农业生产能力，支持生态功能区把发展重点放在保护生态环境、提供生态产品上，支持生态功能区的人口逐步有序转移，科学合理调整优化生态功能布局。完善规划法规政策体系，强化规划监督实施，严格审批和监管，确保</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一张蓝图干到底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完善国土空间用途管制机制。</w:t>
      </w:r>
      <w:r>
        <w:rPr>
          <w:rFonts w:ascii="Times New Roman" w:hAnsi="Times New Roman" w:eastAsia="仿宋_GB2312" w:cs="Times New Roman"/>
          <w:color w:val="000000" w:themeColor="text1"/>
          <w:sz w:val="32"/>
          <w:szCs w:val="32"/>
          <w14:textFill>
            <w14:solidFill>
              <w14:schemeClr w14:val="tx1"/>
            </w14:solidFill>
          </w14:textFill>
        </w:rPr>
        <w:t>打造用地全称一体化管理体系，进一步打通审批、供应、登记全流程，实现省市县统一平台，逐宗对土地进行管理，将规划管控和用途管制要求贯穿全过程、各环节</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打造自然资源监测保护体系，健全影像统筹机制，完善卫星监测体系，及时掌握自然资源变化情况。加强自然资源执法保障，完善月度卫片执法机制，加强自然资源督察工作。加强自然资源调查评价监测和确权登记。</w:t>
      </w:r>
    </w:p>
    <w:p>
      <w:pPr>
        <w:widowControl w:val="0"/>
        <w:adjustRightInd/>
        <w:snapToGrid/>
        <w:spacing w:before="0" w:after="0" w:line="560" w:lineRule="exact"/>
        <w:ind w:firstLine="643"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明确国土空间开发保护格局。</w:t>
      </w:r>
      <w:r>
        <w:rPr>
          <w:rFonts w:ascii="Times New Roman" w:hAnsi="Times New Roman" w:eastAsia="仿宋_GB2312" w:cs="Times New Roman"/>
          <w:color w:val="000000" w:themeColor="text1"/>
          <w:spacing w:val="-6"/>
          <w:sz w:val="32"/>
          <w:szCs w:val="32"/>
          <w14:textFill>
            <w14:solidFill>
              <w14:schemeClr w14:val="tx1"/>
            </w14:solidFill>
          </w14:textFill>
        </w:rPr>
        <w:t>以资江为纽带，以邵水、夫夷水为脉络，以雪峰山、大南山、越城岭山脉为自然屏障，以大南山-雪峰山-龙山山体、大南山-越城岭山体、大南山-云山山体、资江-越城岭崀山为生态廊道，以新宁崀山、舜皇山；城步南山、金童山；武冈云山；绥宁黄桑、城市公园等多个生态斑块点，构建</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一江、两水、三山、四廊、多点</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的生态安全格局。</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704" w:name="_Toc30067"/>
      <w:bookmarkStart w:id="1705" w:name="_Toc9784"/>
      <w:bookmarkStart w:id="1706" w:name="_Toc683"/>
      <w:bookmarkStart w:id="1707" w:name="_Toc2723"/>
      <w:bookmarkStart w:id="1708" w:name="_Toc28389"/>
      <w:bookmarkStart w:id="1709" w:name="_Toc26112"/>
      <w:bookmarkStart w:id="1710" w:name="_Toc19183"/>
      <w:bookmarkStart w:id="1711" w:name="_Toc30519"/>
      <w:bookmarkStart w:id="1712" w:name="_Toc27322"/>
      <w:bookmarkStart w:id="1713" w:name="_Toc1133"/>
      <w:bookmarkStart w:id="1714" w:name="_Toc16595"/>
      <w:bookmarkStart w:id="1715" w:name="_Toc5108"/>
      <w:bookmarkStart w:id="1716" w:name="_Toc8037"/>
      <w:bookmarkStart w:id="1717" w:name="_Toc17087"/>
      <w:bookmarkStart w:id="1718" w:name="_Toc15135"/>
      <w:bookmarkStart w:id="1719" w:name="_Toc15975"/>
      <w:bookmarkStart w:id="1720" w:name="_Toc1011"/>
      <w:bookmarkStart w:id="1721" w:name="_Toc22066"/>
      <w:bookmarkStart w:id="1722" w:name="_Toc2314"/>
      <w:bookmarkStart w:id="1723" w:name="_Toc3721"/>
      <w:bookmarkStart w:id="1724" w:name="_Toc1790"/>
      <w:bookmarkStart w:id="1725" w:name="_Toc13823"/>
      <w:bookmarkStart w:id="1726" w:name="_Toc9271"/>
      <w:bookmarkStart w:id="1727" w:name="_Toc6917"/>
      <w:bookmarkStart w:id="1728" w:name="_Toc16373"/>
      <w:bookmarkStart w:id="1729" w:name="_Toc6537"/>
      <w:bookmarkStart w:id="1730" w:name="_Toc28800"/>
      <w:bookmarkStart w:id="1731" w:name="_Toc21520"/>
      <w:bookmarkStart w:id="1732" w:name="_Toc31008"/>
      <w:bookmarkStart w:id="1733" w:name="_Toc4135"/>
      <w:bookmarkStart w:id="1734" w:name="_Toc30211"/>
      <w:bookmarkStart w:id="1735" w:name="_Toc19373"/>
      <w:bookmarkStart w:id="1736" w:name="_Toc25138"/>
      <w:bookmarkStart w:id="1737" w:name="_Toc31723"/>
      <w:bookmarkStart w:id="1738" w:name="_Toc31784"/>
      <w:bookmarkStart w:id="1739" w:name="_Toc17360"/>
      <w:bookmarkStart w:id="1740" w:name="_Toc31686"/>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建设宜居宜业省域副中心城市</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文化宝庆、生态邵阳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定位，坚持精心规划、精致建设、精细管理，优化城市空间形态，彰显城市智慧，加强城市双修，积极谋划建设中心城区，带动周边发展。</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优化提升城市空间形态。</w:t>
      </w:r>
      <w:r>
        <w:rPr>
          <w:rFonts w:ascii="Times New Roman" w:hAnsi="Times New Roman" w:eastAsia="仿宋_GB2312" w:cs="Times New Roman"/>
          <w:color w:val="000000" w:themeColor="text1"/>
          <w:sz w:val="32"/>
          <w:szCs w:val="32"/>
          <w14:textFill>
            <w14:solidFill>
              <w14:schemeClr w14:val="tx1"/>
            </w14:solidFill>
          </w14:textFill>
        </w:rPr>
        <w:t>加快拓城步伐，将邵东市、邵阳县部分乡镇调整纳入中心城区，推动新邵撤县设区，构建包括</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三区一县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大中心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城市格局。围绕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东连、西扩</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北融、南</w:t>
      </w:r>
      <w:r>
        <w:rPr>
          <w:rFonts w:hint="eastAsia" w:ascii="Times New Roman" w:hAnsi="Times New Roman" w:eastAsia="仿宋_GB2312" w:cs="Times New Roman"/>
          <w:color w:val="000000" w:themeColor="text1"/>
          <w:sz w:val="32"/>
          <w:szCs w:val="32"/>
          <w14:textFill>
            <w14:solidFill>
              <w14:schemeClr w14:val="tx1"/>
            </w14:solidFill>
          </w14:textFill>
        </w:rPr>
        <w:t>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城市发展目标，加快城区路网建设，构建城区三环线，完善城区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七横十纵</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路网架构。加快推进邵西大道、虎形山路、新城大道、金鸡路改扩建，加快建设</w:t>
      </w:r>
      <w:r>
        <w:rPr>
          <w:rFonts w:hint="eastAsia" w:ascii="Times New Roman" w:hAnsi="Times New Roman" w:eastAsia="仿宋_GB2312" w:cs="Times New Roman"/>
          <w:color w:val="000000" w:themeColor="text1"/>
          <w:sz w:val="32"/>
          <w:szCs w:val="32"/>
          <w14:textFill>
            <w14:solidFill>
              <w14:schemeClr w14:val="tx1"/>
            </w14:solidFill>
          </w14:textFill>
        </w:rPr>
        <w:t>田江桥、</w:t>
      </w:r>
      <w:r>
        <w:rPr>
          <w:rFonts w:ascii="Times New Roman" w:hAnsi="Times New Roman" w:eastAsia="仿宋_GB2312" w:cs="Times New Roman"/>
          <w:color w:val="000000" w:themeColor="text1"/>
          <w:sz w:val="32"/>
          <w:szCs w:val="32"/>
          <w14:textFill>
            <w14:solidFill>
              <w14:schemeClr w14:val="tx1"/>
            </w14:solidFill>
          </w14:textFill>
        </w:rPr>
        <w:t>苗儿桥、云山桥、中山桥，全面形成中心城区快速路环。加快中心城区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五大功能组团</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建设，做到城中组团功能完善提升，城东组团产城深度融合，城南组团提质配套创新，城西组团加快推进建设，城北组团融城发展。推动城区由</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单中心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多中心</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转型。</w:t>
      </w:r>
    </w:p>
    <w:tbl>
      <w:tblPr>
        <w:tblStyle w:val="14"/>
        <w:tblW w:w="5000" w:type="pct"/>
        <w:tblInd w:w="0" w:type="dxa"/>
        <w:tblLayout w:type="autofit"/>
        <w:tblCellMar>
          <w:top w:w="0" w:type="dxa"/>
          <w:left w:w="0" w:type="dxa"/>
          <w:bottom w:w="0" w:type="dxa"/>
          <w:right w:w="0" w:type="dxa"/>
        </w:tblCellMar>
      </w:tblPr>
      <w:tblGrid>
        <w:gridCol w:w="8868"/>
      </w:tblGrid>
      <w:tr>
        <w:trPr>
          <w:trHeight w:val="680"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专栏21：市中心城区五大功能组团</w:t>
            </w:r>
          </w:p>
        </w:tc>
      </w:tr>
      <w:tr>
        <w:tblPrEx>
          <w:tblCellMar>
            <w:top w:w="0" w:type="dxa"/>
            <w:left w:w="0" w:type="dxa"/>
            <w:bottom w:w="0" w:type="dxa"/>
            <w:right w:w="0" w:type="dxa"/>
          </w:tblCellMar>
        </w:tblPrEx>
        <w:trPr>
          <w:trHeight w:val="864"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城中组团：</w:t>
            </w:r>
            <w:r>
              <w:rPr>
                <w:rFonts w:ascii="Times New Roman" w:hAnsi="Times New Roman" w:eastAsia="宋体" w:cs="Times New Roman"/>
                <w:bCs/>
                <w:color w:val="000000" w:themeColor="text1"/>
                <w:szCs w:val="28"/>
                <w14:textFill>
                  <w14:solidFill>
                    <w14:schemeClr w14:val="tx1"/>
                  </w14:solidFill>
                </w14:textFill>
              </w:rPr>
              <w:t>以大祥区为核心，充分利用宝庆古城墙、资江和邵水等人文历史及自然景观，进一步完善功能和配套，建设邵阳文旅会客厅、景观与文化地标、门户与窗口，打造现代服务业聚集区和品质休闲生态宜居区。</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城东组团：</w:t>
            </w:r>
            <w:r>
              <w:rPr>
                <w:rFonts w:ascii="Times New Roman" w:hAnsi="Times New Roman" w:eastAsia="宋体" w:cs="Times New Roman"/>
                <w:bCs/>
                <w:color w:val="000000" w:themeColor="text1"/>
                <w:szCs w:val="28"/>
                <w14:textFill>
                  <w14:solidFill>
                    <w14:schemeClr w14:val="tx1"/>
                  </w14:solidFill>
                </w14:textFill>
              </w:rPr>
              <w:t>以双清区、经开区为核心，建设经济文化中心，按照产城融合的要求和城市新区的标准，加快推进基础设施建设，加速推动园区产业及配套服务建设，建设集产业集聚、功能现代、多业并兴、生态宜居为一体的新型工业城区，打造城镇化、工业化和信息化深度融合示范区。</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城南组团：</w:t>
            </w:r>
            <w:r>
              <w:rPr>
                <w:rFonts w:ascii="Times New Roman" w:hAnsi="Times New Roman" w:eastAsia="宋体" w:cs="Times New Roman"/>
                <w:bCs/>
                <w:color w:val="000000" w:themeColor="text1"/>
                <w:szCs w:val="28"/>
                <w14:textFill>
                  <w14:solidFill>
                    <w14:schemeClr w14:val="tx1"/>
                  </w14:solidFill>
                </w14:textFill>
              </w:rPr>
              <w:t>以大祥南部片区为核心，加快建设职教新城、体育新城，按照</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学教研产城</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融合发展思路，大力推进邵阳高等教育提质扩容、创新发展，加快推动平台集聚、政策集聚、要素集聚，高起点打造引领未来、辐射全省的人才高地。</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城西组团：</w:t>
            </w:r>
            <w:r>
              <w:rPr>
                <w:rFonts w:ascii="Times New Roman" w:hAnsi="Times New Roman" w:eastAsia="宋体" w:cs="Times New Roman"/>
                <w:bCs/>
                <w:color w:val="000000" w:themeColor="text1"/>
                <w:szCs w:val="28"/>
                <w14:textFill>
                  <w14:solidFill>
                    <w14:schemeClr w14:val="tx1"/>
                  </w14:solidFill>
                </w14:textFill>
              </w:rPr>
              <w:t>以北塔片区为核心，依托资江建设滨江城市综合体，以招商引资为主抓手，以完善功能配套为着力点，着力打造集会展、休闲娱乐、高档地产、商贸物流于一体，具有滨江风貌的高品质中央商务区。</w:t>
            </w:r>
          </w:p>
          <w:p>
            <w:pPr>
              <w:spacing w:before="0" w:after="0" w:line="540" w:lineRule="exact"/>
              <w:ind w:firstLine="562" w:firstLineChars="200"/>
              <w:jc w:val="both"/>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城北组团：</w:t>
            </w:r>
            <w:r>
              <w:rPr>
                <w:rFonts w:ascii="Times New Roman" w:hAnsi="Times New Roman" w:eastAsia="宋体" w:cs="Times New Roman"/>
                <w:bCs/>
                <w:color w:val="000000" w:themeColor="text1"/>
                <w:szCs w:val="28"/>
                <w14:textFill>
                  <w14:solidFill>
                    <w14:schemeClr w14:val="tx1"/>
                  </w14:solidFill>
                </w14:textFill>
              </w:rPr>
              <w:t>以新邵片区为核心，积极推动市中心城区向北拓展，依托优美的山水景观和深厚的文化底蕴，加快都市农业和商贸物流业发展，打造集旅游休闲、社会养老、居住、专业市场等业态于一体的现代化新城。</w:t>
            </w:r>
          </w:p>
        </w:tc>
      </w:tr>
    </w:tbl>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加快智慧城市建设。</w:t>
      </w:r>
      <w:r>
        <w:rPr>
          <w:rFonts w:ascii="Times New Roman" w:hAnsi="Times New Roman" w:eastAsia="仿宋_GB2312" w:cs="Times New Roman"/>
          <w:color w:val="000000" w:themeColor="text1"/>
          <w:sz w:val="32"/>
          <w:szCs w:val="32"/>
          <w14:textFill>
            <w14:solidFill>
              <w14:schemeClr w14:val="tx1"/>
            </w14:solidFill>
          </w14:textFill>
        </w:rPr>
        <w:t>树立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全周期管理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意识，完善城市治理信息化智慧化体系，加快建设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城市数字大脑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构建全市大数据一张网，实现社会治理的精准分析、精准服务、精准治理。整合教育、就业、社保、医疗、公安、城市管理、应急管理、生态治理、社会救助等各类信息资源，实现城市基础数据、部门业务数据的汇聚、管理和分发，各级各部门数据资源互联互通、管理服务深度融合。</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城市双修</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强生态修复。加强城市组团之间的生态绿地建设，对生态用地进行控制，确保组团隔离；加强铁路沿线、外环快速路防护绿地建设。开展海绵城市建设，确保建成区30%以上的面积达到目标要求。加强资江、邵水城区段水系治理和修复，构建良性循环的城市水系统。大力推进清风公园、大岭山公园、东塔公园、北塔公园等生态体育休闲公园项目建设，探索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公园城市</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。加强城市修补。实施城市更新行动，全面推进城镇老旧小区改造，到</w:t>
      </w:r>
      <w:r>
        <w:rPr>
          <w:rFonts w:hint="eastAsia" w:ascii="仿宋" w:hAnsi="仿宋" w:cs="Times New Roman"/>
          <w:color w:val="000000" w:themeColor="text1"/>
          <w:sz w:val="32"/>
          <w:szCs w:val="32"/>
          <w14:textFill>
            <w14:solidFill>
              <w14:schemeClr w14:val="tx1"/>
            </w14:solidFill>
          </w14:textFill>
        </w:rPr>
        <w:t>2025年末</w:t>
      </w:r>
      <w:r>
        <w:rPr>
          <w:rFonts w:ascii="Times New Roman" w:hAnsi="Times New Roman" w:eastAsia="仿宋_GB2312" w:cs="Times New Roman"/>
          <w:color w:val="000000" w:themeColor="text1"/>
          <w:sz w:val="32"/>
          <w:szCs w:val="32"/>
          <w14:textFill>
            <w14:solidFill>
              <w14:schemeClr w14:val="tx1"/>
            </w14:solidFill>
          </w14:textFill>
        </w:rPr>
        <w:t>，基本完成全市2000年前</w:t>
      </w:r>
      <w:r>
        <w:rPr>
          <w:rFonts w:hint="eastAsia" w:ascii="Times New Roman" w:hAnsi="Times New Roman" w:eastAsia="仿宋_GB2312" w:cs="Times New Roman"/>
          <w:color w:val="000000" w:themeColor="text1"/>
          <w:sz w:val="32"/>
          <w:szCs w:val="32"/>
          <w14:textFill>
            <w14:solidFill>
              <w14:schemeClr w14:val="tx1"/>
            </w14:solidFill>
          </w14:textFill>
        </w:rPr>
        <w:t>立项建设</w:t>
      </w:r>
      <w:r>
        <w:rPr>
          <w:rFonts w:ascii="Times New Roman" w:hAnsi="Times New Roman" w:eastAsia="仿宋_GB2312" w:cs="Times New Roman"/>
          <w:color w:val="000000" w:themeColor="text1"/>
          <w:sz w:val="32"/>
          <w:szCs w:val="32"/>
          <w14:textFill>
            <w14:solidFill>
              <w14:schemeClr w14:val="tx1"/>
            </w14:solidFill>
          </w14:textFill>
        </w:rPr>
        <w:t>的老旧小区改造任务。重点推进中心城区路网改造，增加路网密度，提升道路通行能力，缓解交通拥堵压力。加强对城市出入口绿化及雕塑等全要素环境整治、城市广告牌匾整治，实现城市街道景观水平整体提升。加强历史文化名城、历史文化街区、文物保护单位、历史建筑、古树名木的保护和管理，健全历史文化保护体系，促进特色产业和旅游业发展。创新管理模式，探索推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路长制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街长制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，推进城市精细化管理工作，提升邵阳城市管理品质。</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741" w:name="_Toc22499"/>
      <w:bookmarkStart w:id="1742" w:name="_Toc4791"/>
      <w:bookmarkStart w:id="1743" w:name="_Toc16348"/>
      <w:bookmarkStart w:id="1744" w:name="_Toc15510"/>
      <w:bookmarkStart w:id="1745" w:name="_Toc11096"/>
      <w:bookmarkStart w:id="1746" w:name="_Toc19903"/>
      <w:bookmarkStart w:id="1747" w:name="_Toc31106"/>
      <w:bookmarkStart w:id="1748" w:name="_Toc475"/>
      <w:bookmarkStart w:id="1749" w:name="_Toc20185"/>
      <w:bookmarkStart w:id="1750" w:name="_Toc13236"/>
      <w:bookmarkStart w:id="1751" w:name="_Toc8369"/>
      <w:bookmarkStart w:id="1752" w:name="_Toc9259"/>
      <w:bookmarkStart w:id="1753" w:name="_Toc19437"/>
      <w:bookmarkStart w:id="1754" w:name="_Toc25592"/>
      <w:bookmarkStart w:id="1755" w:name="_Toc11371"/>
      <w:bookmarkStart w:id="1756" w:name="_Toc30373"/>
      <w:bookmarkStart w:id="1757" w:name="_Toc11336"/>
      <w:bookmarkStart w:id="1758" w:name="_Toc3378"/>
      <w:bookmarkStart w:id="1759" w:name="_Toc18653"/>
      <w:bookmarkStart w:id="1760" w:name="_Toc2224"/>
      <w:bookmarkStart w:id="1761" w:name="_Toc10113"/>
      <w:bookmarkStart w:id="1762" w:name="_Toc24146"/>
      <w:bookmarkStart w:id="1763" w:name="_Toc29526"/>
      <w:bookmarkStart w:id="1764" w:name="_Toc17252"/>
      <w:bookmarkStart w:id="1765" w:name="_Toc12396"/>
      <w:bookmarkStart w:id="1766" w:name="_Toc26025"/>
      <w:bookmarkStart w:id="1767" w:name="_Toc6283"/>
      <w:bookmarkStart w:id="1768" w:name="_Toc18107"/>
      <w:bookmarkStart w:id="1769" w:name="_Toc29817"/>
      <w:bookmarkStart w:id="1770" w:name="_Toc27880"/>
      <w:bookmarkStart w:id="1771" w:name="_Toc6223"/>
      <w:bookmarkStart w:id="1772" w:name="_Toc18409"/>
      <w:bookmarkStart w:id="1773" w:name="_Toc20147"/>
      <w:bookmarkStart w:id="1774" w:name="_Toc2290"/>
      <w:bookmarkStart w:id="1775" w:name="_Toc1037"/>
      <w:bookmarkStart w:id="1776" w:name="_Toc13016"/>
      <w:bookmarkStart w:id="1777" w:name="_Toc11232"/>
      <w:r>
        <w:rPr>
          <w:rFonts w:ascii="Times New Roman" w:hAnsi="Times New Roman" w:cs="Times New Roman"/>
          <w:color w:val="000000" w:themeColor="text1"/>
          <w:szCs w:val="32"/>
          <w14:textFill>
            <w14:solidFill>
              <w14:schemeClr w14:val="tx1"/>
            </w14:solidFill>
          </w14:textFill>
        </w:rPr>
        <w:t>第三节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推动县域经济高质量发展</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立足各地的资源禀赋，发展基础，以特色产业为重点，以产业园区为载体、以产业融合为方向，宜商则商、宜工则工、宜农则农、宜游则游，推动县域经济高质量发展，让县域经济实力更强、活力更足。到2025年，力争GDP超200亿元的县（市、区）达到8个，其中，超400亿元的达到2个、超1000亿元的达到1个；争取邵东市进入全国百强，2个县进入全省30强。</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促进县域经济特色化发展。</w:t>
      </w:r>
      <w:r>
        <w:rPr>
          <w:rFonts w:ascii="Times New Roman" w:hAnsi="Times New Roman" w:eastAsia="仿宋_GB2312" w:cs="Times New Roman"/>
          <w:color w:val="000000" w:themeColor="text1"/>
          <w:sz w:val="32"/>
          <w:szCs w:val="32"/>
          <w14:textFill>
            <w14:solidFill>
              <w14:schemeClr w14:val="tx1"/>
            </w14:solidFill>
          </w14:textFill>
        </w:rPr>
        <w:t>支持邵东市发展外向型经济，依托邵东经开区、保税中心，深度参与全球经济贸易合作，打造全省开放崛起示范区。推动新邵县、邵阳县、隆回县全力对接粤港澳大湾区、长三角，因地制宜承接和发展一批配套优势特色产业集群，稳步推进新型城镇化，重点发展装备制造、轻工纺织、电子信息、农产品加工等优势产业，打造中部地区轻工产业开放合作区、全省转型升级示范区。支持武冈市全力发展食品加工，打造全国食品工业强市。支持洞口县发展商贸物流和特色农产品加工，建设湘西南商贸物流中心和国家现代农业示范区。支持新宁县发展全域旅游，建设湘西南旅游中心城市。支持城步苗族自治县、绥宁县发展生态特色农业、医药健康产业，建设全国绿色发展示范区和生态康养休闲示范区。</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推动县城城镇化补短板强弱项。</w:t>
      </w:r>
      <w:r>
        <w:rPr>
          <w:rFonts w:ascii="Times New Roman" w:hAnsi="Times New Roman" w:eastAsia="仿宋_GB2312" w:cs="Times New Roman"/>
          <w:color w:val="000000" w:themeColor="text1"/>
          <w:sz w:val="32"/>
          <w:szCs w:val="32"/>
          <w14:textFill>
            <w14:solidFill>
              <w14:schemeClr w14:val="tx1"/>
            </w14:solidFill>
          </w14:textFill>
        </w:rPr>
        <w:t>聚焦县城及县级市城区，推动公共服务设施、环境卫生设施、市政公用设施、产业培育设施4大领域17项建设任务实施。围绕政府专项债券、中央预算内投资支持领域，谋划筛选一批前期手续完备、建设条件成熟的公益性项目纳入国家重大建设项目库，争取更多新增债券额度、财政资金支持。建立健全金融资本与工商资本联动机制、政银企对接机制，强化各类投融资模式运用能力，保障县城区准公益性及经营性固定资产投资项目建设。</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创新县域发展体制机制。</w:t>
      </w:r>
      <w:r>
        <w:rPr>
          <w:rFonts w:ascii="Times New Roman" w:hAnsi="Times New Roman" w:eastAsia="仿宋_GB2312" w:cs="Times New Roman"/>
          <w:color w:val="000000" w:themeColor="text1"/>
          <w:sz w:val="32"/>
          <w:szCs w:val="32"/>
          <w14:textFill>
            <w14:solidFill>
              <w14:schemeClr w14:val="tx1"/>
            </w14:solidFill>
          </w14:textFill>
        </w:rPr>
        <w:t>支持县域做大做强各类融资平台，增强融资及项目建设能力。建立健全各县市产业互补配套的共赢模式和长效机制，鼓励实施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飞地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税收分成政策，支持符合条件的县市建立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飞地经济</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示范园区，促进产业优化布局发展。制定差异化发展配套政策，对县市实行与国土空间发展定位相适应的考核机制，促进县域经济加快发展。</w:t>
      </w:r>
    </w:p>
    <w:p>
      <w:pPr>
        <w:widowControl w:val="0"/>
        <w:adjustRightInd/>
        <w:snapToGrid/>
        <w:spacing w:before="0" w:after="193" w:afterLines="5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专栏22：县域城镇化补短板强弱项行动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推进公共服务设施提标扩面。</w:t>
            </w:r>
            <w:r>
              <w:rPr>
                <w:rFonts w:ascii="Times New Roman" w:hAnsi="Times New Roman" w:eastAsia="宋体" w:cs="Times New Roman"/>
                <w:bCs/>
                <w:color w:val="000000" w:themeColor="text1"/>
                <w:szCs w:val="28"/>
                <w14:textFill>
                  <w14:solidFill>
                    <w14:schemeClr w14:val="tx1"/>
                  </w14:solidFill>
                </w14:textFill>
              </w:rPr>
              <w:t>以县级综合医院（含中医院）提标改造、县级疾控中心标准化建设、完善县级妇幼卫生健康服务机构等为重点，健全医疗卫生设施；以建设公办幼儿园、改善义务教育学校设施、建设普通高中校园校舍设施等为重点，完善教育设施；以扩充护理型床位、建设县级特困人员供养服务设施（敬老院）、建设综合性托育服务机构和社区托育服务设施等为重点，改善养老托育设施；以打造新型文旅商业消费聚集区、完善县级公共图书馆文化馆博物馆、改善游客服务中心等旅游配套设施、建设体育公园和城市公园等为重点，发展文旅体育设施；以建设儿童福利设施和未成年人救助保护设施、残疾人康复和托养设施、公共殡仪馆和公益性骨灰安放设施等为重点，完善社会福利设施；以集基本和非基本公共服务等功能于一体的社区生活服务站等为重点，建设社区综合服务设施。</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推进环境卫生设施提级扩能。</w:t>
            </w:r>
            <w:r>
              <w:rPr>
                <w:rFonts w:ascii="Times New Roman" w:hAnsi="Times New Roman" w:eastAsia="宋体" w:cs="Times New Roman"/>
                <w:bCs/>
                <w:color w:val="000000" w:themeColor="text1"/>
                <w:szCs w:val="28"/>
                <w14:textFill>
                  <w14:solidFill>
                    <w14:schemeClr w14:val="tx1"/>
                  </w14:solidFill>
                </w14:textFill>
              </w:rPr>
              <w:t>以建设生活垃圾焚烧终端处理设施、危险废物处理设施等为重点，完善垃圾无害化资源化处理设施；以提高管网收集能力、提标改造污水处理厂、建设污泥无害化资源化处理设施等为重点，健全污水集中处理设施；以配建补建固定公共厕所或移动式公共厕所、改造老旧公共厕所、增加无障碍厕位和第三卫生间等为重点，改善县城公共厕所。</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推进市政公用设施提</w:t>
            </w:r>
            <w:r>
              <w:rPr>
                <w:rFonts w:hint="eastAsia" w:ascii="Times New Roman" w:hAnsi="Times New Roman" w:eastAsia="宋体" w:cs="Times New Roman"/>
                <w:b/>
                <w:color w:val="000000" w:themeColor="text1"/>
                <w:szCs w:val="28"/>
                <w:lang w:val="en-US" w:eastAsia="zh-CN"/>
                <w14:textFill>
                  <w14:solidFill>
                    <w14:schemeClr w14:val="tx1"/>
                  </w14:solidFill>
                </w14:textFill>
              </w:rPr>
              <w:t>档</w:t>
            </w:r>
            <w:r>
              <w:rPr>
                <w:rFonts w:ascii="Times New Roman" w:hAnsi="Times New Roman" w:eastAsia="宋体" w:cs="Times New Roman"/>
                <w:b/>
                <w:color w:val="000000" w:themeColor="text1"/>
                <w:szCs w:val="28"/>
                <w14:textFill>
                  <w14:solidFill>
                    <w14:schemeClr w14:val="tx1"/>
                  </w14:solidFill>
                </w14:textFill>
              </w:rPr>
              <w:t>升级。</w:t>
            </w:r>
            <w:r>
              <w:rPr>
                <w:rFonts w:ascii="Times New Roman" w:hAnsi="Times New Roman" w:eastAsia="宋体" w:cs="Times New Roman"/>
                <w:bCs/>
                <w:color w:val="000000" w:themeColor="text1"/>
                <w:szCs w:val="28"/>
                <w14:textFill>
                  <w14:solidFill>
                    <w14:schemeClr w14:val="tx1"/>
                  </w14:solidFill>
                </w14:textFill>
              </w:rPr>
              <w:t>以建设公共停车场、改造客运站、完善市政道路</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三行系统</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等为重点，优化市政交通设施有效解决</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行车难、停车难</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问题；以更新改造水厂和老旧破损供水管网、完善燃气储气设施和燃气管网、集中改造燃煤锅炉、推进路面电网和通信网架空线入地等为重点，完善市政管网设施；以建设公共配送中心、布设智能快件箱等为重点，发展配送投递设施；以建设新型基础设施、搭建县城智慧化管理平台等为重点，推进县城智慧化改造；以完善水电气路信等配套基础设施和养老托育、停车、便民市场等公共服务设施为重点，更新改造老旧小区。</w:t>
            </w:r>
          </w:p>
          <w:p>
            <w:pPr>
              <w:spacing w:before="0" w:after="0" w:line="540" w:lineRule="exact"/>
              <w:ind w:firstLine="562" w:firstLineChars="200"/>
              <w:jc w:val="both"/>
              <w:textAlignment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推进产业培育设施提质增效。</w:t>
            </w:r>
            <w:r>
              <w:rPr>
                <w:rFonts w:ascii="Times New Roman" w:hAnsi="Times New Roman" w:eastAsia="宋体" w:cs="Times New Roman"/>
                <w:bCs/>
                <w:color w:val="000000" w:themeColor="text1"/>
                <w:spacing w:val="-6"/>
                <w:szCs w:val="28"/>
                <w14:textFill>
                  <w14:solidFill>
                    <w14:schemeClr w14:val="tx1"/>
                  </w14:solidFill>
                </w14:textFill>
              </w:rPr>
              <w:t>以健全检验检测认证中心、技术研发转化中心、智能标准厂房、便企政务服务中心、农村产权交易中心等为重点，完善产业平台配套设施；以建设冷库、生鲜食品低温加工处理中心、冷链物流前置仓等为重点，健全冷链物流设施；以改善交易棚厅、在批发型农贸市场配置检测检疫设备、在零售型农贸市场和社区菜市场完善环保设施、改造畜禽定点屠宰加工厂等为重点，提升农贸市场水平。</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1778" w:name="_Toc3007"/>
      <w:bookmarkStart w:id="1779" w:name="_Toc5096"/>
      <w:bookmarkStart w:id="1780" w:name="_Toc30928"/>
      <w:bookmarkStart w:id="1781" w:name="_Toc7787"/>
      <w:bookmarkStart w:id="1782" w:name="_Toc29942"/>
      <w:bookmarkStart w:id="1783" w:name="_Toc23642"/>
      <w:bookmarkStart w:id="1784" w:name="_Toc26677"/>
      <w:bookmarkStart w:id="1785" w:name="_Toc6009"/>
      <w:bookmarkStart w:id="1786" w:name="_Toc9293"/>
      <w:bookmarkStart w:id="1787" w:name="_Toc14923"/>
      <w:bookmarkStart w:id="1788" w:name="_Toc26071"/>
      <w:bookmarkStart w:id="1789" w:name="_Toc24209"/>
      <w:bookmarkStart w:id="1790" w:name="_Toc14568"/>
      <w:bookmarkStart w:id="1791" w:name="_Toc9751"/>
      <w:bookmarkStart w:id="1792" w:name="_Toc1693"/>
      <w:bookmarkStart w:id="1793" w:name="_Toc11023"/>
      <w:bookmarkStart w:id="1794" w:name="_Toc14047"/>
      <w:bookmarkStart w:id="1795" w:name="_Toc14421"/>
      <w:bookmarkStart w:id="1796" w:name="_Toc20053"/>
      <w:bookmarkStart w:id="1797" w:name="_Toc19285"/>
      <w:bookmarkStart w:id="1798" w:name="_Toc14954"/>
      <w:bookmarkStart w:id="1799" w:name="_Toc5258"/>
      <w:bookmarkStart w:id="1800" w:name="_Toc2162"/>
      <w:bookmarkStart w:id="1801" w:name="_Toc4955"/>
      <w:bookmarkStart w:id="1802" w:name="_Toc24362"/>
      <w:bookmarkStart w:id="1803" w:name="_Toc20173"/>
      <w:bookmarkStart w:id="1804" w:name="_Toc20516"/>
      <w:bookmarkStart w:id="1805" w:name="_Toc28440"/>
      <w:bookmarkStart w:id="1806" w:name="_Toc10235"/>
      <w:bookmarkStart w:id="1807" w:name="_Toc30897"/>
      <w:r>
        <w:rPr>
          <w:rFonts w:ascii="Times New Roman" w:hAnsi="Times New Roman" w:cs="Times New Roman"/>
          <w:color w:val="000000" w:themeColor="text1"/>
          <w:szCs w:val="32"/>
          <w14:textFill>
            <w14:solidFill>
              <w14:schemeClr w14:val="tx1"/>
            </w14:solidFill>
          </w14:textFill>
        </w:rPr>
        <w:t>第四节 加快推进城乡一体化发展进程</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以城带乡、以工带农，围绕提高新型城镇化发展质量，以缩小城乡差距为核心，完善城乡硬件和软件环境，健全城乡发展一体化体制机制，推进城乡基本公共服务均等化，建设幸福村居，在协调发展中拓展发展空间。</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推进农业转移人口市民化。</w:t>
      </w:r>
      <w:r>
        <w:rPr>
          <w:rFonts w:ascii="Times New Roman" w:hAnsi="Times New Roman" w:eastAsia="仿宋_GB2312" w:cs="Times New Roman"/>
          <w:color w:val="000000" w:themeColor="text1"/>
          <w:sz w:val="32"/>
          <w:szCs w:val="32"/>
          <w14:textFill>
            <w14:solidFill>
              <w14:schemeClr w14:val="tx1"/>
            </w14:solidFill>
          </w14:textFill>
        </w:rPr>
        <w:t>深化户籍制度改革，全面取消城镇落户限制，合理引导进城落户农民依法自愿有偿转让土地承包权、宅基地资格权和集体收益分配权。实施居住证制度，积极为居住证持有人提供基本公共服务和便利，逐步实现城镇基本公共服务覆盖全部常住人口。</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推进农民收入持续增长。</w:t>
      </w:r>
      <w:r>
        <w:rPr>
          <w:rFonts w:ascii="Times New Roman" w:hAnsi="Times New Roman" w:eastAsia="仿宋_GB2312" w:cs="Times New Roman"/>
          <w:color w:val="000000" w:themeColor="text1"/>
          <w:sz w:val="32"/>
          <w:szCs w:val="32"/>
          <w14:textFill>
            <w14:solidFill>
              <w14:schemeClr w14:val="tx1"/>
            </w14:solidFill>
          </w14:textFill>
        </w:rPr>
        <w:t>积极发展农村经济，加强财政、金融、科技支农力度，完善城乡对接的流通经营网络。支持大型农业龙头企业、农民专业合作社示范社转向发展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农业总部经济</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发展农业研发、农产品精加工和农产品流通。着力发展新型农村金融组织和小额贷款公司，解决农村融资难问题。积极发展农村民营经济和中小微企业，引导农民成立以土地、资金或产品为纽带的农民专业合作组织，拓宽农民增收渠道。</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推进城乡基础设施一体化。</w:t>
      </w:r>
      <w:r>
        <w:rPr>
          <w:rFonts w:ascii="Times New Roman" w:hAnsi="Times New Roman" w:eastAsia="仿宋_GB2312" w:cs="Times New Roman"/>
          <w:color w:val="000000" w:themeColor="text1"/>
          <w:sz w:val="32"/>
          <w:szCs w:val="32"/>
          <w14:textFill>
            <w14:solidFill>
              <w14:schemeClr w14:val="tx1"/>
            </w14:solidFill>
          </w14:textFill>
        </w:rPr>
        <w:t>加强城镇基础设施向乡村延伸，带动农村基础设施发展。推动电、路、信息等基础设施城乡联网、共建共享，提高农村水、电、气的供给保障能力。推动城乡公共交通一体化。</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推进城乡生态环境保护一体化。</w:t>
      </w:r>
      <w:r>
        <w:rPr>
          <w:rFonts w:ascii="Times New Roman" w:hAnsi="Times New Roman" w:eastAsia="仿宋_GB2312" w:cs="Times New Roman"/>
          <w:color w:val="000000" w:themeColor="text1"/>
          <w:sz w:val="32"/>
          <w:szCs w:val="32"/>
          <w14:textFill>
            <w14:solidFill>
              <w14:schemeClr w14:val="tx1"/>
            </w14:solidFill>
          </w14:textFill>
        </w:rPr>
        <w:t>加快构建城乡一体的环境保护治理体系，构建城乡环境监测预警体系和城乡环境执法监督体系。健全生态环境保护建设补偿整体框架，完善补偿办法，切实保护农民利益。大力推动排污权有偿使用和交易，制定企业环保激励政策。</w:t>
      </w:r>
    </w:p>
    <w:p>
      <w:pPr>
        <w:pStyle w:val="4"/>
        <w:keepNext w:val="0"/>
        <w:keepLines w:val="0"/>
        <w:widowControl w:val="0"/>
        <w:spacing w:before="386" w:beforeLines="100" w:after="386" w:afterLines="100" w:line="560" w:lineRule="exact"/>
        <w:rPr>
          <w:rFonts w:ascii="Times New Roman" w:hAnsi="Times New Roman"/>
          <w:color w:val="000000"/>
          <w:szCs w:val="32"/>
        </w:rPr>
      </w:pPr>
      <w:r>
        <w:rPr>
          <w:rFonts w:ascii="Times New Roman" w:hAnsi="Times New Roman"/>
          <w:color w:val="000000"/>
          <w:szCs w:val="32"/>
        </w:rPr>
        <w:t xml:space="preserve">第五节 </w:t>
      </w:r>
      <w:r>
        <w:rPr>
          <w:rFonts w:hint="eastAsia" w:ascii="Times New Roman" w:hAnsi="Times New Roman"/>
          <w:color w:val="000000"/>
          <w:szCs w:val="32"/>
        </w:rPr>
        <w:t xml:space="preserve"> </w:t>
      </w:r>
      <w:r>
        <w:rPr>
          <w:rFonts w:ascii="Times New Roman" w:hAnsi="Times New Roman"/>
          <w:color w:val="000000"/>
          <w:szCs w:val="32"/>
        </w:rPr>
        <w:t>促进特色小镇规范健康发展</w:t>
      </w:r>
    </w:p>
    <w:p>
      <w:pPr>
        <w:widowControl w:val="0"/>
        <w:adjustRightInd/>
        <w:snapToGrid/>
        <w:spacing w:before="0" w:after="0" w:line="560" w:lineRule="exact"/>
        <w:ind w:firstLine="640" w:firstLineChars="200"/>
        <w:jc w:val="both"/>
        <w:rPr>
          <w:rFonts w:ascii="Times New Roman" w:hAnsi="Times New Roman" w:eastAsia="仿宋_GB2312"/>
          <w:color w:val="000000"/>
          <w:sz w:val="32"/>
          <w:szCs w:val="32"/>
        </w:rPr>
      </w:pPr>
      <w:r>
        <w:rPr>
          <w:rFonts w:ascii="Times New Roman" w:hAnsi="Times New Roman" w:eastAsia="仿宋_GB2312"/>
          <w:color w:val="000000"/>
          <w:sz w:val="32"/>
          <w:szCs w:val="32"/>
        </w:rPr>
        <w:t>准确把握特色小镇发展定位，以培育发展主导产业为重点，促进产城人文融合，突出企业主体地位，健全激励约束机制和规范管理机制，有力有序有效推进特色小镇规范健康发展。到2025年，全市实现培育50个特色小镇。其中，2-3个产业能级达到百亿级，6-8个产业能级达到50亿级，10个以上产业能级达到30亿级。</w:t>
      </w:r>
    </w:p>
    <w:p>
      <w:pPr>
        <w:widowControl w:val="0"/>
        <w:adjustRightInd/>
        <w:snapToGrid/>
        <w:spacing w:before="0" w:after="0" w:line="560" w:lineRule="exact"/>
        <w:ind w:firstLine="643" w:firstLineChars="200"/>
        <w:jc w:val="both"/>
        <w:rPr>
          <w:rFonts w:ascii="Times New Roman" w:hAnsi="Times New Roman" w:eastAsia="仿宋_GB2312"/>
          <w:color w:val="000000"/>
          <w:sz w:val="32"/>
          <w:szCs w:val="32"/>
        </w:rPr>
      </w:pPr>
      <w:r>
        <w:rPr>
          <w:rFonts w:ascii="Times New Roman" w:hAnsi="Times New Roman" w:eastAsia="仿宋_GB2312"/>
          <w:b/>
          <w:bCs/>
          <w:color w:val="000000"/>
          <w:sz w:val="32"/>
          <w:szCs w:val="32"/>
        </w:rPr>
        <w:t>特色发展，聚焦优势产业。</w:t>
      </w:r>
      <w:r>
        <w:rPr>
          <w:rFonts w:ascii="Times New Roman" w:hAnsi="Times New Roman" w:eastAsia="仿宋_GB2312"/>
          <w:color w:val="000000"/>
          <w:sz w:val="32"/>
          <w:szCs w:val="32"/>
        </w:rPr>
        <w:t>立足当地特色产业基础，把握未来发展方向，本着不求</w:t>
      </w:r>
      <w:r>
        <w:rPr>
          <w:rFonts w:hint="eastAsia" w:ascii="仿宋" w:hAnsi="仿宋"/>
          <w:color w:val="000000"/>
          <w:sz w:val="32"/>
          <w:szCs w:val="32"/>
        </w:rPr>
        <w:t>“</w:t>
      </w:r>
      <w:r>
        <w:rPr>
          <w:rFonts w:ascii="Times New Roman" w:hAnsi="Times New Roman" w:eastAsia="仿宋_GB2312"/>
          <w:color w:val="000000"/>
          <w:sz w:val="32"/>
          <w:szCs w:val="32"/>
        </w:rPr>
        <w:t>大而全</w:t>
      </w:r>
      <w:r>
        <w:rPr>
          <w:rFonts w:hint="eastAsia" w:ascii="仿宋" w:hAnsi="仿宋"/>
          <w:color w:val="000000"/>
          <w:sz w:val="32"/>
          <w:szCs w:val="32"/>
        </w:rPr>
        <w:t>”</w:t>
      </w:r>
      <w:r>
        <w:rPr>
          <w:rFonts w:ascii="Times New Roman" w:hAnsi="Times New Roman" w:eastAsia="仿宋_GB2312"/>
          <w:color w:val="000000"/>
          <w:sz w:val="32"/>
          <w:szCs w:val="32"/>
        </w:rPr>
        <w:t>、但求</w:t>
      </w:r>
      <w:r>
        <w:rPr>
          <w:rFonts w:hint="eastAsia" w:ascii="仿宋" w:hAnsi="仿宋"/>
          <w:color w:val="000000"/>
          <w:sz w:val="32"/>
          <w:szCs w:val="32"/>
        </w:rPr>
        <w:t>“</w:t>
      </w:r>
      <w:r>
        <w:rPr>
          <w:rFonts w:ascii="Times New Roman" w:hAnsi="Times New Roman" w:eastAsia="仿宋_GB2312"/>
          <w:color w:val="000000"/>
          <w:sz w:val="32"/>
          <w:szCs w:val="32"/>
        </w:rPr>
        <w:t>特而强</w:t>
      </w:r>
      <w:r>
        <w:rPr>
          <w:rFonts w:hint="eastAsia" w:ascii="仿宋" w:hAnsi="仿宋"/>
          <w:color w:val="000000"/>
          <w:sz w:val="32"/>
          <w:szCs w:val="32"/>
        </w:rPr>
        <w:t>”</w:t>
      </w:r>
      <w:r>
        <w:rPr>
          <w:rFonts w:ascii="Times New Roman" w:hAnsi="Times New Roman" w:eastAsia="仿宋_GB2312"/>
          <w:color w:val="000000"/>
          <w:sz w:val="32"/>
          <w:szCs w:val="32"/>
        </w:rPr>
        <w:t>的原则，每个特色小镇明确1个主导产业，打造具有核心竞争力的产业品牌。重点培育工业、农业、文化旅游等特色产业。鼓励建设以制造类、研发类产业为主体的特色小镇。大力培育龙头企业，培育和发展骨干企业。工业特色小镇，要延伸产业链条，打造产业集群，培育和发展工业产业龙头企业；农业特色小镇，要培育和发展现代农业产业化的龙头企业；文旅康养特色小镇，要培育和发展文旅康养龙头企业。</w:t>
      </w:r>
    </w:p>
    <w:p>
      <w:pPr>
        <w:widowControl w:val="0"/>
        <w:adjustRightInd/>
        <w:snapToGrid/>
        <w:spacing w:before="0" w:after="0" w:line="560" w:lineRule="exact"/>
        <w:ind w:firstLine="643" w:firstLineChars="200"/>
        <w:jc w:val="both"/>
        <w:rPr>
          <w:rFonts w:ascii="Times New Roman" w:hAnsi="Times New Roman" w:eastAsia="仿宋_GB2312"/>
          <w:color w:val="000000"/>
          <w:sz w:val="32"/>
          <w:szCs w:val="32"/>
        </w:rPr>
      </w:pPr>
      <w:r>
        <w:rPr>
          <w:rFonts w:ascii="Times New Roman" w:hAnsi="Times New Roman" w:eastAsia="仿宋_GB2312"/>
          <w:b/>
          <w:bCs/>
          <w:color w:val="000000"/>
          <w:sz w:val="32"/>
          <w:szCs w:val="32"/>
        </w:rPr>
        <w:t>融合发展，强化功能聚合。</w:t>
      </w:r>
      <w:r>
        <w:rPr>
          <w:rFonts w:ascii="Times New Roman" w:hAnsi="Times New Roman" w:eastAsia="仿宋_GB2312"/>
          <w:color w:val="000000"/>
          <w:sz w:val="32"/>
          <w:szCs w:val="32"/>
        </w:rPr>
        <w:t>坚持</w:t>
      </w:r>
      <w:r>
        <w:rPr>
          <w:rFonts w:hint="eastAsia" w:ascii="仿宋" w:hAnsi="仿宋"/>
          <w:color w:val="000000"/>
          <w:sz w:val="32"/>
          <w:szCs w:val="32"/>
        </w:rPr>
        <w:t>“</w:t>
      </w:r>
      <w:r>
        <w:rPr>
          <w:rFonts w:ascii="Times New Roman" w:hAnsi="Times New Roman" w:eastAsia="仿宋_GB2312"/>
          <w:color w:val="000000"/>
          <w:sz w:val="32"/>
          <w:szCs w:val="32"/>
        </w:rPr>
        <w:t>产、城、人、文</w:t>
      </w:r>
      <w:r>
        <w:rPr>
          <w:rFonts w:hint="eastAsia" w:ascii="仿宋" w:hAnsi="仿宋"/>
          <w:color w:val="000000"/>
          <w:sz w:val="32"/>
          <w:szCs w:val="32"/>
        </w:rPr>
        <w:t>”</w:t>
      </w:r>
      <w:r>
        <w:rPr>
          <w:rFonts w:ascii="Times New Roman" w:hAnsi="Times New Roman" w:eastAsia="仿宋_GB2312"/>
          <w:color w:val="000000"/>
          <w:sz w:val="32"/>
          <w:szCs w:val="32"/>
        </w:rPr>
        <w:t>四位一体和生产、生活、生态融合发展，打造宜业宜居宜游的新型空间。叠加现代社区功能，结合教育、医疗、养老整体布局提供优质公共服务，完善社区服务、商业服务和交通站点，建设15分钟便捷生活圈。叠加文化功能，挖掘工业文化等产业衍生文化，促进优秀传统文化与现代生活相互交融，建设展示小镇建设整体图景和文化魅力的公共空间。叠加旅游功能，加强遗产遗迹保护，因地制宜开展绿化亮化美化，打造彰显地域特征的特色建筑，保护修复生态环境。完善创新创业平台、基础设施配套和公共服务保障，强化功能叠加效应，推进融合发展。</w:t>
      </w:r>
    </w:p>
    <w:p>
      <w:pPr>
        <w:widowControl w:val="0"/>
        <w:adjustRightInd/>
        <w:snapToGrid/>
        <w:spacing w:before="0" w:after="193" w:afterLines="50" w:line="560" w:lineRule="exact"/>
        <w:ind w:firstLine="643" w:firstLineChars="200"/>
        <w:jc w:val="both"/>
        <w:rPr>
          <w:rFonts w:ascii="Times New Roman" w:hAnsi="Times New Roman" w:eastAsia="仿宋_GB2312"/>
          <w:color w:val="000000"/>
          <w:sz w:val="32"/>
          <w:szCs w:val="32"/>
        </w:rPr>
      </w:pPr>
      <w:r>
        <w:rPr>
          <w:rFonts w:ascii="Times New Roman" w:hAnsi="Times New Roman" w:eastAsia="仿宋_GB2312"/>
          <w:b/>
          <w:bCs/>
          <w:color w:val="000000"/>
          <w:sz w:val="32"/>
          <w:szCs w:val="32"/>
        </w:rPr>
        <w:t>创新发展，坚持市场运作。</w:t>
      </w:r>
      <w:r>
        <w:rPr>
          <w:rFonts w:ascii="Times New Roman" w:hAnsi="Times New Roman" w:eastAsia="仿宋_GB2312"/>
          <w:color w:val="000000"/>
          <w:spacing w:val="-6"/>
          <w:sz w:val="32"/>
          <w:szCs w:val="32"/>
        </w:rPr>
        <w:t>坚持</w:t>
      </w:r>
      <w:r>
        <w:rPr>
          <w:rFonts w:hint="eastAsia" w:ascii="仿宋" w:hAnsi="仿宋"/>
          <w:color w:val="000000"/>
          <w:spacing w:val="-6"/>
          <w:sz w:val="32"/>
          <w:szCs w:val="32"/>
        </w:rPr>
        <w:t>“</w:t>
      </w:r>
      <w:r>
        <w:rPr>
          <w:rFonts w:ascii="Times New Roman" w:hAnsi="Times New Roman" w:eastAsia="仿宋_GB2312"/>
          <w:color w:val="000000"/>
          <w:spacing w:val="-6"/>
          <w:sz w:val="32"/>
          <w:szCs w:val="32"/>
        </w:rPr>
        <w:t>政府引导、企业主体、群众参与、市场化运作</w:t>
      </w:r>
      <w:r>
        <w:rPr>
          <w:rFonts w:hint="eastAsia" w:ascii="仿宋" w:hAnsi="仿宋"/>
          <w:color w:val="000000"/>
          <w:spacing w:val="-6"/>
          <w:sz w:val="32"/>
          <w:szCs w:val="32"/>
        </w:rPr>
        <w:t>”</w:t>
      </w:r>
      <w:r>
        <w:rPr>
          <w:rFonts w:ascii="Times New Roman" w:hAnsi="Times New Roman" w:eastAsia="仿宋_GB2312"/>
          <w:color w:val="000000"/>
          <w:spacing w:val="-6"/>
          <w:sz w:val="32"/>
          <w:szCs w:val="32"/>
        </w:rPr>
        <w:t>的原则，充分发挥市场在资源配置中的决定性作用。积极做活体制机制。推进</w:t>
      </w:r>
      <w:r>
        <w:rPr>
          <w:rFonts w:hint="eastAsia" w:ascii="仿宋" w:hAnsi="仿宋"/>
          <w:color w:val="000000"/>
          <w:spacing w:val="-6"/>
          <w:sz w:val="32"/>
          <w:szCs w:val="32"/>
        </w:rPr>
        <w:t>“</w:t>
      </w:r>
      <w:r>
        <w:rPr>
          <w:rFonts w:ascii="Times New Roman" w:hAnsi="Times New Roman" w:eastAsia="仿宋_GB2312"/>
          <w:color w:val="000000"/>
          <w:spacing w:val="-6"/>
          <w:sz w:val="32"/>
          <w:szCs w:val="32"/>
        </w:rPr>
        <w:t>区域能评、环评+区块能耗、环境标准</w:t>
      </w:r>
      <w:r>
        <w:rPr>
          <w:rFonts w:hint="eastAsia" w:ascii="仿宋" w:hAnsi="仿宋"/>
          <w:color w:val="000000"/>
          <w:spacing w:val="-6"/>
          <w:sz w:val="32"/>
          <w:szCs w:val="32"/>
        </w:rPr>
        <w:t>”</w:t>
      </w:r>
      <w:r>
        <w:rPr>
          <w:rFonts w:ascii="Times New Roman" w:hAnsi="Times New Roman" w:eastAsia="仿宋_GB2312"/>
          <w:color w:val="000000"/>
          <w:spacing w:val="-6"/>
          <w:sz w:val="32"/>
          <w:szCs w:val="32"/>
        </w:rPr>
        <w:t>改革，鼓励特色小镇结合工作实践创新体制机制，实现</w:t>
      </w:r>
      <w:r>
        <w:rPr>
          <w:rFonts w:hint="eastAsia" w:ascii="仿宋" w:hAnsi="仿宋"/>
          <w:color w:val="000000"/>
          <w:spacing w:val="-6"/>
          <w:sz w:val="32"/>
          <w:szCs w:val="32"/>
        </w:rPr>
        <w:t>“</w:t>
      </w:r>
      <w:r>
        <w:rPr>
          <w:rFonts w:ascii="Times New Roman" w:hAnsi="Times New Roman" w:eastAsia="仿宋_GB2312"/>
          <w:color w:val="000000"/>
          <w:spacing w:val="-6"/>
          <w:sz w:val="32"/>
          <w:szCs w:val="32"/>
        </w:rPr>
        <w:t>小镇事小镇办</w:t>
      </w:r>
      <w:r>
        <w:rPr>
          <w:rFonts w:hint="eastAsia" w:ascii="仿宋" w:hAnsi="仿宋"/>
          <w:color w:val="000000"/>
          <w:spacing w:val="-6"/>
          <w:sz w:val="32"/>
          <w:szCs w:val="32"/>
        </w:rPr>
        <w:t>”</w:t>
      </w:r>
      <w:r>
        <w:rPr>
          <w:rFonts w:ascii="Times New Roman" w:hAnsi="Times New Roman" w:eastAsia="仿宋_GB2312"/>
          <w:color w:val="000000"/>
          <w:spacing w:val="-6"/>
          <w:sz w:val="32"/>
          <w:szCs w:val="32"/>
        </w:rPr>
        <w:t>的创新工作模式。创新投融资模式，鼓励运用企业上市、债券融资、PPP、众筹等方式推动特色小镇基础设施建设。</w:t>
      </w:r>
    </w:p>
    <w:tbl>
      <w:tblPr>
        <w:tblStyle w:val="14"/>
        <w:tblW w:w="5000" w:type="pct"/>
        <w:tblInd w:w="0" w:type="dxa"/>
        <w:tblLayout w:type="autofit"/>
        <w:tblCellMar>
          <w:top w:w="0" w:type="dxa"/>
          <w:left w:w="0" w:type="dxa"/>
          <w:bottom w:w="0" w:type="dxa"/>
          <w:right w:w="0" w:type="dxa"/>
        </w:tblCellMar>
      </w:tblPr>
      <w:tblGrid>
        <w:gridCol w:w="8868"/>
      </w:tblGrid>
      <w:tr>
        <w:trPr>
          <w:trHeight w:val="627"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专栏23：特色小镇发展专项行动</w:t>
            </w:r>
          </w:p>
        </w:tc>
      </w:tr>
      <w:tr>
        <w:tblPrEx>
          <w:tblCellMar>
            <w:top w:w="0" w:type="dxa"/>
            <w:left w:w="0" w:type="dxa"/>
            <w:bottom w:w="0" w:type="dxa"/>
            <w:right w:w="0" w:type="dxa"/>
          </w:tblCellMar>
        </w:tblPrEx>
        <w:trPr>
          <w:trHeight w:val="498"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480" w:lineRule="exact"/>
              <w:ind w:firstLine="560"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根据邵阳特色小镇培育发展现实基础和促进经济转型升级的现实需要，重点发展3类产业为核心的特色小镇。</w:t>
            </w:r>
          </w:p>
          <w:p>
            <w:pPr>
              <w:spacing w:before="0" w:after="0" w:line="48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工业类：</w:t>
            </w:r>
            <w:r>
              <w:rPr>
                <w:rFonts w:ascii="Times New Roman" w:hAnsi="Times New Roman" w:eastAsia="宋体" w:cs="Times New Roman"/>
                <w:color w:val="000000" w:themeColor="text1"/>
                <w:szCs w:val="28"/>
                <w14:textFill>
                  <w14:solidFill>
                    <w14:schemeClr w14:val="tx1"/>
                  </w14:solidFill>
                </w14:textFill>
              </w:rPr>
              <w:t>立足现有工业或商贸优势，依托沪昆走廊沿线已形成的产业集聚区或周边村镇，进行产业化升级改造，以技术公共服务平台和政策扶持为支撑，建设集技术检测与推广、工程研究与实验、成果转化等功能于一体的特色小镇，重点发展信息经济、装备制造、新材料、新能源、节能环保、轻工制品、商贸物流等优势特色产业，全链条促进小镇的特色工业发展。</w:t>
            </w:r>
          </w:p>
          <w:p>
            <w:pPr>
              <w:spacing w:before="0" w:after="0" w:line="48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农业类：</w:t>
            </w:r>
            <w:r>
              <w:rPr>
                <w:rFonts w:ascii="Times New Roman" w:hAnsi="Times New Roman" w:eastAsia="宋体" w:cs="Times New Roman"/>
                <w:color w:val="000000" w:themeColor="text1"/>
                <w:szCs w:val="28"/>
                <w14:textFill>
                  <w14:solidFill>
                    <w14:schemeClr w14:val="tx1"/>
                  </w14:solidFill>
                </w14:textFill>
              </w:rPr>
              <w:t>立足城镇人口集群优势，依托各地特色优质农业资源，在主城区和各县城周边布局一批农产品加工业与休闲、旅游、文化、教育、科普、养生养老等产业深度融合的现代农业特色小镇，积极拓展老龄和亲子两大目标市场，大力发展特色农业、休闲农业、生态农业，开发休闲观光、旅游采摘、农耕体验、科普教育、农商直供、加工体验等。依托特色小镇，</w:t>
            </w:r>
            <w:r>
              <w:rPr>
                <w:rFonts w:hint="eastAsia" w:ascii="Times New Roman" w:hAnsi="Times New Roman" w:eastAsia="宋体" w:cs="Times New Roman"/>
                <w:color w:val="000000" w:themeColor="text1"/>
                <w:szCs w:val="28"/>
                <w14:textFill>
                  <w14:solidFill>
                    <w14:schemeClr w14:val="tx1"/>
                  </w14:solidFill>
                </w14:textFill>
              </w:rPr>
              <w:t>建设</w:t>
            </w:r>
            <w:r>
              <w:rPr>
                <w:rFonts w:ascii="Times New Roman" w:hAnsi="Times New Roman" w:eastAsia="宋体" w:cs="Times New Roman"/>
                <w:color w:val="000000" w:themeColor="text1"/>
                <w:szCs w:val="28"/>
                <w14:textFill>
                  <w14:solidFill>
                    <w14:schemeClr w14:val="tx1"/>
                  </w14:solidFill>
                </w14:textFill>
              </w:rPr>
              <w:t>集标准化原料基地、集约化加工、便利化服务网络于一体的现代农业产业集群，实现产区变景区，田间变公园，产品变礼品。</w:t>
            </w:r>
          </w:p>
          <w:p>
            <w:pPr>
              <w:spacing w:before="0" w:after="0" w:line="48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文化旅游类：</w:t>
            </w:r>
            <w:r>
              <w:rPr>
                <w:rFonts w:ascii="Times New Roman" w:hAnsi="Times New Roman" w:eastAsia="宋体" w:cs="Times New Roman"/>
                <w:color w:val="000000" w:themeColor="text1"/>
                <w:spacing w:val="-6"/>
                <w:szCs w:val="28"/>
                <w14:textFill>
                  <w14:solidFill>
                    <w14:schemeClr w14:val="tx1"/>
                  </w14:solidFill>
                </w14:textFill>
              </w:rPr>
              <w:t>立足历史文化和自然山水特色资源优势，推进全域旅游格局下的旅游文化类特色小镇建设，建设两类旅游文化类特色小镇。一是面向中远途游客市场，深度挖掘宝庆古城、武冈王城、新宁夫夷历史文化古城、魏源思想以及红色文化等独具地域特色的历史文化资源，打造旅游文化特色小镇。二是面向本地和周边养生养老市场，东部以新邵白水洞为核心，西部以崀山、南山、云山、黄桑为核心，打造自然山水创新养生养老产品，建设品质化、专业化的健康养老特色小镇。</w:t>
            </w:r>
          </w:p>
        </w:tc>
      </w:tr>
    </w:tbl>
    <w:p>
      <w:pPr>
        <w:spacing w:before="0" w:after="0" w:line="579" w:lineRule="exact"/>
        <w:ind w:firstLine="56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1808" w:name="_Toc27573"/>
      <w:bookmarkStart w:id="1809" w:name="_Toc29810"/>
      <w:bookmarkStart w:id="1810" w:name="_Toc2600"/>
      <w:bookmarkStart w:id="1811" w:name="_Toc5741"/>
      <w:bookmarkStart w:id="1812" w:name="_Toc22760"/>
      <w:bookmarkStart w:id="1813" w:name="_Toc11734"/>
      <w:bookmarkStart w:id="1814" w:name="_Toc8879"/>
      <w:bookmarkStart w:id="1815" w:name="_Toc17138"/>
      <w:bookmarkStart w:id="1816" w:name="_Toc28665"/>
      <w:bookmarkStart w:id="1817" w:name="_Toc23341"/>
      <w:bookmarkStart w:id="1818" w:name="_Toc18784"/>
      <w:bookmarkStart w:id="1819" w:name="_Toc11443"/>
      <w:bookmarkStart w:id="1820" w:name="_Toc12157"/>
      <w:bookmarkStart w:id="1821" w:name="_Toc31878"/>
      <w:bookmarkStart w:id="1822" w:name="_Toc6811"/>
      <w:bookmarkStart w:id="1823" w:name="_Toc13892"/>
      <w:bookmarkStart w:id="1824" w:name="_Toc2818"/>
      <w:bookmarkStart w:id="1825" w:name="_Toc12711"/>
      <w:bookmarkStart w:id="1826" w:name="_Toc7704"/>
      <w:bookmarkStart w:id="1827" w:name="_Toc7533"/>
      <w:bookmarkStart w:id="1828" w:name="_Toc611"/>
      <w:bookmarkStart w:id="1829" w:name="_Toc12040"/>
      <w:bookmarkStart w:id="1830" w:name="_Toc18158"/>
      <w:bookmarkStart w:id="1831" w:name="_Toc17431"/>
      <w:bookmarkStart w:id="1832" w:name="_Toc637"/>
      <w:bookmarkStart w:id="1833" w:name="_Toc31770"/>
      <w:bookmarkStart w:id="1834" w:name="_Toc14399"/>
      <w:bookmarkStart w:id="1835" w:name="_Toc8954"/>
      <w:bookmarkStart w:id="1836" w:name="_Toc188"/>
      <w:bookmarkStart w:id="1837" w:name="_Toc20812"/>
      <w:bookmarkStart w:id="1838" w:name="_Toc23343"/>
      <w:bookmarkStart w:id="1839" w:name="_Toc9203"/>
      <w:bookmarkStart w:id="1840" w:name="_Toc24409"/>
      <w:bookmarkStart w:id="1841" w:name="_Toc8713"/>
      <w:bookmarkStart w:id="1842" w:name="_Toc28405"/>
      <w:bookmarkStart w:id="1843" w:name="_Toc22725"/>
      <w:bookmarkStart w:id="1844" w:name="_Toc24912"/>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第十章 </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完善综合交通网 构建现代流通体系</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5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立足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一带一部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区位优势，加快重大交通基础设施项目建设，推进各种交通方式间的互联互通，加快构建高效快捷、安全经济的现代化综合交通运输体系，强化各种运输方式的无缝衔接和综合交通枢纽建设，打造全国区域性综合交通枢纽及中部地区区域性物流中心城市，加快构建现代流通体系。</w:t>
      </w:r>
    </w:p>
    <w:p>
      <w:pPr>
        <w:pStyle w:val="4"/>
        <w:keepNext w:val="0"/>
        <w:keepLines w:val="0"/>
        <w:widowControl w:val="0"/>
        <w:spacing w:before="386" w:beforeLines="100" w:after="386" w:afterLines="100" w:line="550" w:lineRule="exact"/>
        <w:rPr>
          <w:rFonts w:ascii="Times New Roman" w:hAnsi="Times New Roman" w:cs="Times New Roman"/>
          <w:color w:val="000000" w:themeColor="text1"/>
          <w:szCs w:val="32"/>
          <w14:textFill>
            <w14:solidFill>
              <w14:schemeClr w14:val="tx1"/>
            </w14:solidFill>
          </w14:textFill>
        </w:rPr>
      </w:pPr>
      <w:bookmarkStart w:id="1845" w:name="_Toc12196"/>
      <w:bookmarkStart w:id="1846" w:name="_Toc7358"/>
      <w:bookmarkStart w:id="1847" w:name="_Toc28297"/>
      <w:bookmarkStart w:id="1848" w:name="_Toc30669"/>
      <w:bookmarkStart w:id="1849" w:name="_Toc29786"/>
      <w:bookmarkStart w:id="1850" w:name="_Toc10171"/>
      <w:bookmarkStart w:id="1851" w:name="_Toc7344"/>
      <w:bookmarkStart w:id="1852" w:name="_Toc18242"/>
      <w:bookmarkStart w:id="1853" w:name="_Toc2856"/>
      <w:bookmarkStart w:id="1854" w:name="_Toc6177"/>
      <w:bookmarkStart w:id="1855" w:name="_Toc32093"/>
      <w:bookmarkStart w:id="1856" w:name="_Toc11433"/>
      <w:bookmarkStart w:id="1857" w:name="_Toc1398"/>
      <w:bookmarkStart w:id="1858" w:name="_Toc7915"/>
      <w:bookmarkStart w:id="1859" w:name="_Toc20131"/>
      <w:bookmarkStart w:id="1860" w:name="_Toc1033"/>
      <w:bookmarkStart w:id="1861" w:name="_Toc8139"/>
      <w:bookmarkStart w:id="1862" w:name="_Toc17441"/>
      <w:bookmarkStart w:id="1863" w:name="_Toc9125"/>
      <w:bookmarkStart w:id="1864" w:name="_Toc405"/>
      <w:bookmarkStart w:id="1865" w:name="_Toc11362"/>
      <w:bookmarkStart w:id="1866" w:name="_Toc4309"/>
      <w:bookmarkStart w:id="1867" w:name="_Toc10939"/>
      <w:bookmarkStart w:id="1868" w:name="_Toc517"/>
      <w:bookmarkStart w:id="1869" w:name="_Toc19259"/>
      <w:bookmarkStart w:id="1870" w:name="_Toc24988"/>
      <w:bookmarkStart w:id="1871" w:name="_Toc23718"/>
      <w:bookmarkStart w:id="1872" w:name="_Toc15754"/>
      <w:bookmarkStart w:id="1873" w:name="_Toc21107"/>
      <w:bookmarkStart w:id="1874" w:name="_Toc4280"/>
      <w:bookmarkStart w:id="1875" w:name="_Toc23931"/>
      <w:bookmarkStart w:id="1876" w:name="_Toc17302"/>
      <w:bookmarkStart w:id="1877" w:name="_Toc9021"/>
      <w:bookmarkStart w:id="1878" w:name="_Toc26152"/>
      <w:bookmarkStart w:id="1879" w:name="_Toc30330"/>
      <w:bookmarkStart w:id="1880" w:name="_Toc15398"/>
      <w:bookmarkStart w:id="1881" w:name="_Toc27610"/>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完善交通主骨架</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pPr>
        <w:widowControl w:val="0"/>
        <w:adjustRightInd/>
        <w:snapToGrid/>
        <w:spacing w:before="0" w:after="0" w:line="55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水陆空立体交通网络建设，实现与周边城市高速互达，城市内部互联互通，到2025年，铁路通车里程达到370公里，高速公路通车里程达到880公里，开工建设国省干线公路800公里，新、改建2-4个支线、通用机场。</w:t>
      </w:r>
    </w:p>
    <w:p>
      <w:pPr>
        <w:widowControl w:val="0"/>
        <w:adjustRightInd/>
        <w:snapToGrid/>
        <w:spacing w:before="0" w:after="193" w:afterLines="50" w:line="55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构建铁路大通道。</w:t>
      </w:r>
      <w:r>
        <w:rPr>
          <w:rFonts w:ascii="Times New Roman" w:hAnsi="Times New Roman" w:eastAsia="仿宋_GB2312" w:cs="Times New Roman"/>
          <w:color w:val="000000" w:themeColor="text1"/>
          <w:sz w:val="32"/>
          <w:szCs w:val="32"/>
          <w14:textFill>
            <w14:solidFill>
              <w14:schemeClr w14:val="tx1"/>
            </w14:solidFill>
          </w14:textFill>
        </w:rPr>
        <w:t>加快推进呼南高铁邵阳至永州段建设，争取娄底至邵阳段建设，形成高铁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十字架</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，打通邵阳对接粤港澳大湾区和长株潭城市群的快速通道；争取开工建设兴永郴赣铁路，实现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县县通铁路</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目标；主动参与西部陆海新通道建设，聚焦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重庆—怀化—北部湾出海口</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主通道，争取怀邵桂高铁、渝湘粤高铁（邵阳北至邵阳段）开工建设，争取洛湛铁路电气化改造，提升融入西部陆海新通道的铁路客货运能力；规划</w:t>
      </w:r>
      <w:r>
        <w:rPr>
          <w:rFonts w:hint="eastAsia" w:ascii="Times New Roman" w:hAnsi="Times New Roman" w:eastAsia="仿宋_GB2312" w:cs="Times New Roman"/>
          <w:color w:val="000000" w:themeColor="text1"/>
          <w:sz w:val="32"/>
          <w:szCs w:val="32"/>
          <w14:textFill>
            <w14:solidFill>
              <w14:schemeClr w14:val="tx1"/>
            </w14:solidFill>
          </w14:textFill>
        </w:rPr>
        <w:t>研究</w:t>
      </w:r>
      <w:r>
        <w:rPr>
          <w:rFonts w:ascii="Times New Roman" w:hAnsi="Times New Roman" w:eastAsia="仿宋_GB2312" w:cs="Times New Roman"/>
          <w:color w:val="000000" w:themeColor="text1"/>
          <w:sz w:val="32"/>
          <w:szCs w:val="32"/>
          <w14:textFill>
            <w14:solidFill>
              <w14:schemeClr w14:val="tx1"/>
            </w14:solidFill>
          </w14:textFill>
        </w:rPr>
        <w:t>邵阳至长沙城际铁路，并向西预留延伸至隆回、武冈空间；争取张家界-邵阳高铁建设，推进重庆经怀化至广州的渝湘粤高铁建设；加快推进邵阳火车站综合客运枢纽工程建设，提升综合服务能力。快构建形成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三横七纵</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横：沪昆高铁、怀邵衡铁路、兴永郴赣铁路；七纵：洛湛铁路、呼南高铁、怀邵永清广高铁（渝湘粤高铁）、张邵铁路、湘桂高铁、怀邵桂高铁、娄邵城际）的铁路网络，逐步打造市中心城区至省内主要城市1小时交通圈，至重庆、广州、深圳、武汉、南宁、贵阳等邻省主要城市2-4小时交通圈。</w:t>
      </w:r>
    </w:p>
    <w:p>
      <w:pPr>
        <w:pStyle w:val="2"/>
        <w:spacing w:before="0" w:after="0"/>
        <w:jc w:val="center"/>
        <w:rPr>
          <w:rFonts w:ascii="Times New Roman" w:hAnsi="Times New Roman" w:eastAsia="楷体_GB2312" w:cs="Times New Roman"/>
          <w:b/>
          <w:color w:val="000000" w:themeColor="text1"/>
          <w:sz w:val="32"/>
          <w:szCs w:val="32"/>
          <w14:textFill>
            <w14:solidFill>
              <w14:schemeClr w14:val="tx1"/>
            </w14:solidFill>
          </w14:textFill>
        </w:rPr>
      </w:pPr>
      <w:bookmarkStart w:id="1882" w:name="_Hlk56510995"/>
      <w:r>
        <w:rPr>
          <w:rFonts w:hint="eastAsia" w:ascii="Times New Roman" w:hAnsi="Times New Roman" w:eastAsia="楷体_GB2312" w:cs="Times New Roman"/>
          <w:b/>
          <w:color w:val="000000" w:themeColor="text1"/>
          <w:sz w:val="32"/>
          <w:szCs w:val="32"/>
          <w14:textFill>
            <w14:solidFill>
              <w14:schemeClr w14:val="tx1"/>
            </w14:solidFill>
          </w14:textFill>
        </w:rPr>
        <w:drawing>
          <wp:inline distT="0" distB="0" distL="114300" distR="114300">
            <wp:extent cx="5739130" cy="4659630"/>
            <wp:effectExtent l="0" t="0" r="13970" b="7620"/>
            <wp:docPr id="11" name="图片 11" descr="34566c73ee6832eb080391a8245f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4566c73ee6832eb080391a8245ffd8"/>
                    <pic:cNvPicPr>
                      <a:picLocks noChangeAspect="1"/>
                    </pic:cNvPicPr>
                  </pic:nvPicPr>
                  <pic:blipFill>
                    <a:blip r:embed="rId14"/>
                    <a:stretch>
                      <a:fillRect/>
                    </a:stretch>
                  </pic:blipFill>
                  <pic:spPr>
                    <a:xfrm>
                      <a:off x="0" y="0"/>
                      <a:ext cx="5739130" cy="4659630"/>
                    </a:xfrm>
                    <a:prstGeom prst="rect">
                      <a:avLst/>
                    </a:prstGeom>
                  </pic:spPr>
                </pic:pic>
              </a:graphicData>
            </a:graphic>
          </wp:inline>
        </w:drawing>
      </w:r>
    </w:p>
    <w:p>
      <w:pPr>
        <w:pStyle w:val="2"/>
        <w:spacing w:before="0" w:after="0" w:line="579" w:lineRule="exact"/>
        <w:jc w:val="center"/>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w:t>
      </w:r>
      <w:r>
        <w:rPr>
          <w:rFonts w:hint="eastAsia" w:ascii="Times New Roman" w:hAnsi="Times New Roman" w:eastAsia="楷体_GB2312" w:cs="Times New Roman"/>
          <w:b/>
          <w:color w:val="000000" w:themeColor="text1"/>
          <w:sz w:val="32"/>
          <w:szCs w:val="32"/>
          <w14:textFill>
            <w14:solidFill>
              <w14:schemeClr w14:val="tx1"/>
            </w14:solidFill>
          </w14:textFill>
        </w:rPr>
        <w:t>8</w:t>
      </w:r>
      <w:r>
        <w:rPr>
          <w:rFonts w:ascii="Times New Roman" w:hAnsi="Times New Roman" w:eastAsia="楷体_GB2312" w:cs="Times New Roman"/>
          <w:b/>
          <w:color w:val="000000" w:themeColor="text1"/>
          <w:sz w:val="32"/>
          <w:szCs w:val="32"/>
          <w14:textFill>
            <w14:solidFill>
              <w14:schemeClr w14:val="tx1"/>
            </w14:solidFill>
          </w14:textFill>
        </w:rPr>
        <w:t>：铁路网示意图</w:t>
      </w:r>
      <w:bookmarkEnd w:id="1882"/>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完善公路大网络。</w:t>
      </w:r>
      <w:r>
        <w:rPr>
          <w:rFonts w:ascii="Times New Roman" w:hAnsi="Times New Roman" w:eastAsia="仿宋_GB2312" w:cs="Times New Roman"/>
          <w:color w:val="000000" w:themeColor="text1"/>
          <w:sz w:val="32"/>
          <w:szCs w:val="32"/>
          <w14:textFill>
            <w14:solidFill>
              <w14:schemeClr w14:val="tx1"/>
            </w14:solidFill>
          </w14:textFill>
        </w:rPr>
        <w:t>重点推进白新高速、新新高速、永新高速、城龙高速等项目建设，确保如期建成通车；积极做好沪昆高速邵阳段扩容、洞溆高速、洞口至贵州天柱高速、邵金高速等项目前期工作，争取早日开工；加大对现有高速重点拥堵路段扩容改造力度，进一步优化完善高速公路网络。加快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四横四纵二联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（四横：衡邵-邵金溆高速、沪昆高速及扩容、</w:t>
      </w:r>
      <w:r>
        <w:rPr>
          <w:rFonts w:hint="eastAsia" w:ascii="Times New Roman" w:hAnsi="Times New Roman" w:eastAsia="仿宋_GB2312" w:cs="Times New Roman"/>
          <w:color w:val="000000" w:themeColor="text1"/>
          <w:sz w:val="32"/>
          <w:szCs w:val="32"/>
          <w14:textFill>
            <w14:solidFill>
              <w14:schemeClr w14:val="tx1"/>
            </w14:solidFill>
          </w14:textFill>
        </w:rPr>
        <w:t>凯里-会同</w:t>
      </w:r>
      <w:r>
        <w:rPr>
          <w:rFonts w:ascii="Times New Roman" w:hAnsi="Times New Roman" w:eastAsia="仿宋_GB2312" w:cs="Times New Roman"/>
          <w:color w:val="000000" w:themeColor="text1"/>
          <w:sz w:val="32"/>
          <w:szCs w:val="32"/>
          <w14:textFill>
            <w14:solidFill>
              <w14:schemeClr w14:val="tx1"/>
            </w14:solidFill>
          </w14:textFill>
        </w:rPr>
        <w:t>-武冈-白仓-南岳高速、靖州-绥宁-城步-新宁-东安-永州高速；四纵：二广高速、新化-新宁高速、武冈-城步-龙胜高速、溆浦-洞口-新宁高速；二联：邵坪高速、白新高速）高速公路网络的远景目标。推进省、县道改造升级为国、省道，着力推进金石桥镇-邓家铺镇-高桥镇-新宁县城省道S242和S243、武冈市区-水浸坪乡-蔡桥乡-塘渡口镇省道S336等升为国道。回龙寺镇-马头桥镇-丰田乡县道XJ03、武冈市区-马坪乡-双牌镇县道X123和X124等升为省道，基本实现每个乡镇通省道的目标。到2025年，基本建成东部城镇群和西部生态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0.5小时交通圈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及市域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1.5小时交通圈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pStyle w:val="2"/>
        <w:spacing w:before="0" w:after="0"/>
        <w:rPr>
          <w:rFonts w:ascii="Times New Roman" w:hAnsi="Times New Roman" w:eastAsia="仿宋_GB2312" w:cs="Times New Roman"/>
          <w:color w:val="000000" w:themeColor="text1"/>
          <w:sz w:val="32"/>
          <w:szCs w:val="32"/>
          <w14:textFill>
            <w14:solidFill>
              <w14:schemeClr w14:val="tx1"/>
            </w14:solidFill>
          </w14:textFill>
        </w:rPr>
      </w:pPr>
    </w:p>
    <w:p>
      <w:pPr>
        <w:pStyle w:val="2"/>
        <w:spacing w:before="0" w:after="0"/>
        <w:jc w:val="center"/>
        <w:rPr>
          <w:rFonts w:ascii="Times New Roman" w:hAnsi="Times New Roman" w:eastAsia="仿宋_GB2312" w:cs="Times New Roman"/>
          <w:color w:val="000000" w:themeColor="text1"/>
          <w:sz w:val="32"/>
          <w:szCs w:val="32"/>
          <w14:textFill>
            <w14:solidFill>
              <w14:schemeClr w14:val="tx1"/>
            </w14:solidFill>
          </w14:textFill>
        </w:rPr>
      </w:pPr>
    </w:p>
    <w:p>
      <w:pPr>
        <w:pStyle w:val="6"/>
        <w:spacing w:before="0" w:after="0" w:line="240" w:lineRule="auto"/>
        <w:jc w:val="center"/>
        <w:rPr>
          <w:rFonts w:ascii="Times New Roman" w:hAnsi="Times New Roman" w:eastAsia="楷体_GB2312" w:cs="Times New Roman"/>
          <w:b/>
          <w:color w:val="000000" w:themeColor="text1"/>
          <w:sz w:val="32"/>
          <w:szCs w:val="32"/>
          <w14:textFill>
            <w14:solidFill>
              <w14:schemeClr w14:val="tx1"/>
            </w14:solidFill>
          </w14:textFill>
        </w:rPr>
      </w:pPr>
      <w:r>
        <w:rPr>
          <w:rFonts w:hint="eastAsia" w:ascii="Times New Roman" w:hAnsi="Times New Roman" w:eastAsia="楷体_GB2312" w:cs="Times New Roman"/>
          <w:b/>
          <w:color w:val="000000" w:themeColor="text1"/>
          <w:sz w:val="32"/>
          <w:szCs w:val="32"/>
          <w14:textFill>
            <w14:solidFill>
              <w14:schemeClr w14:val="tx1"/>
            </w14:solidFill>
          </w14:textFill>
        </w:rPr>
        <w:drawing>
          <wp:inline distT="0" distB="0" distL="114300" distR="114300">
            <wp:extent cx="5607050" cy="4552950"/>
            <wp:effectExtent l="0" t="0" r="12700" b="0"/>
            <wp:docPr id="13" name="图片 13" descr="4559196886ce93b2d3c1159af98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559196886ce93b2d3c1159af984726"/>
                    <pic:cNvPicPr>
                      <a:picLocks noChangeAspect="1"/>
                    </pic:cNvPicPr>
                  </pic:nvPicPr>
                  <pic:blipFill>
                    <a:blip r:embed="rId15"/>
                    <a:stretch>
                      <a:fillRect/>
                    </a:stretch>
                  </pic:blipFill>
                  <pic:spPr>
                    <a:xfrm>
                      <a:off x="0" y="0"/>
                      <a:ext cx="5607050" cy="4552950"/>
                    </a:xfrm>
                    <a:prstGeom prst="rect">
                      <a:avLst/>
                    </a:prstGeom>
                  </pic:spPr>
                </pic:pic>
              </a:graphicData>
            </a:graphic>
          </wp:inline>
        </w:drawing>
      </w:r>
    </w:p>
    <w:p>
      <w:pPr>
        <w:pStyle w:val="6"/>
        <w:spacing w:before="0"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图</w:t>
      </w:r>
      <w:r>
        <w:rPr>
          <w:rFonts w:hint="eastAsia" w:ascii="Times New Roman" w:hAnsi="Times New Roman" w:eastAsia="楷体_GB2312" w:cs="Times New Roman"/>
          <w:b/>
          <w:color w:val="000000" w:themeColor="text1"/>
          <w:sz w:val="32"/>
          <w:szCs w:val="32"/>
          <w14:textFill>
            <w14:solidFill>
              <w14:schemeClr w14:val="tx1"/>
            </w14:solidFill>
          </w14:textFill>
        </w:rPr>
        <w:t>9</w:t>
      </w:r>
      <w:r>
        <w:rPr>
          <w:rFonts w:ascii="Times New Roman" w:hAnsi="Times New Roman" w:eastAsia="楷体_GB2312" w:cs="Times New Roman"/>
          <w:b/>
          <w:color w:val="000000" w:themeColor="text1"/>
          <w:sz w:val="32"/>
          <w:szCs w:val="32"/>
          <w14:textFill>
            <w14:solidFill>
              <w14:schemeClr w14:val="tx1"/>
            </w14:solidFill>
          </w14:textFill>
        </w:rPr>
        <w:t>：高速公路网示意图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疏通水运大动脉。</w:t>
      </w:r>
      <w:r>
        <w:rPr>
          <w:rFonts w:ascii="Times New Roman" w:hAnsi="Times New Roman" w:eastAsia="仿宋_GB2312" w:cs="Times New Roman"/>
          <w:color w:val="000000" w:themeColor="text1"/>
          <w:sz w:val="32"/>
          <w:szCs w:val="32"/>
          <w14:textFill>
            <w14:solidFill>
              <w14:schemeClr w14:val="tx1"/>
            </w14:solidFill>
          </w14:textFill>
        </w:rPr>
        <w:t>全面推进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一航二港三建设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快改善资水干流邵阳县双江口至新邵县筱溪110公里通航条件，争取建设四级航道（500吨级）；持续推进邵阳港客运综合码头和武冈赧水航运工程建设，实现港区专业化、规模化、现代化；加快推进邵阳辖区水域船舶锚地建设，加快推进犬木塘库区、新邵县九头岩水上综合旅游航线、绥宁县花园阁景区、新宁县崀山漂流等旅游航道项目建设，加快推进全市水上交通支持保障系统建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拓展空中大走廊。</w:t>
      </w:r>
      <w:r>
        <w:rPr>
          <w:rFonts w:ascii="Times New Roman" w:hAnsi="Times New Roman" w:eastAsia="仿宋_GB2312" w:cs="Times New Roman"/>
          <w:color w:val="000000" w:themeColor="text1"/>
          <w:sz w:val="32"/>
          <w:szCs w:val="32"/>
          <w14:textFill>
            <w14:solidFill>
              <w14:schemeClr w14:val="tx1"/>
            </w14:solidFill>
          </w14:textFill>
        </w:rPr>
        <w:t>加快机场和航空口岸建设，重点推进邵东军民合用机场建设及武冈机场改扩建，</w:t>
      </w:r>
      <w:r>
        <w:rPr>
          <w:rFonts w:hint="eastAsia" w:ascii="Times New Roman" w:hAnsi="Times New Roman" w:eastAsia="仿宋_GB2312" w:cs="Times New Roman"/>
          <w:color w:val="000000" w:themeColor="text1"/>
          <w:sz w:val="32"/>
          <w:szCs w:val="32"/>
          <w14:textFill>
            <w14:solidFill>
              <w14:schemeClr w14:val="tx1"/>
            </w14:solidFill>
          </w14:textFill>
        </w:rPr>
        <w:t>积极谋划邵阳机场。</w:t>
      </w:r>
      <w:r>
        <w:rPr>
          <w:rFonts w:ascii="Times New Roman" w:hAnsi="Times New Roman" w:eastAsia="仿宋_GB2312" w:cs="Times New Roman"/>
          <w:color w:val="000000" w:themeColor="text1"/>
          <w:sz w:val="32"/>
          <w:szCs w:val="32"/>
          <w14:textFill>
            <w14:solidFill>
              <w14:schemeClr w14:val="tx1"/>
            </w14:solidFill>
          </w14:textFill>
        </w:rPr>
        <w:t>强化机场集疏运体系。加密武冈机场至主要城市直达航班，争取早日开辟国际航线。以武冈机场为依托，加快建设武冈临空产业经济区。完善通用航空发展的体制机制，推进邵阳市中心通用机场（新邵）和新宁、武冈、邵阳县、城步、隆回、洞口、绥宁等地通用航空机场建设，推进低空空域管理改革试点工作，形成覆盖全市的通用机场网络和低空航线网络。</w:t>
      </w:r>
    </w:p>
    <w:tbl>
      <w:tblPr>
        <w:tblStyle w:val="14"/>
        <w:tblW w:w="5000" w:type="pct"/>
        <w:tblInd w:w="0" w:type="dxa"/>
        <w:tblLayout w:type="autofit"/>
        <w:tblCellMar>
          <w:top w:w="0" w:type="dxa"/>
          <w:left w:w="0" w:type="dxa"/>
          <w:bottom w:w="0" w:type="dxa"/>
          <w:right w:w="0" w:type="dxa"/>
        </w:tblCellMar>
      </w:tblPr>
      <w:tblGrid>
        <w:gridCol w:w="8868"/>
      </w:tblGrid>
      <w:tr>
        <w:trPr>
          <w:trHeight w:val="674"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bookmarkStart w:id="1883" w:name="_Hlk56510668"/>
            <w:r>
              <w:rPr>
                <w:rFonts w:ascii="Times New Roman" w:hAnsi="Times New Roman" w:eastAsia="黑体" w:cs="Times New Roman"/>
                <w:bCs/>
                <w:color w:val="000000" w:themeColor="text1"/>
                <w:sz w:val="32"/>
                <w:szCs w:val="32"/>
                <w14:textFill>
                  <w14:solidFill>
                    <w14:schemeClr w14:val="tx1"/>
                  </w14:solidFill>
                </w14:textFill>
              </w:rPr>
              <w:t>专栏24：综合交通枢纽行动</w:t>
            </w:r>
          </w:p>
        </w:tc>
      </w:tr>
      <w:tr>
        <w:trPr>
          <w:trHeight w:val="498"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铁路建设工程：</w:t>
            </w:r>
            <w:r>
              <w:rPr>
                <w:rFonts w:ascii="Times New Roman" w:hAnsi="Times New Roman" w:eastAsia="宋体" w:cs="Times New Roman"/>
                <w:color w:val="000000" w:themeColor="text1"/>
                <w:szCs w:val="28"/>
                <w14:textFill>
                  <w14:solidFill>
                    <w14:schemeClr w14:val="tx1"/>
                  </w14:solidFill>
                </w14:textFill>
              </w:rPr>
              <w:t>力争建成邵永高铁，争取开工建设兴永郴赣铁路、怀邵桂高铁、呼南和湘桂高铁邵娄段、渝湘粤高铁（邵阳站—邵阳北站）、张邵铁路、怀邵永铁路。</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高速公路建设工程：</w:t>
            </w:r>
            <w:r>
              <w:rPr>
                <w:rFonts w:ascii="Times New Roman" w:hAnsi="Times New Roman" w:eastAsia="宋体" w:cs="Times New Roman"/>
                <w:color w:val="000000" w:themeColor="text1"/>
                <w:szCs w:val="28"/>
                <w14:textFill>
                  <w14:solidFill>
                    <w14:schemeClr w14:val="tx1"/>
                  </w14:solidFill>
                </w14:textFill>
              </w:rPr>
              <w:t>建成白新高速、新新高速、永新高速、城龙高速；争取开工建设沪昆高速邵阳段扩容工程、</w:t>
            </w:r>
            <w:r>
              <w:rPr>
                <w:rFonts w:hint="eastAsia" w:ascii="Times New Roman" w:hAnsi="Times New Roman" w:eastAsia="宋体" w:cs="Times New Roman"/>
                <w:color w:val="000000" w:themeColor="text1"/>
                <w:szCs w:val="28"/>
                <w14:textFill>
                  <w14:solidFill>
                    <w14:schemeClr w14:val="tx1"/>
                  </w14:solidFill>
                </w14:textFill>
              </w:rPr>
              <w:t>贵州天柱至洞口高速、</w:t>
            </w:r>
            <w:r>
              <w:rPr>
                <w:rFonts w:ascii="Times New Roman" w:hAnsi="Times New Roman" w:eastAsia="宋体" w:cs="Times New Roman"/>
                <w:color w:val="000000" w:themeColor="text1"/>
                <w:szCs w:val="28"/>
                <w14:textFill>
                  <w14:solidFill>
                    <w14:schemeClr w14:val="tx1"/>
                  </w14:solidFill>
                </w14:textFill>
              </w:rPr>
              <w:t>洞溆高速、</w:t>
            </w:r>
            <w:r>
              <w:rPr>
                <w:rFonts w:hint="eastAsia" w:ascii="Times New Roman" w:hAnsi="Times New Roman" w:eastAsia="宋体" w:cs="Times New Roman"/>
                <w:color w:val="000000" w:themeColor="text1"/>
                <w:szCs w:val="28"/>
                <w14:textFill>
                  <w14:solidFill>
                    <w14:schemeClr w14:val="tx1"/>
                  </w14:solidFill>
                </w14:textFill>
              </w:rPr>
              <w:t>凯里-会同</w:t>
            </w:r>
            <w:r>
              <w:rPr>
                <w:rFonts w:ascii="Times New Roman" w:hAnsi="Times New Roman" w:eastAsia="宋体" w:cs="Times New Roman"/>
                <w:color w:val="000000" w:themeColor="text1"/>
                <w:szCs w:val="28"/>
                <w14:textFill>
                  <w14:solidFill>
                    <w14:schemeClr w14:val="tx1"/>
                  </w14:solidFill>
                </w14:textFill>
              </w:rPr>
              <w:t>-武冈-白仓-</w:t>
            </w:r>
            <w:r>
              <w:rPr>
                <w:rFonts w:hint="eastAsia" w:ascii="Times New Roman" w:hAnsi="Times New Roman" w:eastAsia="宋体" w:cs="Times New Roman"/>
                <w:color w:val="000000" w:themeColor="text1"/>
                <w:szCs w:val="28"/>
                <w14:textFill>
                  <w14:solidFill>
                    <w14:schemeClr w14:val="tx1"/>
                  </w14:solidFill>
                </w14:textFill>
              </w:rPr>
              <w:t>仙槎桥-</w:t>
            </w:r>
            <w:r>
              <w:rPr>
                <w:rFonts w:ascii="Times New Roman" w:hAnsi="Times New Roman" w:eastAsia="宋体" w:cs="Times New Roman"/>
                <w:color w:val="000000" w:themeColor="text1"/>
                <w:szCs w:val="28"/>
                <w14:textFill>
                  <w14:solidFill>
                    <w14:schemeClr w14:val="tx1"/>
                  </w14:solidFill>
                </w14:textFill>
              </w:rPr>
              <w:t>衡阳南岳高速、邵金高速、城步-新宁高速</w:t>
            </w:r>
            <w:r>
              <w:rPr>
                <w:rFonts w:hint="eastAsia" w:ascii="Times New Roman" w:hAnsi="Times New Roman" w:eastAsia="宋体" w:cs="Times New Roman"/>
                <w:color w:val="000000" w:themeColor="text1"/>
                <w:szCs w:val="28"/>
                <w14:textFill>
                  <w14:solidFill>
                    <w14:schemeClr w14:val="tx1"/>
                  </w14:solidFill>
                </w14:textFill>
              </w:rPr>
              <w:t>，规划建设怀化安江-洞口罗溪-绥宁黄桑-城步南山-新宁崀山-武冈云山高速</w:t>
            </w:r>
            <w:r>
              <w:rPr>
                <w:rFonts w:ascii="Times New Roman" w:hAnsi="Times New Roman" w:eastAsia="宋体" w:cs="Times New Roman"/>
                <w:color w:val="000000" w:themeColor="text1"/>
                <w:szCs w:val="28"/>
                <w14:textFill>
                  <w14:solidFill>
                    <w14:schemeClr w14:val="tx1"/>
                  </w14:solidFill>
                </w14:textFill>
              </w:rPr>
              <w:t>。</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水运建设工程：</w:t>
            </w:r>
            <w:r>
              <w:rPr>
                <w:rFonts w:ascii="Times New Roman" w:hAnsi="Times New Roman" w:eastAsia="宋体" w:cs="Times New Roman"/>
                <w:color w:val="000000" w:themeColor="text1"/>
                <w:szCs w:val="28"/>
                <w14:textFill>
                  <w14:solidFill>
                    <w14:schemeClr w14:val="tx1"/>
                  </w14:solidFill>
                </w14:textFill>
              </w:rPr>
              <w:t>完成邵东市、邵阳县、隆回县、绥宁县、新宁县、城步苗族自治县以及武冈市渡改桥、窄桥拓改、危桥改造、新建桥梁等项目建设，开工赧水武冈城区航运建设及航道养护工程、晒谷滩、桃花坝、田心坝、老虎坝等六个船闸升降机项目建设。</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hint="eastAsia" w:ascii="Times New Roman" w:hAnsi="Times New Roman" w:eastAsia="宋体" w:cs="Times New Roman"/>
                <w:b/>
                <w:bCs/>
                <w:color w:val="000000" w:themeColor="text1"/>
                <w:szCs w:val="28"/>
                <w14:textFill>
                  <w14:solidFill>
                    <w14:schemeClr w14:val="tx1"/>
                  </w14:solidFill>
                </w14:textFill>
              </w:rPr>
              <w:t>航空运输</w:t>
            </w:r>
            <w:r>
              <w:rPr>
                <w:rFonts w:ascii="Times New Roman" w:hAnsi="Times New Roman" w:eastAsia="宋体" w:cs="Times New Roman"/>
                <w:b/>
                <w:bCs/>
                <w:color w:val="000000" w:themeColor="text1"/>
                <w:szCs w:val="28"/>
                <w14:textFill>
                  <w14:solidFill>
                    <w14:schemeClr w14:val="tx1"/>
                  </w14:solidFill>
                </w14:textFill>
              </w:rPr>
              <w:t>建设工程：</w:t>
            </w:r>
            <w:r>
              <w:rPr>
                <w:rFonts w:ascii="Times New Roman" w:hAnsi="Times New Roman" w:eastAsia="宋体" w:cs="Times New Roman"/>
                <w:color w:val="000000" w:themeColor="text1"/>
                <w:szCs w:val="28"/>
                <w14:textFill>
                  <w14:solidFill>
                    <w14:schemeClr w14:val="tx1"/>
                  </w14:solidFill>
                </w14:textFill>
              </w:rPr>
              <w:t>开工建设邵阳市中心通用机场（新邵）、新宁县崀山通用机场</w:t>
            </w:r>
            <w:r>
              <w:rPr>
                <w:rFonts w:hint="eastAsia" w:ascii="Times New Roman" w:hAnsi="Times New Roman" w:eastAsia="宋体" w:cs="Times New Roman"/>
                <w:color w:val="000000" w:themeColor="text1"/>
                <w:szCs w:val="28"/>
                <w14:textFill>
                  <w14:solidFill>
                    <w14:schemeClr w14:val="tx1"/>
                  </w14:solidFill>
                </w14:textFill>
              </w:rPr>
              <w:t>。争取开工建设</w:t>
            </w:r>
            <w:r>
              <w:rPr>
                <w:rFonts w:ascii="Times New Roman" w:hAnsi="Times New Roman" w:eastAsia="宋体" w:cs="Times New Roman"/>
                <w:color w:val="000000" w:themeColor="text1"/>
                <w:szCs w:val="28"/>
                <w14:textFill>
                  <w14:solidFill>
                    <w14:schemeClr w14:val="tx1"/>
                  </w14:solidFill>
                </w14:textFill>
              </w:rPr>
              <w:t>武冈市通用机场、城步南山通用机场、隆回滩头沐仙湖通用机场、邵阳县塘渡口镇通用航空机场、洞口县通用航空机场、绥宁县通用机场及配套的航空项目。力争开工建设邵东市军民合用机场、武冈机场改扩建，</w:t>
            </w:r>
            <w:r>
              <w:rPr>
                <w:rFonts w:hint="eastAsia" w:ascii="Times New Roman" w:hAnsi="Times New Roman" w:eastAsia="宋体" w:cs="Times New Roman"/>
                <w:color w:val="000000" w:themeColor="text1"/>
                <w:szCs w:val="28"/>
                <w14:textFill>
                  <w14:solidFill>
                    <w14:schemeClr w14:val="tx1"/>
                  </w14:solidFill>
                </w14:textFill>
              </w:rPr>
              <w:t>积极谋划邵阳机场</w:t>
            </w:r>
            <w:r>
              <w:rPr>
                <w:rFonts w:ascii="Times New Roman" w:hAnsi="Times New Roman" w:eastAsia="宋体" w:cs="Times New Roman"/>
                <w:color w:val="000000" w:themeColor="text1"/>
                <w:szCs w:val="28"/>
                <w14:textFill>
                  <w14:solidFill>
                    <w14:schemeClr w14:val="tx1"/>
                  </w14:solidFill>
                </w14:textFill>
              </w:rPr>
              <w:t>。</w:t>
            </w:r>
          </w:p>
          <w:p>
            <w:pPr>
              <w:spacing w:before="0" w:after="0" w:line="54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交通枢纽项目工程：</w:t>
            </w:r>
            <w:r>
              <w:rPr>
                <w:rFonts w:ascii="Times New Roman" w:hAnsi="Times New Roman" w:eastAsia="宋体" w:cs="Times New Roman"/>
                <w:color w:val="000000" w:themeColor="text1"/>
                <w:szCs w:val="28"/>
                <w14:textFill>
                  <w14:solidFill>
                    <w14:schemeClr w14:val="tx1"/>
                  </w14:solidFill>
                </w14:textFill>
              </w:rPr>
              <w:t>实施邵阳火车站综合客运枢纽项目、隆回县城北高铁新城综合交通枢纽、洞口火车站综合交通工程建设。</w:t>
            </w:r>
          </w:p>
        </w:tc>
      </w:tr>
      <w:bookmarkEnd w:id="1883"/>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1884" w:name="_Toc27919"/>
      <w:bookmarkStart w:id="1885" w:name="_Toc29316"/>
      <w:bookmarkStart w:id="1886" w:name="_Toc11495"/>
      <w:bookmarkStart w:id="1887" w:name="_Toc14596"/>
      <w:bookmarkStart w:id="1888" w:name="_Toc20501"/>
      <w:bookmarkStart w:id="1889" w:name="_Toc32592"/>
      <w:bookmarkStart w:id="1890" w:name="_Toc9896"/>
      <w:bookmarkStart w:id="1891" w:name="_Toc23634"/>
      <w:bookmarkStart w:id="1892" w:name="_Toc26461"/>
      <w:bookmarkStart w:id="1893" w:name="_Toc2171"/>
      <w:bookmarkStart w:id="1894" w:name="_Toc16429"/>
      <w:bookmarkStart w:id="1895" w:name="_Toc3075"/>
      <w:bookmarkStart w:id="1896" w:name="_Toc11437"/>
      <w:bookmarkStart w:id="1897" w:name="_Toc6257"/>
      <w:bookmarkStart w:id="1898" w:name="_Toc7930"/>
      <w:bookmarkStart w:id="1899" w:name="_Toc17488"/>
      <w:bookmarkStart w:id="1900" w:name="_Toc7493"/>
      <w:bookmarkStart w:id="1901" w:name="_Toc27172"/>
      <w:bookmarkStart w:id="1902" w:name="_Toc895"/>
      <w:bookmarkStart w:id="1903" w:name="_Toc1802"/>
      <w:bookmarkStart w:id="1904" w:name="_Toc31812"/>
      <w:bookmarkStart w:id="1905" w:name="_Toc23565"/>
      <w:bookmarkStart w:id="1906" w:name="_Toc16242"/>
      <w:bookmarkStart w:id="1907" w:name="_Toc13151"/>
      <w:bookmarkStart w:id="1908" w:name="_Toc28351"/>
      <w:bookmarkStart w:id="1909" w:name="_Toc29860"/>
      <w:bookmarkStart w:id="1910" w:name="_Toc25268"/>
      <w:bookmarkStart w:id="1911" w:name="_Toc15048"/>
      <w:bookmarkStart w:id="1912" w:name="_Toc18321"/>
      <w:bookmarkStart w:id="1913" w:name="_Toc8531"/>
      <w:bookmarkStart w:id="1914" w:name="_Toc25673"/>
      <w:bookmarkStart w:id="1915" w:name="_Toc23783"/>
      <w:bookmarkStart w:id="1916" w:name="_Toc9164"/>
      <w:bookmarkStart w:id="1917" w:name="_Toc2879"/>
      <w:bookmarkStart w:id="1918" w:name="_Toc9097"/>
      <w:bookmarkStart w:id="1919" w:name="_Toc9465"/>
      <w:bookmarkStart w:id="1920" w:name="_Toc30169"/>
      <w:r>
        <w:rPr>
          <w:rFonts w:ascii="Times New Roman" w:hAnsi="Times New Roman" w:cs="Times New Roman"/>
          <w:color w:val="000000" w:themeColor="text1"/>
          <w:szCs w:val="32"/>
          <w14:textFill>
            <w14:solidFill>
              <w14:schemeClr w14:val="tx1"/>
            </w14:solidFill>
          </w14:textFill>
        </w:rPr>
        <w:t xml:space="preserve">第二节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畅通交通内循环</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加快补齐城市交通内循环不畅的短板，全力改善市民出行条件，让城市交通更加便捷、环境更加宜居。</w:t>
      </w:r>
    </w:p>
    <w:p>
      <w:pPr>
        <w:widowControl w:val="0"/>
        <w:adjustRightInd/>
        <w:snapToGrid/>
        <w:spacing w:before="0" w:after="0" w:line="57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完善城市快速交通网建设。</w:t>
      </w:r>
      <w:r>
        <w:rPr>
          <w:rFonts w:ascii="Times New Roman" w:hAnsi="Times New Roman" w:eastAsia="仿宋_GB2312" w:cs="Times New Roman"/>
          <w:color w:val="000000" w:themeColor="text1"/>
          <w:sz w:val="32"/>
          <w:szCs w:val="32"/>
          <w14:textFill>
            <w14:solidFill>
              <w14:schemeClr w14:val="tx1"/>
            </w14:solidFill>
          </w14:textFill>
        </w:rPr>
        <w:t>完善主城区与外围组团之间的主干道网络，加快组团间主干路网建设，强化片区间的联系。加快推进G207、G356、S240、S242等国省干道改扩建；推进邵阳市区至邵东的东城快线（机场快线）、至隆回的西城快线等项目开工建设，进一步完善东部城镇群</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二环八射八线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城乡快速交通网络；加快启动资江一桥新桥、云山桥、中山桥等桥梁工程开工建设，全面增强城市过江能力；加快推进江黄公路、洞山醪公路、草罗公路等西部快速路项目开工建设，推动形成西部生态圈快线系统，畅通西部旅游资源的对外联系；加快推进市区、隆回、邵阳县、武冈等地公路客运中心建设，强化城乡联接能力；适时启动以市区为核心连接邵阳北、邵东、武冈的城市轨道交通前期工作，争取进入轨道交通时代。</w:t>
      </w:r>
    </w:p>
    <w:p>
      <w:pPr>
        <w:widowControl w:val="0"/>
        <w:adjustRightInd/>
        <w:snapToGrid/>
        <w:spacing w:before="0" w:after="0" w:line="57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优化交通管理和出行方式。</w:t>
      </w:r>
      <w:r>
        <w:rPr>
          <w:rFonts w:ascii="Times New Roman" w:hAnsi="Times New Roman" w:eastAsia="仿宋_GB2312" w:cs="Times New Roman"/>
          <w:color w:val="000000" w:themeColor="text1"/>
          <w:sz w:val="32"/>
          <w:szCs w:val="32"/>
          <w14:textFill>
            <w14:solidFill>
              <w14:schemeClr w14:val="tx1"/>
            </w14:solidFill>
          </w14:textFill>
        </w:rPr>
        <w:t>提高城市智能交通管理水平。坚持公交优先，保障公交优先路权，优化公交线网，完善公交站点信息组织和标识系统，完善公交GPS(全球定位系统)智能调度等智能交通管理系统，提高面向市民的智能化公交服务应用服务。加快智慧静态停车场及充电桩项目建设，缓解城市停车难、行车难问题。合理规划和完善人行道、人行过街设施，加强步行、自行车交通系统与居住区、公交枢纽、重要文体和商业等公共设施的无缝衔接，完善照明、标识设施，形成连续、系统的城市步行系统，结合资江及邵水两岸生态景观建设，打造绿色滨水慢行系统，加强城市、区域、社区三级绿道网络的贯通和连接。</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专栏25：城市综合交通网络行动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快速公路交通工程：</w:t>
            </w:r>
            <w:r>
              <w:rPr>
                <w:rFonts w:ascii="Times New Roman" w:hAnsi="Times New Roman" w:eastAsia="宋体" w:cs="Times New Roman"/>
                <w:color w:val="000000" w:themeColor="text1"/>
                <w:szCs w:val="28"/>
                <w14:textFill>
                  <w14:solidFill>
                    <w14:schemeClr w14:val="tx1"/>
                  </w14:solidFill>
                </w14:textFill>
              </w:rPr>
              <w:t>加快普通国省道低等级路段提级改造，提升二级及以上比重，确保全市普通国道二级及以上占比</w:t>
            </w:r>
            <w:r>
              <w:rPr>
                <w:rFonts w:hint="eastAsia" w:ascii="Times New Roman" w:hAnsi="Times New Roman" w:eastAsia="宋体" w:cs="Times New Roman"/>
                <w:color w:val="000000" w:themeColor="text1"/>
                <w:szCs w:val="28"/>
                <w14:textFill>
                  <w14:solidFill>
                    <w14:schemeClr w14:val="tx1"/>
                  </w14:solidFill>
                </w14:textFill>
              </w:rPr>
              <w:t>达</w:t>
            </w:r>
            <w:r>
              <w:rPr>
                <w:rFonts w:ascii="Times New Roman" w:hAnsi="Times New Roman" w:eastAsia="宋体" w:cs="Times New Roman"/>
                <w:color w:val="000000" w:themeColor="text1"/>
                <w:szCs w:val="28"/>
                <w14:textFill>
                  <w14:solidFill>
                    <w14:schemeClr w14:val="tx1"/>
                  </w14:solidFill>
                </w14:textFill>
              </w:rPr>
              <w:t>100%，其中一级公路占比</w:t>
            </w:r>
            <w:r>
              <w:rPr>
                <w:rFonts w:hint="eastAsia" w:ascii="Times New Roman" w:hAnsi="Times New Roman" w:eastAsia="宋体" w:cs="Times New Roman"/>
                <w:color w:val="000000" w:themeColor="text1"/>
                <w:szCs w:val="28"/>
                <w14:textFill>
                  <w14:solidFill>
                    <w14:schemeClr w14:val="tx1"/>
                  </w14:solidFill>
                </w14:textFill>
              </w:rPr>
              <w:t>达</w:t>
            </w:r>
            <w:r>
              <w:rPr>
                <w:rFonts w:ascii="Times New Roman" w:hAnsi="Times New Roman" w:eastAsia="宋体" w:cs="Times New Roman"/>
                <w:color w:val="000000" w:themeColor="text1"/>
                <w:szCs w:val="28"/>
                <w14:textFill>
                  <w14:solidFill>
                    <w14:schemeClr w14:val="tx1"/>
                  </w14:solidFill>
                </w14:textFill>
              </w:rPr>
              <w:t>20%以上。</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快速轨道交通工程：</w:t>
            </w:r>
            <w:r>
              <w:rPr>
                <w:rFonts w:ascii="Times New Roman" w:hAnsi="Times New Roman" w:eastAsia="宋体" w:cs="Times New Roman"/>
                <w:color w:val="000000" w:themeColor="text1"/>
                <w:szCs w:val="28"/>
                <w14:textFill>
                  <w14:solidFill>
                    <w14:schemeClr w14:val="tx1"/>
                  </w14:solidFill>
                </w14:textFill>
              </w:rPr>
              <w:t>邵阳市域轨道交通建设项目（3条城市轨道交通线、2条市域线）。</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汽车客运中心工程：</w:t>
            </w:r>
            <w:r>
              <w:rPr>
                <w:rFonts w:ascii="Times New Roman" w:hAnsi="Times New Roman" w:eastAsia="宋体" w:cs="Times New Roman"/>
                <w:color w:val="000000" w:themeColor="text1"/>
                <w:szCs w:val="28"/>
                <w14:textFill>
                  <w14:solidFill>
                    <w14:schemeClr w14:val="tx1"/>
                  </w14:solidFill>
                </w14:textFill>
              </w:rPr>
              <w:t>邵阳南站综合客运枢纽建设项目、邵阳县城乡客运一体化及应急处理中心建设项目、邵阳县峡山客运中心建设项目、武冈市物流中心（货运总站）、城步县汽车南站建设项目、武冈市公交总站项目建设。</w:t>
            </w:r>
          </w:p>
          <w:p>
            <w:pPr>
              <w:spacing w:before="0" w:after="0" w:line="54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停车场建设工程：</w:t>
            </w:r>
            <w:r>
              <w:rPr>
                <w:rFonts w:ascii="Times New Roman" w:hAnsi="Times New Roman" w:eastAsia="宋体" w:cs="Times New Roman"/>
                <w:color w:val="000000" w:themeColor="text1"/>
                <w:szCs w:val="28"/>
                <w14:textFill>
                  <w14:solidFill>
                    <w14:schemeClr w14:val="tx1"/>
                  </w14:solidFill>
                </w14:textFill>
              </w:rPr>
              <w:t>加快推进邵阳市智能化公共停车场示范工程项目、邵阳市智慧静态停车场及充电桩项目、邵东市城北新区智慧停车场及奥特莱斯周边路网建设项目、洞口县城市智能化停车场建设项目、隆回县智慧停车场建设项目、绥宁县城区综合停车场建设项目、武冈市停车场建设项目、新宁县城综合停车场建设项目、新邵县城智能停车场及配套设施建设项目（一期）、城步县智慧停车场建设项目。</w:t>
            </w:r>
          </w:p>
        </w:tc>
      </w:tr>
    </w:tbl>
    <w:p>
      <w:pPr>
        <w:pStyle w:val="4"/>
        <w:keepNext w:val="0"/>
        <w:keepLines w:val="0"/>
        <w:widowControl w:val="0"/>
        <w:spacing w:before="386" w:beforeLines="100" w:after="386" w:afterLines="100" w:line="540" w:lineRule="exact"/>
        <w:rPr>
          <w:rFonts w:ascii="Times New Roman" w:hAnsi="Times New Roman" w:cs="Times New Roman"/>
          <w:color w:val="000000" w:themeColor="text1"/>
          <w:szCs w:val="32"/>
          <w14:textFill>
            <w14:solidFill>
              <w14:schemeClr w14:val="tx1"/>
            </w14:solidFill>
          </w14:textFill>
        </w:rPr>
      </w:pPr>
      <w:bookmarkStart w:id="1921" w:name="_Toc10977"/>
      <w:bookmarkStart w:id="1922" w:name="_Toc17061"/>
      <w:bookmarkStart w:id="1923" w:name="_Toc12608"/>
      <w:bookmarkStart w:id="1924" w:name="_Toc3826"/>
      <w:bookmarkStart w:id="1925" w:name="_Toc25313"/>
      <w:bookmarkStart w:id="1926" w:name="_Toc3076"/>
      <w:bookmarkStart w:id="1927" w:name="_Toc22214"/>
      <w:bookmarkStart w:id="1928" w:name="_Toc24702"/>
      <w:bookmarkStart w:id="1929" w:name="_Toc17383"/>
      <w:bookmarkStart w:id="1930" w:name="_Toc1655"/>
      <w:bookmarkStart w:id="1931" w:name="_Toc8403"/>
      <w:bookmarkStart w:id="1932" w:name="_Toc24053"/>
      <w:bookmarkStart w:id="1933" w:name="_Toc14276"/>
      <w:bookmarkStart w:id="1934" w:name="_Toc3619"/>
      <w:bookmarkStart w:id="1935" w:name="_Toc19963"/>
      <w:bookmarkStart w:id="1936" w:name="_Toc21391"/>
      <w:bookmarkStart w:id="1937" w:name="_Toc15976"/>
      <w:bookmarkStart w:id="1938" w:name="_Toc309"/>
      <w:bookmarkStart w:id="1939" w:name="_Toc12902"/>
      <w:bookmarkStart w:id="1940" w:name="_Toc27726"/>
      <w:bookmarkStart w:id="1941" w:name="_Toc12420"/>
      <w:bookmarkStart w:id="1942" w:name="_Toc21011"/>
      <w:bookmarkStart w:id="1943" w:name="_Toc13173"/>
      <w:bookmarkStart w:id="1944" w:name="_Toc24054"/>
      <w:bookmarkStart w:id="1945" w:name="_Toc20619"/>
      <w:bookmarkStart w:id="1946" w:name="_Toc4699"/>
      <w:bookmarkStart w:id="1947" w:name="_Toc22640"/>
      <w:bookmarkStart w:id="1948" w:name="_Toc10114"/>
      <w:bookmarkStart w:id="1949" w:name="_Toc6996"/>
      <w:bookmarkStart w:id="1950" w:name="_Toc21450"/>
      <w:bookmarkStart w:id="1951" w:name="_Toc2688"/>
      <w:bookmarkStart w:id="1952" w:name="_Toc16523"/>
      <w:bookmarkStart w:id="1953" w:name="_Toc30539"/>
      <w:bookmarkStart w:id="1954" w:name="_Toc30791"/>
      <w:bookmarkStart w:id="1955" w:name="_Toc9671"/>
      <w:bookmarkStart w:id="1956" w:name="_Toc26073"/>
      <w:bookmarkStart w:id="1957" w:name="_Toc18272"/>
      <w:r>
        <w:rPr>
          <w:rFonts w:ascii="Times New Roman" w:hAnsi="Times New Roman" w:cs="Times New Roman"/>
          <w:color w:val="000000" w:themeColor="text1"/>
          <w:szCs w:val="32"/>
          <w14:textFill>
            <w14:solidFill>
              <w14:schemeClr w14:val="tx1"/>
            </w14:solidFill>
          </w14:textFill>
        </w:rPr>
        <w:t>第三节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促进物流大联通</w:t>
      </w:r>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pPr>
        <w:widowControl w:val="0"/>
        <w:adjustRightInd/>
        <w:snapToGrid/>
        <w:spacing w:before="0" w:after="0" w:line="54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充分发挥区域性综合交通枢纽优势，加快完善现代物流基础设施和服务体系，着力完善物流通道、枢纽、节点、网络，打造承东启西、接南连北的中部地区区域性现代物流中心城市。到2025年，国家级示范物流园区达1家以上，省级示范物流园区达3家以上，物流业增加值占GDP比重达到7%。</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统筹重要通道建设。</w:t>
      </w:r>
      <w:r>
        <w:rPr>
          <w:rFonts w:ascii="Times New Roman" w:hAnsi="Times New Roman" w:eastAsia="仿宋_GB2312" w:cs="Times New Roman"/>
          <w:color w:val="000000" w:themeColor="text1"/>
          <w:spacing w:val="-6"/>
          <w:sz w:val="32"/>
          <w:szCs w:val="32"/>
          <w14:textFill>
            <w14:solidFill>
              <w14:schemeClr w14:val="tx1"/>
            </w14:solidFill>
          </w14:textFill>
        </w:rPr>
        <w:t>做大东向长株潭通道，依托怀邵衡铁</w:t>
      </w:r>
      <w:r>
        <w:rPr>
          <w:rFonts w:hint="eastAsia" w:ascii="Times New Roman" w:hAnsi="Times New Roman" w:eastAsia="仿宋_GB2312" w:cs="Times New Roman"/>
          <w:color w:val="000000" w:themeColor="text1"/>
          <w:spacing w:val="-6"/>
          <w:sz w:val="32"/>
          <w:szCs w:val="32"/>
          <w14:textFill>
            <w14:solidFill>
              <w14:schemeClr w14:val="tx1"/>
            </w14:solidFill>
          </w14:textFill>
        </w:rPr>
        <w:t>路</w:t>
      </w:r>
      <w:r>
        <w:rPr>
          <w:rFonts w:ascii="Times New Roman" w:hAnsi="Times New Roman" w:eastAsia="仿宋_GB2312" w:cs="Times New Roman"/>
          <w:color w:val="000000" w:themeColor="text1"/>
          <w:spacing w:val="-6"/>
          <w:sz w:val="32"/>
          <w:szCs w:val="32"/>
          <w14:textFill>
            <w14:solidFill>
              <w14:schemeClr w14:val="tx1"/>
            </w14:solidFill>
          </w14:textFill>
        </w:rPr>
        <w:t>、沪昆高铁放大高铁时空压缩效应，打造促进资金、人才、科技要素集聚的开放崛起通道。建设西向中亚欧通道，加快引入中欧班列，全面参与丝绸之路经济带。做强南向黄金通道，依托呼南高铁、呼北高速、二广高速完善运行机制，强化基础设施建设，推动通道物流提质增效，打造联接粤港澳、通往东南亚的陆海联动通道。做实北向长江通道，畅通资江、邵水航运，提升北上长江通达能力，打造面向东南沿海，面向东太平洋的水运大动脉。完善对接东盟通道，利用中老铁路、万象-长沙客运航线开通契机，争取开通邵阳-老挝万象铁路专线及万象-长沙-武冈货运航线，打通邵阳-东盟的铁、公、机立体国际物流通道。</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推动重点领域物流发展。</w:t>
      </w:r>
      <w:r>
        <w:rPr>
          <w:rFonts w:ascii="Times New Roman" w:hAnsi="Times New Roman" w:eastAsia="仿宋_GB2312" w:cs="Times New Roman"/>
          <w:color w:val="000000" w:themeColor="text1"/>
          <w:sz w:val="32"/>
          <w:szCs w:val="32"/>
          <w14:textFill>
            <w14:solidFill>
              <w14:schemeClr w14:val="tx1"/>
            </w14:solidFill>
          </w14:textFill>
        </w:rPr>
        <w:t>充分利用中部崛起、长江经济带发展、湘南湘西承接产业转移示范区等政策优势，加快发展制造业物流、保税物流、空港物流、冷链物流、国际物流和智慧物流，增强辐射带动能力。继续深化分销、共同配送、供应链集成服务等物流经营模式，探索打造大宗商品流通服务生态圈。规划建设综合服务功能强的第三方、第四方物流服务中心，建立和完善现代物流服务体系。</w:t>
      </w:r>
    </w:p>
    <w:p>
      <w:pPr>
        <w:widowControl w:val="0"/>
        <w:adjustRightInd/>
        <w:snapToGrid/>
        <w:spacing w:before="0" w:after="0" w:line="54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培育壮大骨干物流企业。</w:t>
      </w:r>
      <w:r>
        <w:rPr>
          <w:rFonts w:ascii="Times New Roman" w:hAnsi="Times New Roman" w:eastAsia="仿宋_GB2312" w:cs="Times New Roman"/>
          <w:color w:val="000000" w:themeColor="text1"/>
          <w:sz w:val="32"/>
          <w:szCs w:val="32"/>
          <w14:textFill>
            <w14:solidFill>
              <w14:schemeClr w14:val="tx1"/>
            </w14:solidFill>
          </w14:textFill>
        </w:rPr>
        <w:t>加快完善现代商贸流通体系，引进和培育一批具有全球竞争力的物流企业。鼓励物流配送企业规模化发展，支持优势物流企业通过重组、参股、控股、承包、兼并、收购、托管和特许经营等方式实现规模扩张。鼓励制造企业分离外包物流业务，引导大型制造企业自营物流机构向社会化、专业化的第三方、第四方物流企业转型发展。培育3-5家百亿级具有本土特色的综合型物流企业。鼓励物流企业参与省内竞争，培育1-2家具有国内竞争力的现代物流企业。到2025年，全市A级以上物流企业达</w:t>
      </w:r>
      <w:r>
        <w:rPr>
          <w:rFonts w:hint="eastAsia" w:ascii="Times New Roman" w:hAnsi="Times New Roman" w:eastAsia="仿宋_GB2312" w:cs="Times New Roman"/>
          <w:color w:val="000000" w:themeColor="text1"/>
          <w:sz w:val="32"/>
          <w:szCs w:val="32"/>
          <w14:textFill>
            <w14:solidFill>
              <w14:schemeClr w14:val="tx1"/>
            </w14:solidFill>
          </w14:textFill>
        </w:rPr>
        <w:t>15</w:t>
      </w:r>
      <w:r>
        <w:rPr>
          <w:rFonts w:ascii="Times New Roman" w:hAnsi="Times New Roman" w:eastAsia="仿宋_GB2312" w:cs="Times New Roman"/>
          <w:color w:val="000000" w:themeColor="text1"/>
          <w:sz w:val="32"/>
          <w:szCs w:val="32"/>
          <w14:textFill>
            <w14:solidFill>
              <w14:schemeClr w14:val="tx1"/>
            </w14:solidFill>
          </w14:textFill>
        </w:rPr>
        <w:t>家以上，其中4A级以上物流企业达</w:t>
      </w:r>
      <w:r>
        <w:rPr>
          <w:rFonts w:hint="eastAsia" w:ascii="Times New Roman" w:hAnsi="Times New Roman" w:eastAsia="仿宋_GB2312" w:cs="Times New Roman"/>
          <w:color w:val="000000" w:themeColor="text1"/>
          <w:sz w:val="32"/>
          <w:szCs w:val="32"/>
          <w14:textFill>
            <w14:solidFill>
              <w14:schemeClr w14:val="tx1"/>
            </w14:solidFill>
          </w14:textFill>
        </w:rPr>
        <w:t>5</w:t>
      </w:r>
      <w:r>
        <w:rPr>
          <w:rFonts w:ascii="Times New Roman" w:hAnsi="Times New Roman" w:eastAsia="仿宋_GB2312" w:cs="Times New Roman"/>
          <w:color w:val="000000" w:themeColor="text1"/>
          <w:sz w:val="32"/>
          <w:szCs w:val="32"/>
          <w14:textFill>
            <w14:solidFill>
              <w14:schemeClr w14:val="tx1"/>
            </w14:solidFill>
          </w14:textFill>
        </w:rPr>
        <w:t>家以上。</w:t>
      </w:r>
    </w:p>
    <w:p>
      <w:pPr>
        <w:widowControl w:val="0"/>
        <w:adjustRightInd/>
        <w:snapToGrid/>
        <w:spacing w:before="0" w:after="193" w:afterLines="50" w:line="540" w:lineRule="exact"/>
        <w:ind w:firstLine="643"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推动现代物流创新发展。</w:t>
      </w:r>
      <w:r>
        <w:rPr>
          <w:rFonts w:ascii="Times New Roman" w:hAnsi="Times New Roman" w:eastAsia="仿宋_GB2312" w:cs="Times New Roman"/>
          <w:color w:val="000000" w:themeColor="text1"/>
          <w:spacing w:val="-6"/>
          <w:sz w:val="32"/>
          <w:szCs w:val="32"/>
          <w14:textFill>
            <w14:solidFill>
              <w14:schemeClr w14:val="tx1"/>
            </w14:solidFill>
          </w14:textFill>
        </w:rPr>
        <w:t>推进物流业数字化、智能化改造，促进标准化建设和绿色协调发展。加快推进物流管理体制改革，进一步简政放权，探索建立物流领域的</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负面清单</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。深化商事登记制度改革，建立健全金融、税收、海关、检验检疫、交通运输等部门物流信息共享共用机制，推进口岸</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大通关</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建设。推进物流标准化建设，加快构建标准化托盘循环共用体系，大力发展</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多式联运</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，推广</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一单制</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运输。推进物流设备设施智能化改造，支持企业应用条形码、电子数据交换、无线射频等信息技术，引导大型物流企业开发应用先进物流管理系统。支持交通物流公共信息平台以及运输配载、跟踪追溯、库存监控等各类专业化、特色化物流信息平台创新发展，拓展追踪溯源、数据分析、担保结算、融资保险、信用评价等增值服务，实现与供应链上下游企业系统对接，增强协同运作能力。继续推进城市共同配送试点，打造现代化的城市共同配送服务体系。完善支持物流企业发展政策，加快培育交易、服务、信息三大平台建设。</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rPr>
          <w:trHeight w:val="598" w:hRule="atLeast"/>
        </w:trPr>
        <w:tc>
          <w:tcPr>
            <w:tcW w:w="5000" w:type="pc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专栏26：物流服务提升行动</w:t>
            </w:r>
          </w:p>
        </w:tc>
      </w:tr>
      <w:tr>
        <w:tblPrEx>
          <w:tblCellMar>
            <w:top w:w="0" w:type="dxa"/>
            <w:left w:w="0" w:type="dxa"/>
            <w:bottom w:w="0" w:type="dxa"/>
            <w:right w:w="0" w:type="dxa"/>
          </w:tblCellMar>
        </w:tblPrEx>
        <w:trPr>
          <w:trHeight w:val="500" w:hRule="atLeast"/>
        </w:trPr>
        <w:tc>
          <w:tcPr>
            <w:tcW w:w="5000" w:type="pc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spacing w:before="0" w:after="0" w:line="579"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区域性物流</w:t>
            </w:r>
            <w:r>
              <w:rPr>
                <w:rFonts w:hint="eastAsia" w:ascii="仿宋" w:hAnsi="仿宋" w:cs="Times New Roman"/>
                <w:b/>
                <w:color w:val="000000" w:themeColor="text1"/>
                <w:szCs w:val="28"/>
                <w14:textFill>
                  <w14:solidFill>
                    <w14:schemeClr w14:val="tx1"/>
                  </w14:solidFill>
                </w14:textFill>
              </w:rPr>
              <w:t>“</w:t>
            </w:r>
            <w:r>
              <w:rPr>
                <w:rFonts w:ascii="Times New Roman" w:hAnsi="Times New Roman" w:eastAsia="宋体" w:cs="Times New Roman"/>
                <w:b/>
                <w:color w:val="000000" w:themeColor="text1"/>
                <w:szCs w:val="28"/>
                <w14:textFill>
                  <w14:solidFill>
                    <w14:schemeClr w14:val="tx1"/>
                  </w14:solidFill>
                </w14:textFill>
              </w:rPr>
              <w:t>主干网</w:t>
            </w:r>
            <w:r>
              <w:rPr>
                <w:rFonts w:hint="eastAsia" w:ascii="仿宋" w:hAnsi="仿宋" w:cs="Times New Roman"/>
                <w:b/>
                <w:color w:val="000000" w:themeColor="text1"/>
                <w:szCs w:val="28"/>
                <w14:textFill>
                  <w14:solidFill>
                    <w14:schemeClr w14:val="tx1"/>
                  </w14:solidFill>
                </w14:textFill>
              </w:rPr>
              <w:t>”</w:t>
            </w:r>
            <w:r>
              <w:rPr>
                <w:rFonts w:ascii="Times New Roman" w:hAnsi="Times New Roman" w:eastAsia="宋体" w:cs="Times New Roman"/>
                <w:b/>
                <w:color w:val="000000" w:themeColor="text1"/>
                <w:szCs w:val="28"/>
                <w14:textFill>
                  <w14:solidFill>
                    <w14:schemeClr w14:val="tx1"/>
                  </w14:solidFill>
                </w14:textFill>
              </w:rPr>
              <w:t>工程：</w:t>
            </w:r>
            <w:r>
              <w:rPr>
                <w:rFonts w:ascii="Times New Roman" w:hAnsi="Times New Roman" w:eastAsia="宋体" w:cs="Times New Roman"/>
                <w:color w:val="000000" w:themeColor="text1"/>
                <w:szCs w:val="28"/>
                <w14:textFill>
                  <w14:solidFill>
                    <w14:schemeClr w14:val="tx1"/>
                  </w14:solidFill>
                </w14:textFill>
              </w:rPr>
              <w:t>加快推进邵阳东货场综合物流园、北塔农产品智慧物流园、跨境电商产业园、快递物流产业园等重点流通载体建设，建设改造一批综合型和专业型的物流分拨中心与物流集聚区，以龙头企业为主体、新型特色专业市场为平台，打通全国物流主干网。</w:t>
            </w:r>
          </w:p>
          <w:p>
            <w:pPr>
              <w:spacing w:before="0" w:after="0" w:line="579" w:lineRule="exact"/>
              <w:ind w:firstLine="562" w:firstLineChars="200"/>
              <w:jc w:val="both"/>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城乡物流网络工程：</w:t>
            </w:r>
            <w:r>
              <w:rPr>
                <w:rFonts w:ascii="Times New Roman" w:hAnsi="Times New Roman" w:eastAsia="宋体" w:cs="Times New Roman"/>
                <w:color w:val="000000" w:themeColor="text1"/>
                <w:szCs w:val="28"/>
                <w14:textFill>
                  <w14:solidFill>
                    <w14:schemeClr w14:val="tx1"/>
                  </w14:solidFill>
                </w14:textFill>
              </w:rPr>
              <w:t>培育一批面向农村市场的规模化、连锁化、品牌化经营的骨干企业，引导社会资本投入建设农村地区集代购、收发、代理收费、金融服务为一体的综合物流分拨中心和物流站点。</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十四五</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期间，规划每个乡镇设立1个综合物流分拨中心，每村设立1-2个物流站点，构建科学合理的农村现代流通网络。</w:t>
            </w:r>
          </w:p>
        </w:tc>
      </w:tr>
    </w:tbl>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br w:type="page"/>
      </w:r>
    </w:p>
    <w:p>
      <w:pPr>
        <w:rPr>
          <w:rFonts w:ascii="Times New Roman" w:hAnsi="Times New Roman" w:cs="Times New Roman"/>
        </w:rPr>
      </w:pPr>
      <w:bookmarkStart w:id="1958" w:name="_Toc19491"/>
      <w:bookmarkStart w:id="1959" w:name="_Toc28381"/>
      <w:bookmarkStart w:id="1960" w:name="_Toc27883"/>
      <w:bookmarkStart w:id="1961" w:name="_Toc30740"/>
      <w:bookmarkStart w:id="1962" w:name="_Toc7561"/>
      <w:bookmarkStart w:id="1963" w:name="_Toc23938"/>
      <w:bookmarkStart w:id="1964" w:name="_Toc7296"/>
      <w:bookmarkStart w:id="1965" w:name="_Toc2763"/>
      <w:bookmarkStart w:id="1966" w:name="_Toc15657"/>
      <w:bookmarkStart w:id="1967" w:name="_Toc22737"/>
      <w:bookmarkStart w:id="1968" w:name="_Toc1951"/>
      <w:bookmarkStart w:id="1969" w:name="_Toc28761"/>
      <w:bookmarkStart w:id="1970" w:name="_Toc448"/>
      <w:bookmarkStart w:id="1971" w:name="_Toc21208"/>
      <w:bookmarkStart w:id="1972" w:name="_Toc32515"/>
      <w:bookmarkStart w:id="1973" w:name="_Toc19953"/>
      <w:bookmarkStart w:id="1974" w:name="_Toc27184"/>
      <w:bookmarkStart w:id="1975" w:name="_Toc16932"/>
      <w:bookmarkStart w:id="1976" w:name="_Toc21038"/>
      <w:bookmarkStart w:id="1977" w:name="_Toc22726"/>
      <w:bookmarkStart w:id="1978" w:name="_Toc21568"/>
      <w:bookmarkStart w:id="1979" w:name="_Toc10476"/>
      <w:bookmarkStart w:id="1980" w:name="_Toc9947"/>
      <w:bookmarkStart w:id="1981" w:name="_Toc13863"/>
      <w:bookmarkStart w:id="1982" w:name="_Toc18225"/>
      <w:bookmarkStart w:id="1983" w:name="_Toc13598"/>
      <w:bookmarkStart w:id="1984" w:name="_Toc31923"/>
      <w:bookmarkStart w:id="1985" w:name="_Toc24271"/>
      <w:bookmarkStart w:id="1986" w:name="_Toc32296"/>
      <w:bookmarkStart w:id="1987" w:name="_Toc1914"/>
      <w:bookmarkStart w:id="1988" w:name="_Toc24662"/>
      <w:bookmarkStart w:id="1989" w:name="_Toc4650"/>
    </w:p>
    <w:p>
      <w:pPr>
        <w:pStyle w:val="3"/>
        <w:widowControl w:val="0"/>
        <w:spacing w:before="0" w:after="0" w:line="560" w:lineRule="exact"/>
        <w:rPr>
          <w:rFonts w:ascii="Times New Roman" w:hAnsi="Times New Roman" w:cs="Times New Roman"/>
          <w:color w:val="000000" w:themeColor="text1"/>
          <w14:textFill>
            <w14:solidFill>
              <w14:schemeClr w14:val="tx1"/>
            </w14:solidFill>
          </w14:textFill>
        </w:rPr>
      </w:pPr>
      <w:bookmarkStart w:id="1990" w:name="_Toc17932"/>
      <w:bookmarkStart w:id="1991" w:name="_Toc11639"/>
      <w:bookmarkStart w:id="1992" w:name="_Toc16817"/>
      <w:bookmarkStart w:id="1993" w:name="_Toc10468"/>
      <w:bookmarkStart w:id="1994" w:name="_Toc20295"/>
      <w:r>
        <w:rPr>
          <w:rFonts w:ascii="Times New Roman" w:hAnsi="Times New Roman" w:cs="Times New Roman"/>
          <w:color w:val="000000" w:themeColor="text1"/>
          <w14:textFill>
            <w14:solidFill>
              <w14:schemeClr w14:val="tx1"/>
            </w14:solidFill>
          </w14:textFill>
        </w:rPr>
        <w:t>第十一章 强化基础配套 夯实高质量发展新支撑</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坚持统筹规划、适度超前的原则，进一步优化能源、水利、信息网络体系，提升基础设施保障能力和水平，加快构建功能齐全、便捷高效、安全经济的现代基础设施体系。</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1995" w:name="_Toc18615"/>
      <w:bookmarkStart w:id="1996" w:name="_Toc28330"/>
      <w:bookmarkStart w:id="1997" w:name="_Toc14996"/>
      <w:bookmarkStart w:id="1998" w:name="_Toc141"/>
      <w:bookmarkStart w:id="1999" w:name="_Toc11411"/>
      <w:bookmarkStart w:id="2000" w:name="_Toc8144"/>
      <w:bookmarkStart w:id="2001" w:name="_Toc14321"/>
      <w:bookmarkStart w:id="2002" w:name="_Toc21686"/>
      <w:bookmarkStart w:id="2003" w:name="_Toc19647"/>
      <w:bookmarkStart w:id="2004" w:name="_Toc21666"/>
      <w:bookmarkStart w:id="2005" w:name="_Toc11647"/>
      <w:bookmarkStart w:id="2006" w:name="_Toc11301"/>
      <w:bookmarkStart w:id="2007" w:name="_Toc17240"/>
      <w:bookmarkStart w:id="2008" w:name="_Toc11037"/>
      <w:bookmarkStart w:id="2009" w:name="_Toc24461"/>
      <w:bookmarkStart w:id="2010" w:name="_Toc27191"/>
      <w:bookmarkStart w:id="2011" w:name="_Toc13111"/>
      <w:bookmarkStart w:id="2012" w:name="_Toc31062"/>
      <w:bookmarkStart w:id="2013" w:name="_Toc14242"/>
      <w:bookmarkStart w:id="2014" w:name="_Toc16509"/>
      <w:bookmarkStart w:id="2015" w:name="_Toc11472"/>
      <w:bookmarkStart w:id="2016" w:name="_Toc29533"/>
      <w:bookmarkStart w:id="2017" w:name="_Toc1583"/>
      <w:bookmarkStart w:id="2018" w:name="_Toc13235"/>
      <w:bookmarkStart w:id="2019" w:name="_Toc9161"/>
      <w:bookmarkStart w:id="2020" w:name="_Toc2907"/>
      <w:bookmarkStart w:id="2021" w:name="_Toc19800"/>
      <w:bookmarkStart w:id="2022" w:name="_Toc4534"/>
      <w:bookmarkStart w:id="2023" w:name="_Toc20870"/>
      <w:bookmarkStart w:id="2024" w:name="_Toc19104"/>
      <w:bookmarkStart w:id="2025" w:name="_Toc18054"/>
      <w:bookmarkStart w:id="2026" w:name="_Toc31245"/>
      <w:bookmarkStart w:id="2027" w:name="_Toc14182"/>
      <w:bookmarkStart w:id="2028" w:name="_Toc31020"/>
      <w:bookmarkStart w:id="2029" w:name="_Toc18925"/>
      <w:bookmarkStart w:id="2030" w:name="_Toc11419"/>
      <w:bookmarkStart w:id="2031" w:name="_Toc20828"/>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夯实能源</w:t>
      </w:r>
      <w:bookmarkEnd w:id="1995"/>
      <w:bookmarkEnd w:id="1996"/>
      <w:bookmarkEnd w:id="1997"/>
      <w:r>
        <w:rPr>
          <w:rFonts w:ascii="Times New Roman" w:hAnsi="Times New Roman" w:cs="Times New Roman"/>
          <w:color w:val="000000" w:themeColor="text1"/>
          <w:szCs w:val="32"/>
          <w14:textFill>
            <w14:solidFill>
              <w14:schemeClr w14:val="tx1"/>
            </w14:solidFill>
          </w14:textFill>
        </w:rPr>
        <w:t>保障网</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pPr>
        <w:widowControl w:val="0"/>
        <w:adjustRightInd/>
        <w:snapToGrid/>
        <w:spacing w:before="0" w:after="0" w:line="560" w:lineRule="exact"/>
        <w:ind w:firstLine="643" w:firstLineChars="200"/>
        <w:jc w:val="both"/>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加快能源基础设施建设。</w:t>
      </w:r>
      <w:r>
        <w:rPr>
          <w:rFonts w:ascii="Times New Roman" w:hAnsi="Times New Roman" w:eastAsia="仿宋_GB2312" w:cs="Times New Roman"/>
          <w:bCs/>
          <w:color w:val="000000" w:themeColor="text1"/>
          <w:sz w:val="32"/>
          <w:szCs w:val="32"/>
          <w14:textFill>
            <w14:solidFill>
              <w14:schemeClr w14:val="tx1"/>
            </w14:solidFill>
          </w14:textFill>
        </w:rPr>
        <w:t>建设全省电力枢纽城市和全国能源示范城市。枢纽电网方面。全面完成雅中-江西特高压直流电输电工程、邵阳东500千伏输变电工程、栗山220千伏输变电工程等重点项目建设。现代城市配电网方面，以</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六路一城</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两院四路</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管网建设为突破口，进一步优化配电网结构，提升设备质量，提高城配网供电可靠性和自动化水平。农村配电网方面，进一步推进农网改造升级，着力消除低电压台区，逐步完善农网结构，提升农村电气化水平，提高农网供电能力和可靠性。充电桩(新能源汽车)方面。加快全市充电桩运营系统建设，规划建设20个充电站，10000个充电桩。天然气方面。配合国家</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西气东输</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和省</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气化湖南</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工程，加快城市天然气管网、液化天然气储备等设施建设，构建供用储一体化燃气输配体系，提升燃气输储配能力。</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改善能源结构。</w:t>
      </w:r>
      <w:r>
        <w:rPr>
          <w:rFonts w:ascii="Times New Roman" w:hAnsi="Times New Roman" w:eastAsia="仿宋_GB2312" w:cs="Times New Roman"/>
          <w:color w:val="000000" w:themeColor="text1"/>
          <w:sz w:val="32"/>
          <w:szCs w:val="32"/>
          <w14:textFill>
            <w14:solidFill>
              <w14:schemeClr w14:val="tx1"/>
            </w14:solidFill>
          </w14:textFill>
        </w:rPr>
        <w:t>鼓励推广大型公共建筑及公用设施、工业园区等建设屋顶分布式光伏发电工程，同步做好就地消纳利用和集中送出通道建设。</w:t>
      </w:r>
      <w:r>
        <w:rPr>
          <w:rFonts w:ascii="Times New Roman" w:hAnsi="Times New Roman" w:eastAsia="仿宋_GB2312" w:cs="Times New Roman"/>
          <w:bCs/>
          <w:color w:val="000000" w:themeColor="text1"/>
          <w:sz w:val="32"/>
          <w:szCs w:val="32"/>
          <w14:textFill>
            <w14:solidFill>
              <w14:schemeClr w14:val="tx1"/>
            </w14:solidFill>
          </w14:textFill>
        </w:rPr>
        <w:t>严格落实生态修复和环境保护制度，规划建设一批高山风电能源点及配送工程，稳步推进分散式风电开发。积极谋划一批垃圾发电，推动生物质能的清洁高效利用。到2025年，建成全国能源示范城市、全省可再生能源基地、全省油气和电力枢纽城市、全省煤炭储备基地。城步、隆回、洞口、新宁等县成为全国新能源示范县；绥宁、邵东、武冈、隆回、邵阳县创建全国绿色能源县；城步苗族自治县成为全省山地风电第一县。</w:t>
      </w:r>
    </w:p>
    <w:tbl>
      <w:tblPr>
        <w:tblStyle w:val="14"/>
        <w:tblW w:w="5108" w:type="pct"/>
        <w:tblInd w:w="0" w:type="dxa"/>
        <w:tblLayout w:type="autofit"/>
        <w:tblCellMar>
          <w:top w:w="0" w:type="dxa"/>
          <w:left w:w="0" w:type="dxa"/>
          <w:bottom w:w="0" w:type="dxa"/>
          <w:right w:w="0" w:type="dxa"/>
        </w:tblCellMar>
      </w:tblPr>
      <w:tblGrid>
        <w:gridCol w:w="9060"/>
      </w:tblGrid>
      <w:tr>
        <w:trPr>
          <w:trHeight w:val="223"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专栏27：能源网建设行动</w:t>
            </w:r>
          </w:p>
        </w:tc>
      </w:tr>
      <w:tr>
        <w:tblPrEx>
          <w:tblCellMar>
            <w:top w:w="0" w:type="dxa"/>
            <w:left w:w="0" w:type="dxa"/>
            <w:bottom w:w="0" w:type="dxa"/>
            <w:right w:w="0" w:type="dxa"/>
          </w:tblCellMar>
        </w:tblPrEx>
        <w:trPr>
          <w:trHeight w:val="1106"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spacing w:before="0" w:after="0" w:line="50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电网工程：</w:t>
            </w:r>
            <w:r>
              <w:rPr>
                <w:rFonts w:ascii="Times New Roman" w:hAnsi="Times New Roman" w:eastAsia="宋体" w:cs="Times New Roman"/>
                <w:bCs/>
                <w:color w:val="000000" w:themeColor="text1"/>
                <w:szCs w:val="28"/>
                <w14:textFill>
                  <w14:solidFill>
                    <w14:schemeClr w14:val="tx1"/>
                  </w14:solidFill>
                </w14:textFill>
              </w:rPr>
              <w:t>提升电网的安全保障能力、资源配置能力和供电服务能力，把邵阳电网建成网架合理、安全可靠、绿色低碳、开放互动、坚强智能的</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五型</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电网。加快推进</w:t>
            </w:r>
            <w:r>
              <w:rPr>
                <w:rFonts w:ascii="Times New Roman" w:hAnsi="Times New Roman" w:eastAsia="宋体" w:cs="Times New Roman"/>
                <w:color w:val="000000" w:themeColor="text1"/>
                <w:szCs w:val="28"/>
                <w14:textFill>
                  <w14:solidFill>
                    <w14:schemeClr w14:val="tx1"/>
                  </w14:solidFill>
                </w14:textFill>
              </w:rPr>
              <w:t>邵阳市35千伏及以上电网建设工程、邵阳市10千伏及以下配电网建设工程、雅中-江西±800千伏特高压直流输电工程、邵阳市风力资源开发及电源点建设工程、邵阳市光伏发电项目工程。</w:t>
            </w:r>
          </w:p>
          <w:p>
            <w:pPr>
              <w:spacing w:before="0" w:after="0" w:line="50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油气管网工程：</w:t>
            </w:r>
            <w:r>
              <w:rPr>
                <w:rFonts w:ascii="Times New Roman" w:hAnsi="Times New Roman" w:eastAsia="宋体" w:cs="Times New Roman"/>
                <w:bCs/>
                <w:color w:val="000000" w:themeColor="text1"/>
                <w:szCs w:val="28"/>
                <w14:textFill>
                  <w14:solidFill>
                    <w14:schemeClr w14:val="tx1"/>
                  </w14:solidFill>
                </w14:textFill>
              </w:rPr>
              <w:t>推进气化邵阳工程建设，实现县县通天然气。加快推进邵阳-隆回-</w:t>
            </w:r>
            <w:r>
              <w:rPr>
                <w:rFonts w:ascii="Times New Roman" w:hAnsi="Times New Roman" w:eastAsia="宋体" w:cs="Times New Roman"/>
                <w:color w:val="000000" w:themeColor="text1"/>
                <w:szCs w:val="28"/>
                <w14:textFill>
                  <w14:solidFill>
                    <w14:schemeClr w14:val="tx1"/>
                  </w14:solidFill>
                </w14:textFill>
              </w:rPr>
              <w:t>洞口-武冈-新宁天然气管道建设并延伸至绥宁、城步项目、邵东-双峰天然气管道建设项目、娄底-邵阳-永州成品油管道工程项目、邵阳市重点乡镇管道天然气建设项目、邵阳市城区燃气管网新建与改造项目、邵阳县燃气储气设施和燃气管网改造与建设项目。</w:t>
            </w:r>
          </w:p>
          <w:p>
            <w:pPr>
              <w:spacing w:before="0" w:after="0" w:line="500" w:lineRule="exact"/>
              <w:ind w:firstLine="562" w:firstLineChars="200"/>
              <w:jc w:val="both"/>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能源储备设施工程：</w:t>
            </w:r>
            <w:r>
              <w:rPr>
                <w:rFonts w:ascii="Times New Roman" w:hAnsi="Times New Roman" w:eastAsia="宋体" w:cs="Times New Roman"/>
                <w:bCs/>
                <w:color w:val="000000" w:themeColor="text1"/>
                <w:szCs w:val="28"/>
                <w14:textFill>
                  <w14:solidFill>
                    <w14:schemeClr w14:val="tx1"/>
                  </w14:solidFill>
                </w14:textFill>
              </w:rPr>
              <w:t>加快推进</w:t>
            </w:r>
            <w:r>
              <w:rPr>
                <w:rFonts w:ascii="Times New Roman" w:hAnsi="Times New Roman" w:eastAsia="宋体" w:cs="Times New Roman"/>
                <w:color w:val="000000" w:themeColor="text1"/>
                <w:szCs w:val="28"/>
                <w14:textFill>
                  <w14:solidFill>
                    <w14:schemeClr w14:val="tx1"/>
                  </w14:solidFill>
                </w14:textFill>
              </w:rPr>
              <w:t>邵阳市城南应急调峰储气站项目、邵阳经开区燃气分布式能源项目</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邵阳县天然气清洁能源综合利用项目、</w:t>
            </w:r>
            <w:r>
              <w:rPr>
                <w:rFonts w:hint="eastAsia" w:ascii="Times New Roman" w:hAnsi="Times New Roman" w:eastAsia="宋体" w:cs="Times New Roman"/>
                <w:color w:val="000000" w:themeColor="text1"/>
                <w:szCs w:val="28"/>
                <w14:textFill>
                  <w14:solidFill>
                    <w14:schemeClr w14:val="tx1"/>
                  </w14:solidFill>
                </w14:textFill>
              </w:rPr>
              <w:t>城步儒林10万KW储能变电站项目</w:t>
            </w:r>
            <w:r>
              <w:rPr>
                <w:rFonts w:ascii="Times New Roman" w:hAnsi="Times New Roman" w:eastAsia="宋体" w:cs="Times New Roman"/>
                <w:color w:val="000000" w:themeColor="text1"/>
                <w:szCs w:val="28"/>
                <w14:textFill>
                  <w14:solidFill>
                    <w14:schemeClr w14:val="tx1"/>
                  </w14:solidFill>
                </w14:textFill>
              </w:rPr>
              <w:t>。</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2032" w:name="_Toc3732"/>
      <w:bookmarkStart w:id="2033" w:name="_Toc13481"/>
      <w:bookmarkStart w:id="2034" w:name="_Toc196"/>
      <w:bookmarkStart w:id="2035" w:name="_Toc26428"/>
      <w:bookmarkStart w:id="2036" w:name="_Toc21266"/>
      <w:bookmarkStart w:id="2037" w:name="_Toc30030"/>
      <w:bookmarkStart w:id="2038" w:name="_Toc29579"/>
      <w:bookmarkStart w:id="2039" w:name="_Toc19278"/>
      <w:bookmarkStart w:id="2040" w:name="_Toc15547"/>
      <w:bookmarkStart w:id="2041" w:name="_Toc8679"/>
      <w:bookmarkStart w:id="2042" w:name="_Toc8373"/>
      <w:bookmarkStart w:id="2043" w:name="_Toc12177"/>
      <w:bookmarkStart w:id="2044" w:name="_Toc32450"/>
      <w:bookmarkStart w:id="2045" w:name="_Toc16148"/>
      <w:bookmarkStart w:id="2046" w:name="_Toc30808"/>
      <w:bookmarkStart w:id="2047" w:name="_Toc7394"/>
      <w:bookmarkStart w:id="2048" w:name="_Toc20100"/>
      <w:bookmarkStart w:id="2049" w:name="_Toc21454"/>
      <w:bookmarkStart w:id="2050" w:name="_Toc31514"/>
      <w:bookmarkStart w:id="2051" w:name="_Toc13251"/>
      <w:bookmarkStart w:id="2052" w:name="_Toc2145"/>
      <w:bookmarkStart w:id="2053" w:name="_Toc7830"/>
      <w:bookmarkStart w:id="2054" w:name="_Toc22719"/>
      <w:bookmarkStart w:id="2055" w:name="_Toc27415"/>
      <w:bookmarkStart w:id="2056" w:name="_Toc6302"/>
      <w:bookmarkStart w:id="2057" w:name="_Toc30442"/>
      <w:bookmarkStart w:id="2058" w:name="_Toc13431"/>
      <w:bookmarkStart w:id="2059" w:name="_Toc9718"/>
      <w:bookmarkStart w:id="2060" w:name="_Toc7812"/>
      <w:bookmarkStart w:id="2061" w:name="_Toc32717"/>
      <w:bookmarkStart w:id="2062" w:name="_Toc17527"/>
      <w:bookmarkStart w:id="2063" w:name="_Toc20343"/>
      <w:bookmarkStart w:id="2064" w:name="_Toc6081"/>
      <w:bookmarkStart w:id="2065" w:name="_Toc3242"/>
      <w:bookmarkStart w:id="2066" w:name="_Toc20069"/>
      <w:bookmarkStart w:id="2067" w:name="_Toc17561"/>
      <w:bookmarkStart w:id="2068" w:name="_Toc11316"/>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推进水利网建设</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进一步加快水利工程建设，科学指导水资源保护开发利用，着力提高水资源综合利用水平，不断加强水生态建设和保护，建成完善的防洪减灾设施体系、水资源高效利用体系、河湖水环境质量保障体系。</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保障水利安全。</w:t>
      </w:r>
      <w:r>
        <w:rPr>
          <w:rFonts w:ascii="Times New Roman" w:hAnsi="Times New Roman" w:eastAsia="仿宋_GB2312" w:cs="Times New Roman"/>
          <w:color w:val="000000" w:themeColor="text1"/>
          <w:sz w:val="32"/>
          <w:szCs w:val="32"/>
          <w14:textFill>
            <w14:solidFill>
              <w14:schemeClr w14:val="tx1"/>
            </w14:solidFill>
          </w14:textFill>
        </w:rPr>
        <w:t>建成犬木塘水库枢纽工程和秀水水库、田庄水库和山门水库等一批大中型水库。实施大中型病险水库除险加固工程、小型水库新扩建工程。着力推进大圳灌区、六都寨灌区等大中型灌区续建配套与现代化改造项目，不断完善灌区工程设施体系和管理体系。建设城市供水备用水源地，构建科学合理的水资源配置体系，合理安排生活、生产、生态用水，因地制宜建设跨流域、跨区域调水工程，提高重点城镇和地区的水资源统筹调配能力，保障城乡供水安全。</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保障防洪减灾安全。</w:t>
      </w:r>
      <w:r>
        <w:rPr>
          <w:rFonts w:ascii="Times New Roman" w:hAnsi="Times New Roman" w:eastAsia="仿宋_GB2312" w:cs="Times New Roman"/>
          <w:color w:val="000000" w:themeColor="text1"/>
          <w:sz w:val="32"/>
          <w:szCs w:val="32"/>
          <w14:textFill>
            <w14:solidFill>
              <w14:schemeClr w14:val="tx1"/>
            </w14:solidFill>
          </w14:textFill>
        </w:rPr>
        <w:t>抓好城市防洪闭合圈建设，强化防洪减灾，以城镇防洪、江河治理为重点，加快境内中小河流治理、中小河流治理重点县水系连通、山洪灾害治理等工程建设，提升境内资江、邵水流域及重要支流、重要河段防洪能力，实现中心城区、县城和重点乡镇达到国家防洪标准。推进气象防灾减灾工程建设，提升预警预报和应急处置能力。</w:t>
      </w:r>
    </w:p>
    <w:p>
      <w:pPr>
        <w:pStyle w:val="2"/>
        <w:rPr>
          <w:rFonts w:ascii="Times New Roman" w:hAnsi="Times New Roman" w:eastAsia="仿宋_GB2312" w:cs="Times New Roman"/>
          <w:color w:val="000000" w:themeColor="text1"/>
          <w:sz w:val="32"/>
          <w:szCs w:val="32"/>
          <w14:textFill>
            <w14:solidFill>
              <w14:schemeClr w14:val="tx1"/>
            </w14:solidFill>
          </w14:textFill>
        </w:rPr>
      </w:pPr>
    </w:p>
    <w:p>
      <w:pPr>
        <w:pStyle w:val="2"/>
        <w:rPr>
          <w:rFonts w:ascii="Times New Roman" w:hAnsi="Times New Roman" w:eastAsia="仿宋_GB2312" w:cs="Times New Roman"/>
          <w:color w:val="000000" w:themeColor="text1"/>
          <w:sz w:val="32"/>
          <w:szCs w:val="32"/>
          <w14:textFill>
            <w14:solidFill>
              <w14:schemeClr w14:val="tx1"/>
            </w14:solidFill>
          </w14:textFill>
        </w:rPr>
      </w:pP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专栏28：水利网建设行动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防洪安全工程：</w:t>
            </w:r>
            <w:r>
              <w:rPr>
                <w:rFonts w:ascii="Times New Roman" w:hAnsi="Times New Roman" w:eastAsia="宋体" w:cs="Times New Roman"/>
                <w:color w:val="000000" w:themeColor="text1"/>
                <w14:textFill>
                  <w14:solidFill>
                    <w14:schemeClr w14:val="tx1"/>
                  </w14:solidFill>
                </w14:textFill>
              </w:rPr>
              <w:t>加强水利防灾减灾工程建设，切实增强防汛抗灾能力，加快推进邵阳市防洪提升工程、资江闭合圈防洪工程（邵阳城区段）、邵阳市中型水库建设工程、邵阳市小型水库建设工程、武冈市威溪中型水库扩容工程、62座大中型病险水闸除险加固工程、城市防洪防涝能力建设工程。</w:t>
            </w:r>
          </w:p>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饮水安全工程：</w:t>
            </w:r>
            <w:r>
              <w:rPr>
                <w:rFonts w:ascii="Times New Roman" w:hAnsi="Times New Roman" w:eastAsia="宋体" w:cs="Times New Roman"/>
                <w:color w:val="000000" w:themeColor="text1"/>
                <w14:textFill>
                  <w14:solidFill>
                    <w14:schemeClr w14:val="tx1"/>
                  </w14:solidFill>
                </w14:textFill>
              </w:rPr>
              <w:t>实施城乡饮用水安全工程，实现农村饮水安全全覆盖，加快推进犬木塘水库大型枢纽工程、邵阳市大圳灌区城乡供水水源工程、邵阳市农村供水工程、邵阳市第二水源项目工程、邵阳市小型水源工程、茶元水厂建设工程、邵阳县第二水厂工程等建设。</w:t>
            </w:r>
          </w:p>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农田水利工程：</w:t>
            </w:r>
            <w:r>
              <w:rPr>
                <w:rFonts w:ascii="Times New Roman" w:hAnsi="Times New Roman" w:eastAsia="宋体" w:cs="Times New Roman"/>
                <w:color w:val="000000" w:themeColor="text1"/>
                <w14:textFill>
                  <w14:solidFill>
                    <w14:schemeClr w14:val="tx1"/>
                  </w14:solidFill>
                </w14:textFill>
              </w:rPr>
              <w:t>持续推进农田水利和高标准农田建设，夯实粮食安全和农业现代化基础，加快推进邵阳市中型灌区续建配套与节水改造工程、武冈市大圳水库灌区续建及节水改造项目工程、隆回县六都寨水库灌区现代化建设及大中型灌区续建配套项目工程、新宁县老虎坝中型灌区续建配套与节水工程、洞口县山门水库工程、武冈市新建田庄水库、甘田水库工程等建设。</w:t>
            </w:r>
          </w:p>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城区排涝工程：</w:t>
            </w:r>
            <w:r>
              <w:rPr>
                <w:rFonts w:ascii="Times New Roman" w:hAnsi="Times New Roman" w:eastAsia="宋体" w:cs="Times New Roman"/>
                <w:color w:val="000000" w:themeColor="text1"/>
                <w14:textFill>
                  <w14:solidFill>
                    <w14:schemeClr w14:val="tx1"/>
                  </w14:solidFill>
                </w14:textFill>
              </w:rPr>
              <w:t>加强城市防洪排涝能力建设，补齐城市短板，加快推进中心城区防水排涝项目工程、武冈市城区排水管网改扩建工程、邵阳县县城防洪排涝工程等建设。</w:t>
            </w:r>
          </w:p>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水污染防治工程：</w:t>
            </w:r>
            <w:r>
              <w:rPr>
                <w:rFonts w:ascii="Times New Roman" w:hAnsi="Times New Roman" w:eastAsia="宋体" w:cs="Times New Roman"/>
                <w:color w:val="000000" w:themeColor="text1"/>
                <w14:textFill>
                  <w14:solidFill>
                    <w14:schemeClr w14:val="tx1"/>
                  </w14:solidFill>
                </w14:textFill>
              </w:rPr>
              <w:t>系统推进水环境、水生态和水资源保护，实施一批重大工程，开展多污染物协同治理，加快推进红旗河生态修复改造项目工程、邵阳市城区污水设施续建提质提标改造工程、全市乡镇污水处理设施全覆盖工程、邵水流域污水综合整治工程等建设。</w:t>
            </w:r>
          </w:p>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灾害风险防控工程：</w:t>
            </w:r>
            <w:r>
              <w:rPr>
                <w:rFonts w:ascii="Times New Roman" w:hAnsi="Times New Roman" w:eastAsia="宋体" w:cs="Times New Roman"/>
                <w:color w:val="000000" w:themeColor="text1"/>
                <w14:textFill>
                  <w14:solidFill>
                    <w14:schemeClr w14:val="tx1"/>
                  </w14:solidFill>
                </w14:textFill>
              </w:rPr>
              <w:t>构建风险防控预警体制，推进气象雷达工程、人工影响天气能力建设工程、山洪地质灾害防治气象保障工程、国家突发事件预警信息发布能力提升工程、生态气象保障工程、气象防灾减灾能力提升工程、基层台站基础设施项目等建设。</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2069" w:name="_Toc19826"/>
      <w:bookmarkStart w:id="2070" w:name="_Toc31976"/>
      <w:bookmarkStart w:id="2071" w:name="_Toc11788"/>
      <w:bookmarkStart w:id="2072" w:name="_Toc24533"/>
      <w:bookmarkStart w:id="2073" w:name="_Toc28304"/>
      <w:bookmarkStart w:id="2074" w:name="_Toc3373"/>
      <w:bookmarkStart w:id="2075" w:name="_Toc27310"/>
      <w:bookmarkStart w:id="2076" w:name="_Toc10398"/>
      <w:bookmarkStart w:id="2077" w:name="_Toc20266"/>
      <w:bookmarkStart w:id="2078" w:name="_Toc26170"/>
      <w:bookmarkStart w:id="2079" w:name="_Toc13049"/>
      <w:bookmarkStart w:id="2080" w:name="_Toc24132"/>
      <w:bookmarkStart w:id="2081" w:name="_Toc10994"/>
      <w:bookmarkStart w:id="2082" w:name="_Toc31014"/>
      <w:bookmarkStart w:id="2083" w:name="_Toc19889"/>
      <w:bookmarkStart w:id="2084" w:name="_Toc21336"/>
      <w:bookmarkStart w:id="2085" w:name="_Toc18464"/>
      <w:bookmarkStart w:id="2086" w:name="_Toc10737"/>
      <w:bookmarkStart w:id="2087" w:name="_Toc12180"/>
      <w:bookmarkStart w:id="2088" w:name="_Toc32097"/>
      <w:bookmarkStart w:id="2089" w:name="_Toc25648"/>
      <w:bookmarkStart w:id="2090" w:name="_Toc12308"/>
      <w:bookmarkStart w:id="2091" w:name="_Toc27005"/>
      <w:bookmarkStart w:id="2092" w:name="_Toc8486"/>
      <w:bookmarkStart w:id="2093" w:name="_Toc601"/>
      <w:bookmarkStart w:id="2094" w:name="_Toc3759"/>
      <w:bookmarkStart w:id="2095" w:name="_Toc13627"/>
      <w:bookmarkStart w:id="2096" w:name="_Toc15905"/>
      <w:bookmarkStart w:id="2097" w:name="_Toc25128"/>
      <w:bookmarkStart w:id="2098" w:name="_Toc3968"/>
      <w:bookmarkStart w:id="2099" w:name="_Toc16187"/>
      <w:bookmarkStart w:id="2100" w:name="_Toc29672"/>
      <w:bookmarkStart w:id="2101" w:name="_Toc8601"/>
      <w:bookmarkStart w:id="2102" w:name="_Toc1955"/>
      <w:bookmarkStart w:id="2103" w:name="_Toc18141"/>
      <w:r>
        <w:rPr>
          <w:rFonts w:ascii="Times New Roman" w:hAnsi="Times New Roman" w:cs="Times New Roman"/>
          <w:color w:val="000000" w:themeColor="text1"/>
          <w:szCs w:val="32"/>
          <w14:textFill>
            <w14:solidFill>
              <w14:schemeClr w14:val="tx1"/>
            </w14:solidFill>
          </w14:textFill>
        </w:rPr>
        <w:t xml:space="preserve">第三节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推进互联网建设</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把握信息网络演进升级的机遇，以宽带普及提速和云计算运用为重点，继续推动信息资源共享，加快构建高速、移动、安全、泛在的新一代信息基础设施。</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优化提升信息基础设施。</w:t>
      </w:r>
      <w:r>
        <w:rPr>
          <w:rFonts w:ascii="Times New Roman" w:hAnsi="Times New Roman" w:eastAsia="仿宋_GB2312" w:cs="Times New Roman"/>
          <w:color w:val="000000" w:themeColor="text1"/>
          <w:sz w:val="32"/>
          <w:szCs w:val="32"/>
          <w14:textFill>
            <w14:solidFill>
              <w14:schemeClr w14:val="tx1"/>
            </w14:solidFill>
          </w14:textFill>
        </w:rPr>
        <w:t>加快推进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5G+光网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千兆城市建设，超前布局5G网络，提升千兆网络入厂园、入社区、入户覆盖面。到2025年，累计建成5G基站5000个以上，实现区县（市区）城区、重点乡镇5G信号全覆盖和规模商用，互联网普及率达到75%以上，无线宽带网络覆盖率达到95%以上，实现新建住房光纤入户率达到100%，乡镇宽带网络覆盖率达到100%。全面推进IPv6规模部署和应用，到2025年，建成初具规模的IPv6商业应用网络，基本完成向下一代互联网的平滑演进升级。部署物联网</w:t>
      </w:r>
      <w:r>
        <w:rPr>
          <w:rFonts w:ascii="Times New Roman" w:hAnsi="Times New Roman" w:eastAsia="仿宋_GB2312" w:cs="Times New Roman"/>
          <w:color w:val="000000" w:themeColor="text1"/>
          <w:spacing w:val="-6"/>
          <w:sz w:val="32"/>
          <w:szCs w:val="32"/>
          <w14:textFill>
            <w14:solidFill>
              <w14:schemeClr w14:val="tx1"/>
            </w14:solidFill>
          </w14:textFill>
        </w:rPr>
        <w:t>终端和智能化传感器，拓展延伸网络覆盖广度和深度，建设市级物联网公共服务平台，推动感知设备统一接入、集中管理和感知数据共享利用，打造城市</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触觉感知</w:t>
      </w:r>
      <w:r>
        <w:rPr>
          <w:rFonts w:hint="eastAsia" w:ascii="仿宋" w:hAnsi="仿宋"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能力。</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深化建设融合基础设施。</w:t>
      </w:r>
      <w:r>
        <w:rPr>
          <w:rFonts w:ascii="Times New Roman" w:hAnsi="Times New Roman" w:eastAsia="仿宋_GB2312" w:cs="Times New Roman"/>
          <w:color w:val="000000" w:themeColor="text1"/>
          <w:sz w:val="32"/>
          <w:szCs w:val="32"/>
          <w14:textFill>
            <w14:solidFill>
              <w14:schemeClr w14:val="tx1"/>
            </w14:solidFill>
          </w14:textFill>
        </w:rPr>
        <w:t>启动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数字邵阳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围绕城市治理、社会治理、公共服务等领域，聚焦智能化应用场景，搭建以城市大数据资源中心、数字邵阳政务服务平台、城市智能中枢治理平台为核心的城市智能中枢系统。开展城市体检，完善规建管感知、管控、评价手段，建设工程全过程信息化管理平台，提升工程质量、重大风险源、工地扬尘等管理水平。提升各类园区、社区、医院、学校和商业楼宇的设施互联感知能力，推进城市桥梁、管廊管线等设施智能化改造，创新智慧化管理模式。加快停车场智能化改造升级，建设智慧停车平台，提供停车互联、预约泊车、无感缴费等便民服务。</w:t>
      </w:r>
    </w:p>
    <w:tbl>
      <w:tblPr>
        <w:tblStyle w:val="14"/>
        <w:tblW w:w="5000" w:type="pct"/>
        <w:tblInd w:w="0" w:type="dxa"/>
        <w:tblLayout w:type="autofit"/>
        <w:tblCellMar>
          <w:top w:w="0" w:type="dxa"/>
          <w:left w:w="0" w:type="dxa"/>
          <w:bottom w:w="0" w:type="dxa"/>
          <w:right w:w="0" w:type="dxa"/>
        </w:tblCellMar>
      </w:tblPr>
      <w:tblGrid>
        <w:gridCol w:w="8868"/>
      </w:tblGrid>
      <w:tr>
        <w:trPr>
          <w:trHeight w:val="9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b/>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专栏29：</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黑体" w:cs="Times New Roman"/>
                <w:bCs/>
                <w:color w:val="000000" w:themeColor="text1"/>
                <w:sz w:val="32"/>
                <w:szCs w:val="32"/>
                <w14:textFill>
                  <w14:solidFill>
                    <w14:schemeClr w14:val="tx1"/>
                  </w14:solidFill>
                </w14:textFill>
              </w:rPr>
              <w:t>数字+</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黑体" w:cs="Times New Roman"/>
                <w:bCs/>
                <w:color w:val="000000" w:themeColor="text1"/>
                <w:sz w:val="32"/>
                <w:szCs w:val="32"/>
                <w14:textFill>
                  <w14:solidFill>
                    <w14:schemeClr w14:val="tx1"/>
                  </w14:solidFill>
                </w14:textFill>
              </w:rPr>
              <w:t>行动</w:t>
            </w:r>
          </w:p>
        </w:tc>
      </w:tr>
      <w:tr>
        <w:trPr>
          <w:trHeight w:val="200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数字+政务工程：</w:t>
            </w:r>
            <w:r>
              <w:rPr>
                <w:rFonts w:ascii="Times New Roman" w:hAnsi="Times New Roman" w:eastAsia="宋体" w:cs="Times New Roman"/>
                <w:color w:val="000000" w:themeColor="text1"/>
                <w:szCs w:val="28"/>
                <w14:textFill>
                  <w14:solidFill>
                    <w14:schemeClr w14:val="tx1"/>
                  </w14:solidFill>
                </w14:textFill>
              </w:rPr>
              <w:t>建设覆盖市县乡三级，集行政审批、便民服务、政务公开、效能监察、互动交流等于一体的全市政务服务平台。全面实现收费与第三方支付平台对接、政府性收费和罚没收入一站式收缴。</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数字+制造工程：</w:t>
            </w:r>
            <w:r>
              <w:rPr>
                <w:rFonts w:ascii="Times New Roman" w:hAnsi="Times New Roman" w:eastAsia="宋体" w:cs="Times New Roman"/>
                <w:color w:val="000000" w:themeColor="text1"/>
                <w:szCs w:val="28"/>
                <w14:textFill>
                  <w14:solidFill>
                    <w14:schemeClr w14:val="tx1"/>
                  </w14:solidFill>
                </w14:textFill>
              </w:rPr>
              <w:t>促进制造业数字化、网络化、智能化发展。以装备制造、食品加工、新型建材、特种造纸、轻工产品等优势产业为重点，加快云计算、物联网、智能工业机器人等技术在生产过程中的应用试点示范，推动基于数字的全流程生产协同和综合集成，鼓励企业发展大规模个性化定制，打造现代智能化工厂。</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数字+三农工程：</w:t>
            </w:r>
            <w:r>
              <w:rPr>
                <w:rFonts w:ascii="Times New Roman" w:hAnsi="Times New Roman" w:eastAsia="宋体" w:cs="Times New Roman"/>
                <w:color w:val="000000" w:themeColor="text1"/>
                <w:szCs w:val="28"/>
                <w14:textFill>
                  <w14:solidFill>
                    <w14:schemeClr w14:val="tx1"/>
                  </w14:solidFill>
                </w14:textFill>
              </w:rPr>
              <w:t>以农产品批发市场、商贸物流中心和商品集散地为依托，发展农产品电子商务。推进重点农产品质量追溯系统、动植物监测检验、市场价格监测等涉农信息系统建设，保障农产品质量安全和农民增收。</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数字+交通工程：</w:t>
            </w:r>
            <w:r>
              <w:rPr>
                <w:rFonts w:ascii="Times New Roman" w:hAnsi="Times New Roman" w:eastAsia="宋体" w:cs="Times New Roman"/>
                <w:color w:val="000000" w:themeColor="text1"/>
                <w:szCs w:val="28"/>
                <w14:textFill>
                  <w14:solidFill>
                    <w14:schemeClr w14:val="tx1"/>
                  </w14:solidFill>
                </w14:textFill>
              </w:rPr>
              <w:t>建立车、路、人之间的安全出行网络，通过整合车、路、人信息，推进长途客运、实时公交、自驾出行、驾培服务、车辆维修等交通方式的数字化。提供交通费用代缴代扣、交通业务查询等服务，优化城市交通管理、指挥和调度，提高交通运行效率，提供交通出行信息。</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数字+物流工程：</w:t>
            </w:r>
            <w:r>
              <w:rPr>
                <w:rFonts w:ascii="Times New Roman" w:hAnsi="Times New Roman" w:eastAsia="宋体" w:cs="Times New Roman"/>
                <w:color w:val="000000" w:themeColor="text1"/>
                <w:szCs w:val="28"/>
                <w14:textFill>
                  <w14:solidFill>
                    <w14:schemeClr w14:val="tx1"/>
                  </w14:solidFill>
                </w14:textFill>
              </w:rPr>
              <w:t>以火车北站货运中心、综合物流园等为重点，加大智能仓储系统、智能配送调配体系等物流信息基础设施投入力度。建设集仓储、运输、配送等信息于一体的物流信息公共服务平台，推动物流信息资源的共享互通，加大物流信息资源开发利用，促进邵阳物流业实现智能化、高效化的跨越式发展，降低物流成本。</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数字+旅游工程：</w:t>
            </w:r>
            <w:r>
              <w:rPr>
                <w:rFonts w:ascii="Times New Roman" w:hAnsi="Times New Roman" w:eastAsia="宋体" w:cs="Times New Roman"/>
                <w:color w:val="000000" w:themeColor="text1"/>
                <w:szCs w:val="28"/>
                <w14:textFill>
                  <w14:solidFill>
                    <w14:schemeClr w14:val="tx1"/>
                  </w14:solidFill>
                </w14:textFill>
              </w:rPr>
              <w:t>加快利用现代信息技术改造提升旅游休闲产业，推动邵阳旅游休闲业智慧化发展。积极搭建覆盖全市主要景点的旅游大数据采集与分析平台，促进智慧旅游APP、微信服务平台、景区虚拟旅游、三维实景、位置语音导览等智慧旅游应用服务发展。以崀山、南山等著名景区为重点，积极推动</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数字+</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智慧旅游示范点建设。加快打造集智慧服务、智慧营销、智慧管理为一体的智慧旅游综合服务平台。</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数字+民生工程：</w:t>
            </w:r>
            <w:r>
              <w:rPr>
                <w:rFonts w:ascii="Times New Roman" w:hAnsi="Times New Roman" w:eastAsia="宋体" w:cs="Times New Roman"/>
                <w:color w:val="000000" w:themeColor="text1"/>
                <w:szCs w:val="28"/>
                <w14:textFill>
                  <w14:solidFill>
                    <w14:schemeClr w14:val="tx1"/>
                  </w14:solidFill>
                </w14:textFill>
              </w:rPr>
              <w:t>发展在线医疗，实现医疗信息安全开放与可信共享。建设在线健康大数据平台、养老移动呼叫救助平台、远程健康管理物联网平台。构建综合性的全新人力资源和社会保障便民服务平台。将信息技术与教育教学深度融合，系统制作覆盖各领域各学科的基础资源，扩大优质教育资源共享面。推动移动数字内容平台与纸质内容、传统媒体和纸质媒体融合发展。</w:t>
            </w:r>
          </w:p>
          <w:p>
            <w:pPr>
              <w:spacing w:before="0" w:after="0" w:line="50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数字+文化工程：</w:t>
            </w:r>
            <w:r>
              <w:rPr>
                <w:rFonts w:ascii="Times New Roman" w:hAnsi="Times New Roman" w:eastAsia="宋体" w:cs="Times New Roman"/>
                <w:color w:val="000000" w:themeColor="text1"/>
                <w:szCs w:val="28"/>
                <w14:textFill>
                  <w14:solidFill>
                    <w14:schemeClr w14:val="tx1"/>
                  </w14:solidFill>
                </w14:textFill>
              </w:rPr>
              <w:t>发展数字图书馆、数字博物馆、数字美术馆、数字科技馆、数字农家书屋，用最新的数字技术，探索公共文化服务新模式。</w:t>
            </w:r>
          </w:p>
        </w:tc>
      </w:tr>
    </w:tbl>
    <w:p>
      <w:pPr>
        <w:widowControl w:val="0"/>
        <w:adjustRightInd/>
        <w:snapToGrid/>
        <w:spacing w:before="0" w:after="0" w:line="579"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br w:type="page"/>
      </w:r>
    </w:p>
    <w:p>
      <w:pPr>
        <w:rPr>
          <w:rFonts w:ascii="Times New Roman" w:hAnsi="Times New Roman" w:cs="Times New Roman"/>
        </w:rPr>
      </w:pPr>
      <w:bookmarkStart w:id="2104" w:name="_Toc4715"/>
      <w:bookmarkStart w:id="2105" w:name="_Toc9829"/>
      <w:bookmarkStart w:id="2106" w:name="_Toc30746"/>
      <w:bookmarkStart w:id="2107" w:name="_Toc17324"/>
      <w:bookmarkStart w:id="2108" w:name="_Toc2230"/>
      <w:bookmarkStart w:id="2109" w:name="_Toc28376"/>
      <w:bookmarkStart w:id="2110" w:name="_Toc14922"/>
      <w:bookmarkStart w:id="2111" w:name="_Toc13112"/>
      <w:bookmarkStart w:id="2112" w:name="_Toc27662"/>
      <w:bookmarkStart w:id="2113" w:name="_Toc32761"/>
      <w:bookmarkStart w:id="2114" w:name="_Toc26178"/>
      <w:bookmarkStart w:id="2115" w:name="_Toc5551"/>
      <w:bookmarkStart w:id="2116" w:name="_Toc29444"/>
      <w:bookmarkStart w:id="2117" w:name="_Toc2487"/>
      <w:bookmarkStart w:id="2118" w:name="_Toc2968"/>
      <w:bookmarkStart w:id="2119" w:name="_Toc19151"/>
      <w:bookmarkStart w:id="2120" w:name="_Toc24925"/>
      <w:bookmarkStart w:id="2121" w:name="_Toc18386"/>
      <w:bookmarkStart w:id="2122" w:name="_Toc1735"/>
      <w:bookmarkStart w:id="2123" w:name="_Toc19241"/>
      <w:bookmarkStart w:id="2124" w:name="_Toc10060"/>
      <w:bookmarkStart w:id="2125" w:name="_Toc2951"/>
      <w:bookmarkStart w:id="2126" w:name="_Toc21588"/>
      <w:bookmarkStart w:id="2127" w:name="_Toc14206"/>
      <w:bookmarkStart w:id="2128" w:name="_Toc17969"/>
      <w:bookmarkStart w:id="2129" w:name="_Toc3868"/>
      <w:bookmarkStart w:id="2130" w:name="_Toc32534"/>
      <w:bookmarkStart w:id="2131" w:name="_Toc15434"/>
      <w:bookmarkStart w:id="2132" w:name="_Toc1795"/>
      <w:bookmarkStart w:id="2133" w:name="_Toc32179"/>
      <w:bookmarkStart w:id="2134" w:name="_Toc24432"/>
      <w:bookmarkStart w:id="2135" w:name="_Toc26932"/>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2136" w:name="_Toc2271"/>
      <w:bookmarkStart w:id="2137" w:name="_Toc3508"/>
      <w:bookmarkStart w:id="2138" w:name="_Toc32423"/>
      <w:bookmarkStart w:id="2139" w:name="_Toc32330"/>
      <w:bookmarkStart w:id="2140" w:name="_Toc23384"/>
      <w:r>
        <w:rPr>
          <w:rFonts w:ascii="Times New Roman" w:hAnsi="Times New Roman" w:cs="Times New Roman"/>
          <w:color w:val="000000" w:themeColor="text1"/>
          <w14:textFill>
            <w14:solidFill>
              <w14:schemeClr w14:val="tx1"/>
            </w14:solidFill>
          </w14:textFill>
        </w:rPr>
        <w:t>第十二章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坚持共享发展 着力推动改善民生民利</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围绕人人参与、人人尽力、人人享有的原则，完善制度安排、强化政策兜底、引导社会投入，更加注重机会公平，更加注重保障基本民生，坚持尽力而为、量力而行，办好民生事业，着力解决为群众各项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急难愁盼</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问题，让人民群众有更多获得感幸福感。</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141" w:name="_Toc734"/>
      <w:bookmarkStart w:id="2142" w:name="_Toc22371"/>
      <w:bookmarkStart w:id="2143" w:name="_Toc19627"/>
      <w:bookmarkStart w:id="2144" w:name="_Toc30747"/>
      <w:bookmarkStart w:id="2145" w:name="_Toc27263"/>
      <w:bookmarkStart w:id="2146" w:name="_Toc31079"/>
      <w:bookmarkStart w:id="2147" w:name="_Toc15343"/>
      <w:bookmarkStart w:id="2148" w:name="_Toc2995"/>
      <w:bookmarkStart w:id="2149" w:name="_Toc29002"/>
      <w:bookmarkStart w:id="2150" w:name="_Toc12570"/>
      <w:bookmarkStart w:id="2151" w:name="_Toc22164"/>
      <w:bookmarkStart w:id="2152" w:name="_Toc30328"/>
      <w:bookmarkStart w:id="2153" w:name="_Toc23271"/>
      <w:bookmarkStart w:id="2154" w:name="_Toc23623"/>
      <w:bookmarkStart w:id="2155" w:name="_Toc15680"/>
      <w:bookmarkStart w:id="2156" w:name="_Toc25400"/>
      <w:bookmarkStart w:id="2157" w:name="_Toc18034"/>
      <w:bookmarkStart w:id="2158" w:name="_Toc24456"/>
      <w:bookmarkStart w:id="2159" w:name="_Toc2200"/>
      <w:bookmarkStart w:id="2160" w:name="_Toc26961"/>
      <w:bookmarkStart w:id="2161" w:name="_Toc26076"/>
      <w:bookmarkStart w:id="2162" w:name="_Toc20508"/>
      <w:bookmarkStart w:id="2163" w:name="_Toc1491"/>
      <w:bookmarkStart w:id="2164" w:name="_Toc21476"/>
      <w:bookmarkStart w:id="2165" w:name="_Toc3935"/>
      <w:bookmarkStart w:id="2166" w:name="_Toc1713"/>
      <w:bookmarkStart w:id="2167" w:name="_Toc6167"/>
      <w:bookmarkStart w:id="2168" w:name="_Toc31840"/>
      <w:bookmarkStart w:id="2169" w:name="_Toc24191"/>
      <w:bookmarkStart w:id="2170" w:name="_Toc17379"/>
      <w:bookmarkStart w:id="2171" w:name="_Toc14428"/>
      <w:bookmarkStart w:id="2172" w:name="_Toc4113"/>
      <w:bookmarkStart w:id="2173" w:name="_Toc16394"/>
      <w:bookmarkStart w:id="2174" w:name="_Toc14234"/>
      <w:bookmarkStart w:id="2175" w:name="_Toc27305"/>
      <w:bookmarkStart w:id="2176" w:name="_Toc12397"/>
      <w:bookmarkStart w:id="2177" w:name="_Toc17198"/>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织密织牢教育网</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始终把教育摆在优先发展的战略地位，深化教育改革，合理配置公共教育资源，努力提高教育质量，促进教育公平，推进教育现代化。</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深化教育综合配套改革。</w:t>
      </w:r>
      <w:r>
        <w:rPr>
          <w:rFonts w:ascii="Times New Roman" w:hAnsi="Times New Roman" w:eastAsia="仿宋_GB2312" w:cs="Times New Roman"/>
          <w:color w:val="000000" w:themeColor="text1"/>
          <w:sz w:val="32"/>
          <w:szCs w:val="32"/>
          <w14:textFill>
            <w14:solidFill>
              <w14:schemeClr w14:val="tx1"/>
            </w14:solidFill>
          </w14:textFill>
        </w:rPr>
        <w:t>推动学校思想政治理论课改革创新，加强和改进学校体育美育，广泛开展劳动教育，发展素质教育，推进教育公平。积极适应高考综合改革对学生选课走班等教育教学改革要求。贯彻落实《深化新时代教育评价改革总体方案》，采取切实可行措施，坚决减轻中小学生学习负担，使所有孩子能够快乐学习、快乐生活、健康成长。深入总结吸收应对新冠肺炎疫情以来大规模在线教育的经验，推动教育理念更新、教育模式变革。加强教师队伍建设，树立良好师德师风，推进校长教师交流轮岗制度化、常态化。推动教育经费投入、教师编制、岗位结构、职称评聘、绩效工资向乡村学校倾斜。全面落实中小学教师待遇，营造尊师重教浓厚氛围。健全学生营养餐等制度，强化学生心理健康教育、防溺水、校车安全等安全管理。探索实施民办学校分类管理，支持和规范民办教育发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推进学前教育普及普惠</w:t>
      </w:r>
      <w:r>
        <w:rPr>
          <w:rFonts w:ascii="Times New Roman" w:hAnsi="Times New Roman" w:eastAsia="仿宋_GB2312" w:cs="Times New Roman"/>
          <w:color w:val="000000" w:themeColor="text1"/>
          <w:sz w:val="32"/>
          <w:szCs w:val="32"/>
          <w14:textFill>
            <w14:solidFill>
              <w14:schemeClr w14:val="tx1"/>
            </w14:solidFill>
          </w14:textFill>
        </w:rPr>
        <w:t>。优化幼儿园规划布局，</w:t>
      </w:r>
      <w:r>
        <w:rPr>
          <w:rFonts w:hint="eastAsia" w:ascii="Times New Roman" w:hAnsi="Times New Roman" w:eastAsia="仿宋_GB2312" w:cs="Times New Roman"/>
          <w:color w:val="000000" w:themeColor="text1"/>
          <w:sz w:val="32"/>
          <w:szCs w:val="32"/>
          <w14:textFill>
            <w14:solidFill>
              <w14:schemeClr w14:val="tx1"/>
            </w14:solidFill>
          </w14:textFill>
        </w:rPr>
        <w:t>实施公办幼儿园学位建设工程，每个乡镇至少办好一所标准化的公办幼儿园</w:t>
      </w:r>
      <w:r>
        <w:rPr>
          <w:rFonts w:ascii="Times New Roman" w:hAnsi="Times New Roman" w:eastAsia="仿宋_GB2312" w:cs="Times New Roman"/>
          <w:color w:val="000000" w:themeColor="text1"/>
          <w:sz w:val="32"/>
          <w:szCs w:val="32"/>
          <w14:textFill>
            <w14:solidFill>
              <w14:schemeClr w14:val="tx1"/>
            </w14:solidFill>
          </w14:textFill>
        </w:rPr>
        <w:t>。积极推动新建</w:t>
      </w:r>
      <w:r>
        <w:rPr>
          <w:rFonts w:hint="eastAsia" w:ascii="Times New Roman" w:hAnsi="Times New Roman" w:eastAsia="仿宋_GB2312" w:cs="Times New Roman"/>
          <w:color w:val="000000" w:themeColor="text1"/>
          <w:sz w:val="32"/>
          <w:szCs w:val="32"/>
          <w14:textFill>
            <w14:solidFill>
              <w14:schemeClr w14:val="tx1"/>
            </w14:solidFill>
          </w14:textFill>
        </w:rPr>
        <w:t>住宅小区、</w:t>
      </w:r>
      <w:r>
        <w:rPr>
          <w:rFonts w:ascii="Times New Roman" w:hAnsi="Times New Roman" w:eastAsia="仿宋_GB2312" w:cs="Times New Roman"/>
          <w:color w:val="000000" w:themeColor="text1"/>
          <w:sz w:val="32"/>
          <w:szCs w:val="32"/>
          <w14:textFill>
            <w14:solidFill>
              <w14:schemeClr w14:val="tx1"/>
            </w14:solidFill>
          </w14:textFill>
        </w:rPr>
        <w:t>社区配套建设公办幼儿园，增加对普惠性民办幼儿园的公共资源配置，加快幼儿园规范化建设。到2025年，全市公办幼儿园和普惠性民办幼儿园办学比例达到8</w:t>
      </w:r>
      <w:r>
        <w:rPr>
          <w:rFonts w:hint="eastAsia" w:ascii="Times New Roman" w:hAnsi="Times New Roman" w:eastAsia="仿宋_GB2312" w:cs="Times New Roman"/>
          <w:color w:val="000000" w:themeColor="text1"/>
          <w:sz w:val="32"/>
          <w:szCs w:val="32"/>
          <w14:textFill>
            <w14:solidFill>
              <w14:schemeClr w14:val="tx1"/>
            </w14:solidFill>
          </w14:textFill>
        </w:rPr>
        <w:t>5</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加快发展农村学前教育，使学前教育机构服务网络全覆盖。完善学前教育成本分担和运行保障政策体系，合理确定公共财政对学前教育的分担比例，健全幼儿园生均公用经费拨付制度。</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推进义务教育优质均衡。</w:t>
      </w:r>
      <w:r>
        <w:rPr>
          <w:rFonts w:ascii="Times New Roman" w:hAnsi="Times New Roman" w:eastAsia="仿宋_GB2312" w:cs="Times New Roman"/>
          <w:color w:val="000000" w:themeColor="text1"/>
          <w:sz w:val="32"/>
          <w:szCs w:val="32"/>
          <w14:textFill>
            <w14:solidFill>
              <w14:schemeClr w14:val="tx1"/>
            </w14:solidFill>
          </w14:textFill>
        </w:rPr>
        <w:t>与城市空间规划建设布局相适应，完善全市中小学校布点和建设，重点抓好乡镇寄宿制学校、芙蓉学校、村小及农村教学点建设。进一步提升办学条件和办学水平，加快义务教育学校标准化建设。到2025年，义务教育学校100%达到标准化。规范和提升民办学校办学水平，探索政府购买服务，增加义务教育学位供给。</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推进高中教育突破发展。</w:t>
      </w:r>
      <w:r>
        <w:rPr>
          <w:rFonts w:ascii="Times New Roman" w:hAnsi="Times New Roman" w:eastAsia="仿宋_GB2312" w:cs="Times New Roman"/>
          <w:color w:val="000000" w:themeColor="text1"/>
          <w:sz w:val="32"/>
          <w:szCs w:val="32"/>
          <w14:textFill>
            <w14:solidFill>
              <w14:schemeClr w14:val="tx1"/>
            </w14:solidFill>
          </w14:textFill>
        </w:rPr>
        <w:t>全面实施高中阶段教育普及攻坚计划，不断优化高中阶段学校结构布局，持续改进普通高中办学条件，通过新建、改扩建学校推动消除普通高中大班额。严格学籍管理，实行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阳光招生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，坚持普职招生规模大体相当，切实提高中等职业教育招生比例。加大中等职业学校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双师型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教师培养力度，加强技术技能培养和文化基础教育，实现就业有能力、升学有基础的教育目标。逐步探索实行十二年免费教育。扩大普通高中办学规模，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期间，全市高中阶段毛入学率保持在95%以上。</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推进职业教育优质发展。</w:t>
      </w:r>
      <w:r>
        <w:rPr>
          <w:rFonts w:ascii="Times New Roman" w:hAnsi="Times New Roman" w:eastAsia="仿宋_GB2312" w:cs="Times New Roman"/>
          <w:color w:val="000000" w:themeColor="text1"/>
          <w:sz w:val="32"/>
          <w:szCs w:val="32"/>
          <w14:textFill>
            <w14:solidFill>
              <w14:schemeClr w14:val="tx1"/>
            </w14:solidFill>
          </w14:textFill>
        </w:rPr>
        <w:t>加大人力资源投入，增强职业技术教育适应性，深化职普融通、产教融合、校企合作，大力推行现代学徒制和企业新型学徒制，加强培养技术技能人才。进一步改善职业院校办学条件，推进基本教学型技能实训设施建设，加强中等和高等职业教育的紧密衔接，优化高等职业教育资源，探索发展本科层次职业教育，逐步建立结构规模更加合理的现代职业教育体系。</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期间，创建2所国家级示范性技师学院、3所省示范性中职学校、5所省级卓越职业院校。</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推进高等教育内涵发展。</w:t>
      </w:r>
      <w:r>
        <w:rPr>
          <w:rFonts w:ascii="Times New Roman" w:hAnsi="Times New Roman" w:eastAsia="仿宋_GB2312" w:cs="Times New Roman"/>
          <w:color w:val="000000" w:themeColor="text1"/>
          <w:sz w:val="32"/>
          <w:szCs w:val="32"/>
          <w14:textFill>
            <w14:solidFill>
              <w14:schemeClr w14:val="tx1"/>
            </w14:solidFill>
          </w14:textFill>
        </w:rPr>
        <w:t>切实转变高校创新方式，提升高校人才、学科、科研三位一体的创新能力。推动建立高校与行业企业、科研院所协同育人的机制。推进高等院校教学改革，优化学科专业布局和人才培养机制，提升教学水平。重点支持建设一批高水平教学实验平台、校企联合实验室、先进技术研究院、大学生创新创业基地和产业学院。加快培养理工农医类专业紧缺人才。积极支持邵阳学院进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双一流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学科建设和湘中幼专专升本，扶持一批省级重点实验室或院士工作站。</w:t>
      </w:r>
    </w:p>
    <w:p>
      <w:pPr>
        <w:widowControl w:val="0"/>
        <w:adjustRightInd/>
        <w:snapToGrid/>
        <w:spacing w:before="0" w:after="0" w:line="560" w:lineRule="exact"/>
        <w:ind w:firstLine="643"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lang w:bidi="ar"/>
          <w14:textFill>
            <w14:solidFill>
              <w14:schemeClr w14:val="tx1"/>
            </w14:solidFill>
          </w14:textFill>
        </w:rPr>
        <w:t>推进特殊教育探索发展。</w:t>
      </w:r>
      <w:r>
        <w:rPr>
          <w:rFonts w:ascii="Times New Roman" w:hAnsi="Times New Roman" w:eastAsia="仿宋_GB2312" w:cs="Times New Roman"/>
          <w:color w:val="000000" w:themeColor="text1"/>
          <w:sz w:val="32"/>
          <w:szCs w:val="32"/>
          <w:lang w:bidi="ar"/>
          <w14:textFill>
            <w14:solidFill>
              <w14:schemeClr w14:val="tx1"/>
            </w14:solidFill>
          </w14:textFill>
        </w:rPr>
        <w:t>依托邵阳市特殊教育学校，实现 全市特殊教育品牌化发展。实现适龄残疾儿童教育全面覆盖，保障残疾儿童受教育权利，使每个适龄残疾儿童都能接受良好的学校教育。努力实现特殊教育全面提质，优化送教上门，发展融合教育，探索特教领域职业教育发展新模式。促进特殊教育向学前教育、高中教育延伸，打通残疾儿童接受教育的双向通道。支持有条件的特殊教育学校发挥融合教育资源中心、残疾人终身学习中心的作用，为残疾学生提供多样化教育服务。</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推进终身教育加快发展。</w:t>
      </w:r>
      <w:r>
        <w:rPr>
          <w:rFonts w:ascii="Times New Roman" w:hAnsi="Times New Roman" w:eastAsia="仿宋_GB2312" w:cs="Times New Roman"/>
          <w:color w:val="000000" w:themeColor="text1"/>
          <w:sz w:val="32"/>
          <w:szCs w:val="32"/>
          <w14:textFill>
            <w14:solidFill>
              <w14:schemeClr w14:val="tx1"/>
            </w14:solidFill>
          </w14:textFill>
        </w:rPr>
        <w:t>进一步推进教育信息化，发展远程教育，扩大优质教育资源覆盖面。大力发展继续教育、社区教育、校外教育和老年教育，畅通终身教育通道。深入推进全市各行业学习型组织、城乡学习型社区创建活动，建设学习型城市。</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rPr>
          <w:trHeight w:val="789"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b/>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专栏30：教育网提升行动</w:t>
            </w:r>
          </w:p>
        </w:tc>
      </w:tr>
      <w:tr>
        <w:tblPrEx>
          <w:tblCellMar>
            <w:top w:w="0" w:type="dxa"/>
            <w:left w:w="0" w:type="dxa"/>
            <w:bottom w:w="0" w:type="dxa"/>
            <w:right w:w="0" w:type="dxa"/>
          </w:tblCellMar>
        </w:tblPrEx>
        <w:trPr>
          <w:trHeight w:val="501"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学前教育：</w:t>
            </w:r>
            <w:r>
              <w:rPr>
                <w:rFonts w:ascii="Times New Roman" w:hAnsi="Times New Roman" w:eastAsia="宋体" w:cs="Times New Roman"/>
                <w:color w:val="000000" w:themeColor="text1"/>
                <w:szCs w:val="28"/>
                <w14:textFill>
                  <w14:solidFill>
                    <w14:schemeClr w14:val="tx1"/>
                  </w14:solidFill>
                </w14:textFill>
              </w:rPr>
              <w:t>提高学前教育公益普惠水平，建成覆盖城乡、布局合理的学前教育体系。市新建</w:t>
            </w:r>
            <w:r>
              <w:rPr>
                <w:rFonts w:hint="eastAsia" w:ascii="Times New Roman" w:hAnsi="Times New Roman" w:eastAsia="宋体" w:cs="Times New Roman"/>
                <w:color w:val="000000" w:themeColor="text1"/>
                <w:szCs w:val="28"/>
                <w14:textFill>
                  <w14:solidFill>
                    <w14:schemeClr w14:val="tx1"/>
                  </w14:solidFill>
                </w14:textFill>
              </w:rPr>
              <w:t>一批</w:t>
            </w:r>
            <w:r>
              <w:rPr>
                <w:rFonts w:ascii="Times New Roman" w:hAnsi="Times New Roman" w:eastAsia="宋体" w:cs="Times New Roman"/>
                <w:color w:val="000000" w:themeColor="text1"/>
                <w:szCs w:val="28"/>
                <w14:textFill>
                  <w14:solidFill>
                    <w14:schemeClr w14:val="tx1"/>
                  </w14:solidFill>
                </w14:textFill>
              </w:rPr>
              <w:t>公办幼儿园，</w:t>
            </w:r>
            <w:r>
              <w:rPr>
                <w:rFonts w:hint="eastAsia" w:ascii="Times New Roman" w:hAnsi="Times New Roman" w:eastAsia="宋体" w:cs="Times New Roman"/>
                <w:color w:val="000000" w:themeColor="text1"/>
                <w:szCs w:val="28"/>
                <w14:textFill>
                  <w14:solidFill>
                    <w14:schemeClr w14:val="tx1"/>
                  </w14:solidFill>
                </w14:textFill>
              </w:rPr>
              <w:t>公办幼儿园在园幼儿占比达50%以上，</w:t>
            </w:r>
            <w:r>
              <w:rPr>
                <w:rFonts w:ascii="Times New Roman" w:hAnsi="Times New Roman" w:eastAsia="宋体" w:cs="Times New Roman"/>
                <w:color w:val="000000" w:themeColor="text1"/>
                <w:szCs w:val="28"/>
                <w14:textFill>
                  <w14:solidFill>
                    <w14:schemeClr w14:val="tx1"/>
                  </w14:solidFill>
                </w14:textFill>
              </w:rPr>
              <w:t>县市区新改扩建幼儿园76所。</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义务教育：</w:t>
            </w:r>
            <w:r>
              <w:rPr>
                <w:rFonts w:ascii="Times New Roman" w:hAnsi="Times New Roman" w:eastAsia="宋体" w:cs="Times New Roman"/>
                <w:color w:val="000000" w:themeColor="text1"/>
                <w:szCs w:val="28"/>
                <w14:textFill>
                  <w14:solidFill>
                    <w14:schemeClr w14:val="tx1"/>
                  </w14:solidFill>
                </w14:textFill>
              </w:rPr>
              <w:t>新改扩建义务教育标准化学校200所，增加义务教育学位16万个，基本消除城乡二元壁垒和</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大班额</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大通铺</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高中教育：</w:t>
            </w:r>
            <w:r>
              <w:rPr>
                <w:rFonts w:ascii="Times New Roman" w:hAnsi="Times New Roman" w:eastAsia="宋体" w:cs="Times New Roman"/>
                <w:color w:val="000000" w:themeColor="text1"/>
                <w:szCs w:val="28"/>
                <w14:textFill>
                  <w14:solidFill>
                    <w14:schemeClr w14:val="tx1"/>
                  </w14:solidFill>
                </w14:textFill>
              </w:rPr>
              <w:t>完成</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一区一名校</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高中教育布局；支持各县（市）新改扩建普通高中1-2所，扩大高中阶段招生规模，实现高中教育普及。</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职业教育：</w:t>
            </w:r>
            <w:r>
              <w:rPr>
                <w:rFonts w:ascii="Times New Roman" w:hAnsi="Times New Roman" w:eastAsia="宋体" w:cs="Times New Roman"/>
                <w:color w:val="000000" w:themeColor="text1"/>
                <w:szCs w:val="28"/>
                <w14:textFill>
                  <w14:solidFill>
                    <w14:schemeClr w14:val="tx1"/>
                  </w14:solidFill>
                </w14:textFill>
              </w:rPr>
              <w:t>建设职教新城和一批高等职业院校。合并市工业学校、市计算机学校、市交通学校、市女子职业学校，新建湘中职业技术学院，确保湘中职业技术学院建成招生；筹建湖南省护理职业技术学院和邵阳技师学院；组建邵阳市民办职业教育股份集团。</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高等教育：</w:t>
            </w:r>
            <w:r>
              <w:rPr>
                <w:rFonts w:ascii="Times New Roman" w:hAnsi="Times New Roman" w:eastAsia="宋体" w:cs="Times New Roman"/>
                <w:color w:val="000000" w:themeColor="text1"/>
                <w:szCs w:val="28"/>
                <w14:textFill>
                  <w14:solidFill>
                    <w14:schemeClr w14:val="tx1"/>
                  </w14:solidFill>
                </w14:textFill>
              </w:rPr>
              <w:t>推进邵阳学院内涵发展，加强科学研究和成果转化，加快学科建设步伐，力争有一批一级学科成为省内有一定影响的特色学科。</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劳动教育基地：</w:t>
            </w:r>
            <w:r>
              <w:rPr>
                <w:rFonts w:ascii="Times New Roman" w:hAnsi="Times New Roman" w:eastAsia="宋体" w:cs="Times New Roman"/>
                <w:color w:val="000000" w:themeColor="text1"/>
                <w:szCs w:val="28"/>
                <w14:textFill>
                  <w14:solidFill>
                    <w14:schemeClr w14:val="tx1"/>
                  </w14:solidFill>
                </w14:textFill>
              </w:rPr>
              <w:t>贯彻落实中共中央、国务院《关于全面加强新时代大中小学劳动教育的意见》，加快市本级和县市区集中性劳动教育基地建设，每县市区新建1个公办劳动实践基地。</w:t>
            </w:r>
          </w:p>
          <w:p>
            <w:pPr>
              <w:spacing w:before="0" w:after="0" w:line="54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教师发展机构：</w:t>
            </w:r>
            <w:r>
              <w:rPr>
                <w:rFonts w:ascii="Times New Roman" w:hAnsi="Times New Roman" w:eastAsia="宋体" w:cs="Times New Roman"/>
                <w:color w:val="000000" w:themeColor="text1"/>
                <w:szCs w:val="28"/>
                <w14:textFill>
                  <w14:solidFill>
                    <w14:schemeClr w14:val="tx1"/>
                  </w14:solidFill>
                </w14:textFill>
              </w:rPr>
              <w:t>贯彻落实中共中央、国务院《关于全面深化新时代教师队伍建设改革的意见》，在市本级、邵东市、隆回县试点新建教师发展中心，实现培训、教研、电教部门有机整合。</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2178" w:name="_Toc11751"/>
      <w:bookmarkStart w:id="2179" w:name="_Toc32766"/>
      <w:bookmarkStart w:id="2180" w:name="_Toc28543"/>
      <w:bookmarkStart w:id="2181" w:name="_Toc6170"/>
      <w:bookmarkStart w:id="2182" w:name="_Toc2110"/>
      <w:bookmarkStart w:id="2183" w:name="_Toc25048"/>
      <w:bookmarkStart w:id="2184" w:name="_Toc2366"/>
      <w:bookmarkStart w:id="2185" w:name="_Toc18581"/>
      <w:bookmarkStart w:id="2186" w:name="_Toc5738"/>
      <w:bookmarkStart w:id="2187" w:name="_Toc16207"/>
      <w:bookmarkStart w:id="2188" w:name="_Toc21226"/>
      <w:bookmarkStart w:id="2189" w:name="_Toc26589"/>
      <w:bookmarkStart w:id="2190" w:name="_Toc12565"/>
      <w:bookmarkStart w:id="2191" w:name="_Toc31270"/>
      <w:bookmarkStart w:id="2192" w:name="_Toc20951"/>
      <w:bookmarkStart w:id="2193" w:name="_Toc969"/>
      <w:bookmarkStart w:id="2194" w:name="_Toc10125"/>
      <w:bookmarkStart w:id="2195" w:name="_Toc4123"/>
      <w:bookmarkStart w:id="2196" w:name="_Toc12670"/>
      <w:bookmarkStart w:id="2197" w:name="_Toc25829"/>
      <w:bookmarkStart w:id="2198" w:name="_Toc13895"/>
      <w:bookmarkStart w:id="2199" w:name="_Toc23717"/>
      <w:bookmarkStart w:id="2200" w:name="_Toc737"/>
      <w:bookmarkStart w:id="2201" w:name="_Toc21196"/>
      <w:bookmarkStart w:id="2202" w:name="_Toc8021"/>
      <w:bookmarkStart w:id="2203" w:name="_Toc22706"/>
      <w:bookmarkStart w:id="2204" w:name="_Toc18635"/>
      <w:bookmarkStart w:id="2205" w:name="_Toc10709"/>
      <w:bookmarkStart w:id="2206" w:name="_Toc7826"/>
      <w:bookmarkStart w:id="2207" w:name="_Toc6275"/>
      <w:bookmarkStart w:id="2208" w:name="_Toc20025"/>
      <w:bookmarkStart w:id="2209" w:name="_Toc26365"/>
      <w:bookmarkStart w:id="2210" w:name="_Toc19120"/>
      <w:bookmarkStart w:id="2211" w:name="_Toc8552"/>
      <w:bookmarkStart w:id="2212" w:name="_Toc29866"/>
      <w:bookmarkStart w:id="2213" w:name="_Toc25075"/>
      <w:bookmarkStart w:id="2214" w:name="_Toc6733"/>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健全社会保障体系</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坚持全覆盖、保基本、多层次、可持续方针，提高社会保障统筹层次和质量，完善社会保险制度，大力推动社会福利和优抚安置事业发展，加快建成覆盖城乡全体居民、更加公平可持续的社会保障体系。</w:t>
      </w:r>
    </w:p>
    <w:p>
      <w:pPr>
        <w:widowControl w:val="0"/>
        <w:adjustRightInd/>
        <w:snapToGrid/>
        <w:spacing w:before="0" w:after="193" w:afterLines="50" w:line="57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完善社会保险制度。</w:t>
      </w:r>
      <w:r>
        <w:rPr>
          <w:rFonts w:ascii="Times New Roman" w:hAnsi="Times New Roman" w:eastAsia="仿宋_GB2312" w:cs="Times New Roman"/>
          <w:color w:val="000000" w:themeColor="text1"/>
          <w:sz w:val="32"/>
          <w:szCs w:val="32"/>
          <w14:textFill>
            <w14:solidFill>
              <w14:schemeClr w14:val="tx1"/>
            </w14:solidFill>
          </w14:textFill>
        </w:rPr>
        <w:t>建立健全以社会救助为保底，社会保险为主体，企业年金、职业年金和商业保险为补充的多层次社会保障体系。大力推进城乡居民参加社会保险，完善参保缴费激励机制，加大对弱势群体参加社会保险的资助力度，增强城乡居民持续缴费能力，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应保尽保</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。到2025年，基本养老保险覆盖率达到91%以上。</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b/>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专栏31：社会保险待遇水平提升行动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基本养老保险：</w:t>
            </w:r>
            <w:r>
              <w:rPr>
                <w:rFonts w:ascii="Times New Roman" w:hAnsi="Times New Roman" w:eastAsia="宋体" w:cs="Times New Roman"/>
                <w:color w:val="000000" w:themeColor="text1"/>
                <w:szCs w:val="28"/>
                <w14:textFill>
                  <w14:solidFill>
                    <w14:schemeClr w14:val="tx1"/>
                  </w14:solidFill>
                </w14:textFill>
              </w:rPr>
              <w:t>统筹安排机关事业单位和企业退休人员的基本养老金调整，逐步建立兼顾各类人员的养老保险待遇正常调整机制。</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医疗和生育保险：</w:t>
            </w:r>
            <w:r>
              <w:rPr>
                <w:rFonts w:ascii="Times New Roman" w:hAnsi="Times New Roman" w:eastAsia="宋体" w:cs="Times New Roman"/>
                <w:color w:val="000000" w:themeColor="text1"/>
                <w:szCs w:val="28"/>
                <w14:textFill>
                  <w14:solidFill>
                    <w14:schemeClr w14:val="tx1"/>
                  </w14:solidFill>
                </w14:textFill>
              </w:rPr>
              <w:t>健全基本医疗保险筹资和待遇调整机制，逐步提高财政对城乡居民基本医疗和生育保险的补助标准，健全重大疾病医疗保险和救助制度。</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失业、工伤、生育保险：</w:t>
            </w:r>
            <w:r>
              <w:rPr>
                <w:rFonts w:ascii="Times New Roman" w:hAnsi="Times New Roman" w:eastAsia="宋体" w:cs="Times New Roman"/>
                <w:color w:val="000000" w:themeColor="text1"/>
                <w:szCs w:val="28"/>
                <w14:textFill>
                  <w14:solidFill>
                    <w14:schemeClr w14:val="tx1"/>
                  </w14:solidFill>
                </w14:textFill>
              </w:rPr>
              <w:t>适当扩大失业保险基金支出范围，健全失业保险待遇正常调整机制。适当提高工伤和生育保险待遇水平。加强工伤预防和工伤康复工作。</w:t>
            </w:r>
          </w:p>
          <w:p>
            <w:pPr>
              <w:spacing w:before="0" w:after="0" w:line="54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补充保险：</w:t>
            </w:r>
            <w:r>
              <w:rPr>
                <w:rFonts w:ascii="Times New Roman" w:hAnsi="Times New Roman" w:eastAsia="宋体" w:cs="Times New Roman"/>
                <w:color w:val="000000" w:themeColor="text1"/>
                <w:szCs w:val="28"/>
                <w14:textFill>
                  <w14:solidFill>
                    <w14:schemeClr w14:val="tx1"/>
                  </w14:solidFill>
                </w14:textFill>
              </w:rPr>
              <w:t>积极发展企业年金、职业年金、补充医疗保险及商业医疗保险，稳步建立长期护理险制度，完善多层次社会保障体系。</w:t>
            </w:r>
          </w:p>
        </w:tc>
      </w:tr>
    </w:tbl>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建立健全住房保障体系。</w:t>
      </w:r>
      <w:r>
        <w:rPr>
          <w:rFonts w:ascii="Times New Roman" w:hAnsi="Times New Roman" w:eastAsia="仿宋_GB2312" w:cs="Times New Roman"/>
          <w:color w:val="000000" w:themeColor="text1"/>
          <w:sz w:val="32"/>
          <w:szCs w:val="32"/>
          <w14:textFill>
            <w14:solidFill>
              <w14:schemeClr w14:val="tx1"/>
            </w14:solidFill>
          </w14:textFill>
        </w:rPr>
        <w:t>进一步加大保障性安居工程建设力度，增加保障性住房供应，构建以政府为主提供基本保障、以市场为主满足多层次需求的住房保障和供应体系。健全住房保障制度，针对不同的住房消费能力对应提供公共租赁住房、共有产权住房和商品住房，满足困难群众基本住房需求。加快推进超期安置工作，确保群众稳妥安置。坚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房住不炒</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定位，促进房地产市场平稳健康发展。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推进民政事业发展。</w:t>
      </w:r>
      <w:r>
        <w:rPr>
          <w:rFonts w:ascii="Times New Roman" w:hAnsi="Times New Roman" w:eastAsia="仿宋_GB2312" w:cs="Times New Roman"/>
          <w:color w:val="000000" w:themeColor="text1"/>
          <w:sz w:val="32"/>
          <w:szCs w:val="32"/>
          <w14:textFill>
            <w14:solidFill>
              <w14:schemeClr w14:val="tx1"/>
            </w14:solidFill>
          </w14:textFill>
        </w:rPr>
        <w:t>建立健全最低生活保障、特困人员救助供养、受灾人员救助、医疗救助、教育救助、住房救助、就业救助、临时救助与社会参与的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8+1</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社会救助体系。完善民政兜底保障体系，进一步探索推进扶贫开发政策与农村低保制度融合。全面落实特困人员救助供养制度,确保应养尽养。加快构建大数据平台，实现救助对象精准认定实时高效。加快推进殡葬基础设施建设，实现有火化功能的殡仪馆、城市公益性骨灰安放设施县级行政区域全覆盖，农村公益性骨灰安放（葬）设施乡镇全覆盖。大力推行节地生态安葬，全面建立惠民殡葬和节地生态安葬奖补制度。到2025年，全市总体火化率达到58%以上。</w:t>
      </w:r>
    </w:p>
    <w:p>
      <w:pPr>
        <w:widowControl w:val="0"/>
        <w:adjustRightInd/>
        <w:snapToGrid/>
        <w:spacing w:line="560" w:lineRule="exact"/>
        <w:ind w:firstLine="643" w:firstLineChars="200"/>
        <w:rPr>
          <w:rFonts w:ascii="仿宋_GB2312" w:hAnsi="仿宋_GB2312" w:eastAsia="仿宋_GB2312" w:cs="仿宋_GB2312"/>
          <w:sz w:val="32"/>
          <w:szCs w:val="32"/>
        </w:rPr>
      </w:pPr>
      <w:r>
        <w:rPr>
          <w:rFonts w:ascii="Times New Roman" w:hAnsi="Times New Roman" w:eastAsia="仿宋_GB2312" w:cs="Times New Roman"/>
          <w:b/>
          <w:bCs/>
          <w:color w:val="000000" w:themeColor="text1"/>
          <w:sz w:val="32"/>
          <w:szCs w:val="32"/>
          <w14:textFill>
            <w14:solidFill>
              <w14:schemeClr w14:val="tx1"/>
            </w14:solidFill>
          </w14:textFill>
        </w:rPr>
        <w:t>做好退役军人服务保障工作。</w:t>
      </w:r>
      <w:r>
        <w:rPr>
          <w:rFonts w:hint="eastAsia" w:ascii="仿宋_GB2312" w:hAnsi="仿宋_GB2312" w:eastAsia="仿宋_GB2312" w:cs="仿宋_GB2312"/>
          <w:sz w:val="32"/>
          <w:szCs w:val="32"/>
        </w:rPr>
        <w:t>做好退役军人褒扬优抚和服务保障工作，全力推动全市烈士纪念设施、军人公墓、优抚医院、光荣院等项目建设，高质量做好就时代褒扬优抚工作。认真贯彻落实“六级”退役军人服务保障体系和“五有”标准要求，建立健全市、县、乡、村四级退役军人服务保障体系，积极推进退役军人服务站、服务中心标准化建设，不折不扣地落实好各项政策，有效维护退役军人合法权益。</w:t>
      </w:r>
    </w:p>
    <w:p>
      <w:pPr>
        <w:widowControl w:val="0"/>
        <w:adjustRightInd/>
        <w:snapToGrid/>
        <w:spacing w:before="0" w:after="0" w:line="560" w:lineRule="exact"/>
        <w:ind w:firstLine="560" w:firstLineChars="200"/>
        <w:jc w:val="both"/>
        <w:rPr>
          <w:rFonts w:ascii="Times New Roman" w:hAnsi="Times New Roman" w:cs="Times New Roman"/>
          <w:color w:val="000000" w:themeColor="text1"/>
          <w14:textFill>
            <w14:solidFill>
              <w14:schemeClr w14:val="tx1"/>
            </w14:solidFill>
          </w14:textFill>
        </w:rPr>
      </w:pP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215" w:name="_Toc3795"/>
      <w:bookmarkStart w:id="2216" w:name="_Toc25036"/>
      <w:bookmarkStart w:id="2217" w:name="_Toc2364"/>
      <w:bookmarkStart w:id="2218" w:name="_Toc29060"/>
      <w:bookmarkStart w:id="2219" w:name="_Toc28439"/>
      <w:bookmarkStart w:id="2220" w:name="_Toc29100"/>
      <w:bookmarkStart w:id="2221" w:name="_Toc108"/>
      <w:bookmarkStart w:id="2222" w:name="_Toc4912"/>
      <w:bookmarkStart w:id="2223" w:name="_Toc19839"/>
      <w:bookmarkStart w:id="2224" w:name="_Toc19895"/>
      <w:bookmarkStart w:id="2225" w:name="_Toc2055"/>
      <w:bookmarkStart w:id="2226" w:name="_Toc6807"/>
      <w:bookmarkStart w:id="2227" w:name="_Toc747"/>
      <w:bookmarkStart w:id="2228" w:name="_Toc15881"/>
      <w:bookmarkStart w:id="2229" w:name="_Toc19947"/>
      <w:bookmarkStart w:id="2230" w:name="_Toc22686"/>
      <w:bookmarkStart w:id="2231" w:name="_Toc3953"/>
      <w:bookmarkStart w:id="2232" w:name="_Toc24767"/>
      <w:bookmarkStart w:id="2233" w:name="_Toc31794"/>
      <w:bookmarkStart w:id="2234" w:name="_Toc21044"/>
      <w:bookmarkStart w:id="2235" w:name="_Toc16531"/>
      <w:bookmarkStart w:id="2236" w:name="_Toc27018"/>
      <w:bookmarkStart w:id="2237" w:name="_Toc6019"/>
      <w:bookmarkStart w:id="2238" w:name="_Toc6044"/>
      <w:bookmarkStart w:id="2239" w:name="_Toc31676"/>
      <w:bookmarkStart w:id="2240" w:name="_Toc2038"/>
      <w:bookmarkStart w:id="2241" w:name="_Toc7559"/>
      <w:bookmarkStart w:id="2242" w:name="_Toc4169"/>
      <w:bookmarkStart w:id="2243" w:name="_Toc13667"/>
      <w:bookmarkStart w:id="2244" w:name="_Toc23436"/>
      <w:bookmarkStart w:id="2245" w:name="_Toc9144"/>
      <w:bookmarkStart w:id="2246" w:name="_Toc5369"/>
      <w:bookmarkStart w:id="2247" w:name="_Toc24520"/>
      <w:bookmarkStart w:id="2248" w:name="_Toc12140"/>
      <w:bookmarkStart w:id="2249" w:name="_Toc31846"/>
      <w:bookmarkStart w:id="2250" w:name="_Toc12423"/>
      <w:bookmarkStart w:id="2251" w:name="_Toc32634"/>
      <w:r>
        <w:rPr>
          <w:rFonts w:ascii="Times New Roman" w:hAnsi="Times New Roman" w:cs="Times New Roman"/>
          <w:color w:val="000000" w:themeColor="text1"/>
          <w:szCs w:val="32"/>
          <w14:textFill>
            <w14:solidFill>
              <w14:schemeClr w14:val="tx1"/>
            </w14:solidFill>
          </w14:textFill>
        </w:rPr>
        <w:t xml:space="preserve">第三节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提高人民收入水平</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坚持就业优先，实施更加积极的就业创业政策，有效挖掘和培育新的就业增长点，改善收入分配结构，稳定物价水平，确保实现居民收入增长与经济发展同步。</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坚持就业创业优先。</w:t>
      </w:r>
      <w:r>
        <w:rPr>
          <w:rFonts w:ascii="Times New Roman" w:hAnsi="Times New Roman" w:eastAsia="仿宋_GB2312" w:cs="Times New Roman"/>
          <w:color w:val="000000" w:themeColor="text1"/>
          <w:sz w:val="32"/>
          <w:szCs w:val="32"/>
          <w14:textFill>
            <w14:solidFill>
              <w14:schemeClr w14:val="tx1"/>
            </w14:solidFill>
          </w14:textFill>
        </w:rPr>
        <w:t>充实完善各项就业政策，加强就业创业政策与产业、贸易、财政、税收、金融等政策的协调，完善财税金融扶持政策，积极营造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大众创业、万众创新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舆论环境。坚持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非禁即入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原则，放宽创业限制，优化提升公共服务。建立健全市县乡村四级联动的就业创业服务工作机制，打造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15分钟就业创业服务圈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实现创业促进就业倍增效应。统筹人力资源市场，打破城乡、地区、行业分割和身份、性别歧视，维护劳动者平等就业权利。深入推进居家灵活就业，加强对网约配送员、人工智能训练师、全媒体运营师等新就业形态的支持，促进劳动者自主就业。鼓励高校毕业生到中小企业和基层就业，促进城市低收入家庭和被征地农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9+3</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学生、失业人员、就业困难人员等就业。建立面向大众的创业服务平台，推进创业带动就业。支持退役军人创新创业，深化“双带双促”活动。</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加强拓宽就业渠道。</w:t>
      </w:r>
      <w:r>
        <w:rPr>
          <w:rFonts w:ascii="Times New Roman" w:hAnsi="Times New Roman" w:eastAsia="仿宋_GB2312" w:cs="Times New Roman"/>
          <w:color w:val="000000" w:themeColor="text1"/>
          <w:sz w:val="32"/>
          <w:szCs w:val="32"/>
          <w14:textFill>
            <w14:solidFill>
              <w14:schemeClr w14:val="tx1"/>
            </w14:solidFill>
          </w14:textFill>
        </w:rPr>
        <w:t>推行终身职业技能培训制度。实施新生代农民工职业技能提升计划，大力开展新兴产业从业人员职业培训。开展重点群体免费职业培训行动，加大对贫困家庭子女、未升学初高中毕业生、农民工、失业人员和转岗职工的技能培训力度。</w:t>
      </w:r>
      <w:r>
        <w:rPr>
          <w:rFonts w:ascii="Times New Roman" w:hAnsi="Times New Roman" w:eastAsia="仿宋_GB2312" w:cs="Times New Roman"/>
          <w:color w:val="000000" w:themeColor="text1"/>
          <w:sz w:val="32"/>
          <w:szCs w:val="32"/>
          <w:lang w:bidi="ar"/>
          <w14:textFill>
            <w14:solidFill>
              <w14:schemeClr w14:val="tx1"/>
            </w14:solidFill>
          </w14:textFill>
        </w:rPr>
        <w:t>鼓励农民发展家庭农场，增加农民家庭经营性收入。优化整合各类涉农专项资金，不断扩大对三农的转移支付力度。</w:t>
      </w:r>
      <w:r>
        <w:rPr>
          <w:rFonts w:ascii="Times New Roman" w:hAnsi="Times New Roman" w:eastAsia="仿宋_GB2312" w:cs="Times New Roman"/>
          <w:color w:val="000000" w:themeColor="text1"/>
          <w:sz w:val="32"/>
          <w:szCs w:val="32"/>
          <w14:textFill>
            <w14:solidFill>
              <w14:schemeClr w14:val="tx1"/>
            </w14:solidFill>
          </w14:textFill>
        </w:rPr>
        <w:t>推行工学结合、校企合作的技术工人培养模式，推行企业新型学徒制度。完善技术工人技能</w:t>
      </w:r>
      <w:r>
        <w:rPr>
          <w:rFonts w:hint="eastAsia" w:ascii="Times New Roman" w:hAnsi="Times New Roman" w:eastAsia="仿宋_GB2312" w:cs="Times New Roman"/>
          <w:color w:val="000000" w:themeColor="text1"/>
          <w:sz w:val="32"/>
          <w:szCs w:val="32"/>
          <w14:textFill>
            <w14:solidFill>
              <w14:schemeClr w14:val="tx1"/>
            </w14:solidFill>
          </w14:textFill>
        </w:rPr>
        <w:t>评价</w:t>
      </w:r>
      <w:r>
        <w:rPr>
          <w:rFonts w:ascii="Times New Roman" w:hAnsi="Times New Roman" w:eastAsia="仿宋_GB2312" w:cs="Times New Roman"/>
          <w:color w:val="000000" w:themeColor="text1"/>
          <w:sz w:val="32"/>
          <w:szCs w:val="32"/>
          <w14:textFill>
            <w14:solidFill>
              <w14:schemeClr w14:val="tx1"/>
            </w14:solidFill>
          </w14:textFill>
        </w:rPr>
        <w:t>制度，扩大专业技术职称、技能等级等同城市落户挂钩制度。</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促进产业就业。</w:t>
      </w:r>
      <w:r>
        <w:rPr>
          <w:rFonts w:ascii="Times New Roman" w:hAnsi="Times New Roman" w:eastAsia="仿宋_GB2312" w:cs="Times New Roman"/>
          <w:color w:val="000000" w:themeColor="text1"/>
          <w:sz w:val="32"/>
          <w:szCs w:val="32"/>
          <w14:textFill>
            <w14:solidFill>
              <w14:schemeClr w14:val="tx1"/>
            </w14:solidFill>
          </w14:textFill>
        </w:rPr>
        <w:t>强化经济增长与就业增长良性互动，积极鼓励中小微企业发展，发挥中小微企业就业主渠道作用。大力发展商贸物流、电子商务、休闲旅游、健康养老等服务业，积极拓宽就业渠道。延伸优势工业产业链，提升产业链就业吸纳能力。着力打</w:t>
      </w:r>
      <w:r>
        <w:rPr>
          <w:rFonts w:ascii="Times New Roman" w:hAnsi="Times New Roman" w:eastAsia="仿宋_GB2312" w:cs="Times New Roman"/>
          <w:color w:val="000000" w:themeColor="text1"/>
          <w:spacing w:val="-6"/>
          <w:sz w:val="32"/>
          <w:szCs w:val="32"/>
          <w14:textFill>
            <w14:solidFill>
              <w14:schemeClr w14:val="tx1"/>
            </w14:solidFill>
          </w14:textFill>
        </w:rPr>
        <w:t>造一批自主创新能力强、加工水平高的农业产业化龙头企业，建设一批农业生产基地，带动农民就近转移就业。</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提升就业服务水平。</w:t>
      </w:r>
      <w:r>
        <w:rPr>
          <w:rFonts w:ascii="Times New Roman" w:hAnsi="Times New Roman" w:eastAsia="仿宋_GB2312" w:cs="Times New Roman"/>
          <w:color w:val="000000" w:themeColor="text1"/>
          <w:sz w:val="32"/>
          <w:szCs w:val="32"/>
          <w14:textFill>
            <w14:solidFill>
              <w14:schemeClr w14:val="tx1"/>
            </w14:solidFill>
          </w14:textFill>
        </w:rPr>
        <w:t>完善市县两级人力资源与就业服务信息共享平台，实现就业服务全覆盖。进一步简化就业服务办事程序。积极利用政府、社区与企业力量提供就业岗位，着力做好高校毕业生和就业困难人群的就业帮扶工作，完善失地农民再就业机制。扩大公益性岗位安置，促进零就业家庭成员就业。进一步完善用工监测、失业动态监测和失业预警机制，积极预防和有效调控失业风险。加强劳动就业监察执法，健全劳动人事争议调解仲裁机制，构建和谐劳动关系。</w:t>
      </w:r>
      <w:r>
        <w:rPr>
          <w:rFonts w:ascii="Times New Roman" w:hAnsi="Times New Roman" w:eastAsia="仿宋_GB2312" w:cs="Times New Roman"/>
          <w:color w:val="000000" w:themeColor="text1"/>
          <w:sz w:val="32"/>
          <w:szCs w:val="32"/>
          <w:lang w:bidi="ar"/>
          <w14:textFill>
            <w14:solidFill>
              <w14:schemeClr w14:val="tx1"/>
            </w14:solidFill>
          </w14:textFill>
        </w:rPr>
        <w:t>完善农民工工资支付保障机制，贯彻落实《保障农民工工资支付条例》，保障农民工工资按时足额支付。</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积极调节收入分配。</w:t>
      </w:r>
      <w:r>
        <w:rPr>
          <w:rFonts w:ascii="Times New Roman" w:hAnsi="Times New Roman" w:eastAsia="仿宋_GB2312" w:cs="Times New Roman"/>
          <w:color w:val="000000" w:themeColor="text1"/>
          <w:sz w:val="32"/>
          <w:szCs w:val="32"/>
          <w14:textFill>
            <w14:solidFill>
              <w14:schemeClr w14:val="tx1"/>
            </w14:solidFill>
          </w14:textFill>
        </w:rPr>
        <w:t>坚持按劳分配为主体、多种分配方式并存，提高劳动报酬在初次分配中的比重，完善工资制度，健全工资合理增长机制，着力提高低收入群体收入，扩大中等收入群体。完善按要素分配政策制度，健全各类生产要素由市场决定报酬的机制，探索通过土地、资本等要素使用权、收益权增加中低收入群体要素收入。多渠道增加城乡居民财产性收入。完善再分配机制，加大税收、社保、转移支付等调节力度和精准性，合理调节过高收入，取缔非法收入。发挥第三次分配作用，发展慈善事业，改善收入和财富分配格局。</w:t>
      </w:r>
    </w:p>
    <w:p>
      <w:pPr>
        <w:widowControl w:val="0"/>
        <w:adjustRightInd/>
        <w:snapToGrid/>
        <w:spacing w:before="0" w:after="193" w:afterLines="50" w:line="560" w:lineRule="exact"/>
        <w:ind w:firstLine="619"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color w:val="000000" w:themeColor="text1"/>
          <w:spacing w:val="-6"/>
          <w:sz w:val="32"/>
          <w:szCs w:val="32"/>
          <w14:textFill>
            <w14:solidFill>
              <w14:schemeClr w14:val="tx1"/>
            </w14:solidFill>
          </w14:textFill>
        </w:rPr>
        <w:t>保持物价基本稳定。</w:t>
      </w:r>
      <w:r>
        <w:rPr>
          <w:rFonts w:ascii="Times New Roman" w:hAnsi="Times New Roman" w:eastAsia="仿宋_GB2312" w:cs="Times New Roman"/>
          <w:color w:val="000000" w:themeColor="text1"/>
          <w:spacing w:val="-6"/>
          <w:sz w:val="32"/>
          <w:szCs w:val="32"/>
          <w14:textFill>
            <w14:solidFill>
              <w14:schemeClr w14:val="tx1"/>
            </w14:solidFill>
          </w14:textFill>
        </w:rPr>
        <w:t>加强价格监测预警，完善市场价格调控机制，严厉打击价格违法行为。把握好政府管理价格政策出台的时机、节奏和力度，加强价格信息宣传，合理引导市场价格预期。健全市场应急供应管理制度和协调机制，落实重要商品储备制度，增强市场应急保供能力，促进市场均衡供应和价格稳定。</w:t>
      </w:r>
    </w:p>
    <w:tbl>
      <w:tblPr>
        <w:tblStyle w:val="14"/>
        <w:tblW w:w="5000" w:type="pct"/>
        <w:tblInd w:w="0" w:type="dxa"/>
        <w:tblLayout w:type="autofit"/>
        <w:tblCellMar>
          <w:top w:w="0" w:type="dxa"/>
          <w:left w:w="0" w:type="dxa"/>
          <w:bottom w:w="0" w:type="dxa"/>
          <w:right w:w="0" w:type="dxa"/>
        </w:tblCellMar>
      </w:tblPr>
      <w:tblGrid>
        <w:gridCol w:w="8868"/>
      </w:tblGrid>
      <w:tr>
        <w:trPr>
          <w:trHeight w:val="592"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专栏32：就业人员素质提升行动</w:t>
            </w:r>
          </w:p>
        </w:tc>
      </w:tr>
      <w:tr>
        <w:tblPrEx>
          <w:tblCellMar>
            <w:top w:w="0" w:type="dxa"/>
            <w:left w:w="0" w:type="dxa"/>
            <w:bottom w:w="0" w:type="dxa"/>
            <w:right w:w="0" w:type="dxa"/>
          </w:tblCellMar>
        </w:tblPrEx>
        <w:trPr>
          <w:trHeight w:val="211"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开展就业技能培训。</w:t>
            </w:r>
            <w:r>
              <w:rPr>
                <w:rFonts w:ascii="Times New Roman" w:hAnsi="Times New Roman" w:eastAsia="宋体" w:cs="Times New Roman"/>
                <w:color w:val="000000" w:themeColor="text1"/>
                <w:szCs w:val="28"/>
                <w14:textFill>
                  <w14:solidFill>
                    <w14:schemeClr w14:val="tx1"/>
                  </w14:solidFill>
                </w14:textFill>
              </w:rPr>
              <w:t>对农村转移就业劳动者和城镇登记失业人员，重点开展初级技能培训；对城乡未继续升学的应届初、高中毕业生等开展劳动预备制培训；对企业新录用人员开展岗前培训；对退役士兵开展职业技能培训。农村劳动力转移就业技能培训</w:t>
            </w:r>
            <w:r>
              <w:rPr>
                <w:rFonts w:hint="eastAsia" w:ascii="Times New Roman" w:hAnsi="Times New Roman" w:eastAsia="宋体" w:cs="Times New Roman"/>
                <w:color w:val="000000" w:themeColor="text1"/>
                <w:szCs w:val="28"/>
                <w14:textFill>
                  <w14:solidFill>
                    <w14:schemeClr w14:val="tx1"/>
                  </w14:solidFill>
                </w14:textFill>
              </w:rPr>
              <w:t>6</w:t>
            </w:r>
            <w:r>
              <w:rPr>
                <w:rFonts w:ascii="Times New Roman" w:hAnsi="Times New Roman" w:eastAsia="宋体" w:cs="Times New Roman"/>
                <w:color w:val="000000" w:themeColor="text1"/>
                <w:szCs w:val="28"/>
                <w14:textFill>
                  <w14:solidFill>
                    <w14:schemeClr w14:val="tx1"/>
                  </w14:solidFill>
                </w14:textFill>
              </w:rPr>
              <w:t>万人。</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开展岗位技能提升培训。</w:t>
            </w:r>
            <w:r>
              <w:rPr>
                <w:rFonts w:ascii="Times New Roman" w:hAnsi="Times New Roman" w:eastAsia="宋体" w:cs="Times New Roman"/>
                <w:color w:val="000000" w:themeColor="text1"/>
                <w:szCs w:val="28"/>
                <w14:textFill>
                  <w14:solidFill>
                    <w14:schemeClr w14:val="tx1"/>
                  </w14:solidFill>
                </w14:textFill>
              </w:rPr>
              <w:t>以企业在岗职工为主要对象，适应企业产业升级和技术进步的要求，大力开展岗位技能提升培训。鼓励企业通过在岗培训、脱产培训、以师带徒、业务研修、技能竞赛等多种形式，加快提升企业在岗职工的技能水平。</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开展创业培训。</w:t>
            </w:r>
            <w:r>
              <w:rPr>
                <w:rFonts w:ascii="Times New Roman" w:hAnsi="Times New Roman" w:eastAsia="宋体" w:cs="Times New Roman"/>
                <w:color w:val="000000" w:themeColor="text1"/>
                <w:szCs w:val="28"/>
                <w14:textFill>
                  <w14:solidFill>
                    <w14:schemeClr w14:val="tx1"/>
                  </w14:solidFill>
                </w14:textFill>
              </w:rPr>
              <w:t>将临近毕业的大学生、新成长劳动力及有创业愿望的城乡劳动者纳入培训范围，创业培训5万人。</w:t>
            </w:r>
          </w:p>
          <w:p>
            <w:pPr>
              <w:spacing w:before="0" w:after="0" w:line="50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加强职业培训基础能力建设。</w:t>
            </w:r>
            <w:r>
              <w:rPr>
                <w:rFonts w:ascii="Times New Roman" w:hAnsi="Times New Roman" w:eastAsia="宋体" w:cs="Times New Roman"/>
                <w:color w:val="000000" w:themeColor="text1"/>
                <w:szCs w:val="28"/>
                <w14:textFill>
                  <w14:solidFill>
                    <w14:schemeClr w14:val="tx1"/>
                  </w14:solidFill>
                </w14:textFill>
              </w:rPr>
              <w:t>支持职业技能实训基地建设，</w:t>
            </w:r>
            <w:r>
              <w:rPr>
                <w:rFonts w:hint="eastAsia" w:ascii="Times New Roman" w:hAnsi="Times New Roman" w:eastAsia="宋体" w:cs="Times New Roman"/>
                <w:color w:val="000000" w:themeColor="text1"/>
                <w:szCs w:val="28"/>
                <w14:textFill>
                  <w14:solidFill>
                    <w14:schemeClr w14:val="tx1"/>
                  </w14:solidFill>
                </w14:textFill>
              </w:rPr>
              <w:t>稳步推进职业技能等级认定和社会评价工作</w:t>
            </w:r>
            <w:r>
              <w:rPr>
                <w:rFonts w:ascii="Times New Roman" w:hAnsi="Times New Roman" w:eastAsia="宋体" w:cs="Times New Roman"/>
                <w:color w:val="000000" w:themeColor="text1"/>
                <w:szCs w:val="28"/>
                <w14:textFill>
                  <w14:solidFill>
                    <w14:schemeClr w14:val="tx1"/>
                  </w14:solidFill>
                </w14:textFill>
              </w:rPr>
              <w:t>，加强职业培训教材和师资队伍建设。</w:t>
            </w:r>
          </w:p>
          <w:p>
            <w:pPr>
              <w:spacing w:before="0" w:after="0" w:line="50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完善职业培训补贴政策。</w:t>
            </w:r>
            <w:r>
              <w:rPr>
                <w:rFonts w:ascii="Times New Roman" w:hAnsi="Times New Roman" w:eastAsia="宋体" w:cs="Times New Roman"/>
                <w:color w:val="000000" w:themeColor="text1"/>
                <w:szCs w:val="28"/>
                <w14:textFill>
                  <w14:solidFill>
                    <w14:schemeClr w14:val="tx1"/>
                  </w14:solidFill>
                </w14:textFill>
              </w:rPr>
              <w:t>对参加就业技能培训或创业培训的，按规定给予职业培训补贴。</w:t>
            </w:r>
          </w:p>
        </w:tc>
      </w:tr>
    </w:tbl>
    <w:p>
      <w:pPr>
        <w:pStyle w:val="4"/>
        <w:keepNext w:val="0"/>
        <w:keepLines w:val="0"/>
        <w:widowControl w:val="0"/>
        <w:spacing w:before="193" w:beforeLines="50" w:after="386" w:afterLines="100" w:line="240" w:lineRule="auto"/>
        <w:rPr>
          <w:rFonts w:ascii="Times New Roman" w:hAnsi="Times New Roman" w:cs="Times New Roman"/>
          <w:color w:val="000000" w:themeColor="text1"/>
          <w:szCs w:val="32"/>
          <w14:textFill>
            <w14:solidFill>
              <w14:schemeClr w14:val="tx1"/>
            </w14:solidFill>
          </w14:textFill>
        </w:rPr>
      </w:pPr>
      <w:bookmarkStart w:id="2252" w:name="_Toc24909"/>
      <w:bookmarkStart w:id="2253" w:name="_Toc31430"/>
      <w:bookmarkStart w:id="2254" w:name="_Toc24378"/>
      <w:bookmarkStart w:id="2255" w:name="_Toc19771"/>
      <w:bookmarkStart w:id="2256" w:name="_Toc471"/>
      <w:bookmarkStart w:id="2257" w:name="_Toc22837"/>
      <w:bookmarkStart w:id="2258" w:name="_Toc24261"/>
      <w:bookmarkStart w:id="2259" w:name="_Toc29046"/>
      <w:bookmarkStart w:id="2260" w:name="_Toc12024"/>
      <w:bookmarkStart w:id="2261" w:name="_Toc24386"/>
      <w:bookmarkStart w:id="2262" w:name="_Toc32373"/>
      <w:bookmarkStart w:id="2263" w:name="_Toc10342"/>
      <w:bookmarkStart w:id="2264" w:name="_Toc19674"/>
      <w:bookmarkStart w:id="2265" w:name="_Toc22364"/>
      <w:bookmarkStart w:id="2266" w:name="_Toc3437"/>
      <w:bookmarkStart w:id="2267" w:name="_Toc20035"/>
      <w:bookmarkStart w:id="2268" w:name="_Toc8986"/>
      <w:bookmarkStart w:id="2269" w:name="_Toc2053"/>
      <w:bookmarkStart w:id="2270" w:name="_Toc24751"/>
      <w:bookmarkStart w:id="2271" w:name="_Toc12973"/>
      <w:bookmarkStart w:id="2272" w:name="_Toc30021"/>
      <w:bookmarkStart w:id="2273" w:name="_Toc18869"/>
      <w:bookmarkStart w:id="2274" w:name="_Toc1299"/>
      <w:bookmarkStart w:id="2275" w:name="_Toc1068"/>
      <w:bookmarkStart w:id="2276" w:name="_Toc14794"/>
      <w:bookmarkStart w:id="2277" w:name="_Toc19653"/>
      <w:bookmarkStart w:id="2278" w:name="_Toc6912"/>
      <w:bookmarkStart w:id="2279" w:name="_Toc78"/>
      <w:bookmarkStart w:id="2280" w:name="_Toc17564"/>
      <w:bookmarkStart w:id="2281" w:name="_Toc3495"/>
      <w:bookmarkStart w:id="2282" w:name="_Toc32434"/>
      <w:bookmarkStart w:id="2283" w:name="_Toc2047"/>
      <w:bookmarkStart w:id="2284" w:name="_Toc16139"/>
      <w:bookmarkStart w:id="2285" w:name="_Toc27306"/>
      <w:bookmarkStart w:id="2286" w:name="_Toc3516"/>
      <w:bookmarkStart w:id="2287" w:name="_Toc19622"/>
      <w:bookmarkStart w:id="2288" w:name="_Toc21242"/>
    </w:p>
    <w:p>
      <w:pPr>
        <w:pStyle w:val="4"/>
        <w:keepNext w:val="0"/>
        <w:keepLines w:val="0"/>
        <w:widowControl w:val="0"/>
        <w:spacing w:before="193" w:beforeLines="50" w:after="386" w:afterLines="100" w:line="240" w:lineRule="auto"/>
        <w:rPr>
          <w:rFonts w:ascii="Times New Roman" w:hAnsi="Times New Roman" w:cs="Times New Roman"/>
          <w:color w:val="000000" w:themeColor="text1"/>
          <w:szCs w:val="32"/>
          <w14:textFill>
            <w14:solidFill>
              <w14:schemeClr w14:val="tx1"/>
            </w14:solidFill>
          </w14:textFill>
        </w:rPr>
      </w:pPr>
      <w:r>
        <w:rPr>
          <w:rFonts w:ascii="Times New Roman" w:hAnsi="Times New Roman" w:cs="Times New Roman"/>
          <w:color w:val="000000" w:themeColor="text1"/>
          <w:szCs w:val="32"/>
          <w14:textFill>
            <w14:solidFill>
              <w14:schemeClr w14:val="tx1"/>
            </w14:solidFill>
          </w14:textFill>
        </w:rPr>
        <w:t xml:space="preserve">第四节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推进健康邵阳建设</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贯彻落实《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健康中国2030</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规划纲要》，以普及健康生活、优化健康服务、完善健康保障、建设健康环境、发展健康产业为重点，推动人民健康状况和基本医疗卫生服务的公平性和可及性持续改善。</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深化医药卫生体制改革。</w:t>
      </w:r>
      <w:r>
        <w:rPr>
          <w:rFonts w:ascii="Times New Roman" w:hAnsi="Times New Roman" w:eastAsia="仿宋_GB2312" w:cs="Times New Roman"/>
          <w:color w:val="000000" w:themeColor="text1"/>
          <w:sz w:val="32"/>
          <w:szCs w:val="32"/>
          <w14:textFill>
            <w14:solidFill>
              <w14:schemeClr w14:val="tx1"/>
            </w14:solidFill>
          </w14:textFill>
        </w:rPr>
        <w:t>坚持公立医院公益属性，积极稳妥推进公立医院改革，推进医药分开，实行分级诊疗，建立现代化医院管理制度，推进国家组织药品和耗材集中采购使用改革。深化县级公立医院管理体制改革，理顺公立医院所有者和管理者责权，落实公立医院经营管理自主权和用人自主权，探索建立理事会等形式的县级公立医院法人治理结构，推行院长任期目标责任考核制度。做好基本医保、大病保险与医疗救助政策衔接，全面落实医疗报销</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一站式</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结算服务。</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加强医疗卫生服务体系建设。</w:t>
      </w:r>
      <w:r>
        <w:rPr>
          <w:rFonts w:ascii="Times New Roman" w:hAnsi="Times New Roman" w:eastAsia="仿宋_GB2312" w:cs="Times New Roman"/>
          <w:color w:val="000000" w:themeColor="text1"/>
          <w:sz w:val="32"/>
          <w:szCs w:val="32"/>
          <w14:textFill>
            <w14:solidFill>
              <w14:schemeClr w14:val="tx1"/>
            </w14:solidFill>
          </w14:textFill>
        </w:rPr>
        <w:t>积极对接粤港澳大湾区等地区优质医疗卫生资源，通过合作办院、设立分院、组建医联体等方式，扩大优质医疗供给。开展区域医疗中心建设，打造全省知名特色专科。加强县级医院临床重点专科建设。推进乡村（社区）两级医疗机构标准化建设，实现乡镇卫生院全科医师和村合格医生全覆盖。到2025年，全面建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15分钟城市社区健康服务圈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30分钟乡村健康服务圈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加强公共卫生服务体系建设。</w:t>
      </w:r>
      <w:r>
        <w:rPr>
          <w:rFonts w:ascii="Times New Roman" w:hAnsi="Times New Roman" w:eastAsia="仿宋_GB2312" w:cs="Times New Roman"/>
          <w:color w:val="000000" w:themeColor="text1"/>
          <w:sz w:val="32"/>
          <w:szCs w:val="32"/>
          <w14:textFill>
            <w14:solidFill>
              <w14:schemeClr w14:val="tx1"/>
            </w14:solidFill>
          </w14:textFill>
        </w:rPr>
        <w:t>坚定不移贯彻预防为主方针，坚持防治结合、联防联控、群防群控，建立稳定的公共卫生事业投入机制，加快理顺体制机制、完善基础设施、提升专业能力，</w:t>
      </w:r>
      <w:r>
        <w:rPr>
          <w:rFonts w:hint="eastAsia" w:ascii="Times New Roman" w:hAnsi="Times New Roman" w:eastAsia="仿宋_GB2312" w:cs="Times New Roman"/>
          <w:color w:val="000000" w:themeColor="text1"/>
          <w:sz w:val="32"/>
          <w:szCs w:val="32"/>
          <w14:textFill>
            <w14:solidFill>
              <w14:schemeClr w14:val="tx1"/>
            </w14:solidFill>
          </w14:textFill>
        </w:rPr>
        <w:t>完善</w:t>
      </w:r>
      <w:r>
        <w:rPr>
          <w:rFonts w:ascii="Times New Roman" w:hAnsi="Times New Roman" w:eastAsia="仿宋_GB2312" w:cs="Times New Roman"/>
          <w:color w:val="000000" w:themeColor="text1"/>
          <w:sz w:val="32"/>
          <w:szCs w:val="32"/>
          <w14:textFill>
            <w14:solidFill>
              <w14:schemeClr w14:val="tx1"/>
            </w14:solidFill>
          </w14:textFill>
        </w:rPr>
        <w:t>疾病预防控制体系改革，加强传染病疫情和突发公共卫生事件早期监测预警能力、快速检测能力、应急处置能力、综合救治能力。健全突发公共卫生事件应急指挥体系，建立平战结合的联防联控协调机制，健全应急医疗救援、传染病疫情防控、心理危机干预、核辐射和中毒处置等四类应急队伍</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建设重大疫情医疗救治体系，建立分层、分级、分流的传染病诊疗网络</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强艾滋病防治工作。坚持中西医并重和优势互补，建立符合中医药特点的服务体系、服务模式、人才培养模式。积极推进县域医共体建设，改善基层基础设施条件，落实乡村医生待遇，提高基层防病治病和健康管理的能力。全面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健康中国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行动，深入开展爱国卫生运动，完善国民健康促进政策，创新社会动员机制，健全健康教育制度，强化重点人群和重大疾病综合防控，从源头上预防和控制重大疾病，实现从以治病为中心转向以健康为中心。加快</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互联网+医疗健康</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发展。巩固国家卫生城市创建成果，创建全国健康城市。大力弘扬伟大抗疫精神，在全社会营造尊医重卫的良好风尚。</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保障食品药品安全。</w:t>
      </w:r>
      <w:r>
        <w:rPr>
          <w:rFonts w:ascii="Times New Roman" w:hAnsi="Times New Roman" w:eastAsia="仿宋_GB2312" w:cs="Times New Roman"/>
          <w:bCs/>
          <w:color w:val="000000" w:themeColor="text1"/>
          <w:sz w:val="32"/>
          <w:szCs w:val="32"/>
          <w14:textFill>
            <w14:solidFill>
              <w14:schemeClr w14:val="tx1"/>
            </w14:solidFill>
          </w14:textFill>
        </w:rPr>
        <w:t>加强食品安全监管。</w:t>
      </w:r>
      <w:r>
        <w:rPr>
          <w:rFonts w:hint="eastAsia" w:ascii="Times New Roman" w:hAnsi="Times New Roman" w:eastAsia="仿宋_GB2312" w:cs="Times New Roman"/>
          <w:bCs/>
          <w:color w:val="000000" w:themeColor="text1"/>
          <w:sz w:val="32"/>
          <w:szCs w:val="32"/>
          <w14:textFill>
            <w14:solidFill>
              <w14:schemeClr w14:val="tx1"/>
            </w14:solidFill>
          </w14:textFill>
        </w:rPr>
        <w:t>落</w:t>
      </w:r>
      <w:r>
        <w:rPr>
          <w:rFonts w:ascii="Times New Roman" w:hAnsi="Times New Roman" w:eastAsia="仿宋_GB2312" w:cs="Times New Roman"/>
          <w:bCs/>
          <w:color w:val="000000" w:themeColor="text1"/>
          <w:sz w:val="32"/>
          <w:szCs w:val="32"/>
          <w14:textFill>
            <w14:solidFill>
              <w14:schemeClr w14:val="tx1"/>
            </w14:solidFill>
          </w14:textFill>
        </w:rPr>
        <w:t>实生产经营者主体责任，实行食品安全风险分级管理</w:t>
      </w:r>
      <w:r>
        <w:rPr>
          <w:rFonts w:hint="eastAsia" w:ascii="Times New Roman" w:hAnsi="Times New Roman" w:eastAsia="仿宋_GB2312"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建立食品安全治理体系，强化食品安全标准实施，建立食品安全监管平台和追溯体系</w:t>
      </w:r>
      <w:r>
        <w:rPr>
          <w:rFonts w:hint="eastAsia" w:ascii="Times New Roman" w:hAnsi="Times New Roman" w:eastAsia="仿宋_GB2312"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加强重点领域监管，实施食品安全放心工程。保障用药安全。健全多部门协同的药品安全治理机制，完善药品安全标准体系和风险防控体系。加强对重点品种、重点环节、重点领域的检查核查，加强药品安全执法。规范药品市场秩序，建设药品安全诚信体系。</w:t>
      </w:r>
    </w:p>
    <w:tbl>
      <w:tblPr>
        <w:tblStyle w:val="14"/>
        <w:tblW w:w="5000" w:type="pct"/>
        <w:jc w:val="center"/>
        <w:tblLayout w:type="autofit"/>
        <w:tblCellMar>
          <w:top w:w="0" w:type="dxa"/>
          <w:left w:w="0" w:type="dxa"/>
          <w:bottom w:w="0" w:type="dxa"/>
          <w:right w:w="0" w:type="dxa"/>
        </w:tblCellMar>
      </w:tblPr>
      <w:tblGrid>
        <w:gridCol w:w="8868"/>
      </w:tblGrid>
      <w:tr>
        <w:trPr>
          <w:trHeight w:val="467" w:hRule="atLeast"/>
          <w:jc w:val="center"/>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专栏33：健康邵阳行动</w:t>
            </w:r>
          </w:p>
        </w:tc>
      </w:tr>
      <w:tr>
        <w:tblPrEx>
          <w:tblCellMar>
            <w:top w:w="0" w:type="dxa"/>
            <w:left w:w="0" w:type="dxa"/>
            <w:bottom w:w="0" w:type="dxa"/>
            <w:right w:w="0" w:type="dxa"/>
          </w:tblCellMar>
        </w:tblPrEx>
        <w:trPr>
          <w:trHeight w:val="90" w:hRule="atLeast"/>
          <w:jc w:val="center"/>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区域医疗中心建设工程：</w:t>
            </w:r>
            <w:r>
              <w:rPr>
                <w:rFonts w:ascii="Times New Roman" w:hAnsi="Times New Roman" w:eastAsia="宋体" w:cs="Times New Roman"/>
                <w:color w:val="000000" w:themeColor="text1"/>
                <w14:textFill>
                  <w14:solidFill>
                    <w14:schemeClr w14:val="tx1"/>
                  </w14:solidFill>
                </w14:textFill>
              </w:rPr>
              <w:t>加快推进邵阳市中医医院岐黄综合大楼建设、邵阳市妇女儿童医院建设、邵阳市肿瘤医院整合等项目实施，建</w:t>
            </w:r>
            <w:r>
              <w:rPr>
                <w:rFonts w:hint="eastAsia" w:ascii="Times New Roman" w:hAnsi="Times New Roman" w:eastAsia="宋体" w:cs="Times New Roman"/>
                <w:color w:val="000000" w:themeColor="text1"/>
                <w14:textFill>
                  <w14:solidFill>
                    <w14:schemeClr w14:val="tx1"/>
                  </w14:solidFill>
                </w14:textFill>
              </w:rPr>
              <w:t>设</w:t>
            </w:r>
            <w:r>
              <w:rPr>
                <w:rFonts w:ascii="Times New Roman" w:hAnsi="Times New Roman" w:eastAsia="宋体" w:cs="Times New Roman"/>
                <w:color w:val="000000" w:themeColor="text1"/>
                <w14:textFill>
                  <w14:solidFill>
                    <w14:schemeClr w14:val="tx1"/>
                  </w14:solidFill>
                </w14:textFill>
              </w:rPr>
              <w:t>区域医疗中心。</w:t>
            </w:r>
          </w:p>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市级医疗服务提升工程：</w:t>
            </w:r>
            <w:r>
              <w:rPr>
                <w:rFonts w:ascii="Times New Roman" w:hAnsi="Times New Roman" w:eastAsia="宋体" w:cs="Times New Roman"/>
                <w:color w:val="000000" w:themeColor="text1"/>
                <w14:textFill>
                  <w14:solidFill>
                    <w14:schemeClr w14:val="tx1"/>
                  </w14:solidFill>
                </w14:textFill>
              </w:rPr>
              <w:t>全力推进医疗保障市级统筹工作，推进邵阳市中西医结合医院医疗应急救治中心、邵阳市中心医院感染科大楼升级改造、邵阳市妇幼保健院改扩建、邵阳市第一人民医院医疗综合楼（含儿童医疗服务体系）等项目建设，实现市级医院达标。</w:t>
            </w:r>
          </w:p>
          <w:p>
            <w:pPr>
              <w:spacing w:before="0" w:after="0" w:line="540" w:lineRule="exact"/>
              <w:ind w:firstLine="562"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县级医疗服务提升工程：</w:t>
            </w:r>
            <w:r>
              <w:rPr>
                <w:rFonts w:ascii="Times New Roman" w:hAnsi="Times New Roman" w:eastAsia="宋体" w:cs="Times New Roman"/>
                <w:color w:val="000000" w:themeColor="text1"/>
                <w14:textFill>
                  <w14:solidFill>
                    <w14:schemeClr w14:val="tx1"/>
                  </w14:solidFill>
                </w14:textFill>
              </w:rPr>
              <w:t>推动县域医共体建设，构建整合型医疗卫生服务体系，新改扩建县（市）区人民医院、中医院、专科医院，实现</w:t>
            </w:r>
            <w:r>
              <w:rPr>
                <w:rFonts w:hint="eastAsia" w:ascii="Times New Roman" w:hAnsi="Times New Roman" w:eastAsia="宋体" w:cs="Times New Roman"/>
                <w:color w:val="000000" w:themeColor="text1"/>
                <w14:textFill>
                  <w14:solidFill>
                    <w14:schemeClr w14:val="tx1"/>
                  </w14:solidFill>
                </w14:textFill>
              </w:rPr>
              <w:t>县级</w:t>
            </w:r>
            <w:r>
              <w:rPr>
                <w:rFonts w:ascii="Times New Roman" w:hAnsi="Times New Roman" w:eastAsia="宋体" w:cs="Times New Roman"/>
                <w:color w:val="000000" w:themeColor="text1"/>
                <w14:textFill>
                  <w14:solidFill>
                    <w14:schemeClr w14:val="tx1"/>
                  </w14:solidFill>
                </w14:textFill>
              </w:rPr>
              <w:t>三级甲等以上综合医院及二级甲等以上中医医院</w:t>
            </w:r>
            <w:r>
              <w:rPr>
                <w:rFonts w:hint="eastAsia" w:ascii="Times New Roman" w:hAnsi="Times New Roman" w:eastAsia="宋体" w:cs="Times New Roman"/>
                <w:color w:val="000000" w:themeColor="text1"/>
                <w14:textFill>
                  <w14:solidFill>
                    <w14:schemeClr w14:val="tx1"/>
                  </w14:solidFill>
                </w14:textFill>
              </w:rPr>
              <w:t>“全覆盖”</w:t>
            </w:r>
            <w:r>
              <w:rPr>
                <w:rFonts w:ascii="Times New Roman" w:hAnsi="Times New Roman" w:eastAsia="宋体" w:cs="Times New Roman"/>
                <w:color w:val="000000" w:themeColor="text1"/>
                <w14:textFill>
                  <w14:solidFill>
                    <w14:schemeClr w14:val="tx1"/>
                  </w14:solidFill>
                </w14:textFill>
              </w:rPr>
              <w:t>。</w:t>
            </w:r>
          </w:p>
          <w:p>
            <w:pPr>
              <w:spacing w:before="0" w:after="0" w:line="54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基层医疗服务体系建设工程：</w:t>
            </w:r>
            <w:r>
              <w:rPr>
                <w:rFonts w:ascii="Times New Roman" w:hAnsi="Times New Roman" w:eastAsia="宋体" w:cs="Times New Roman"/>
                <w:color w:val="000000" w:themeColor="text1"/>
                <w14:textFill>
                  <w14:solidFill>
                    <w14:schemeClr w14:val="tx1"/>
                  </w14:solidFill>
                </w14:textFill>
              </w:rPr>
              <w:t>新改扩建一批乡镇卫生院（社区卫生服务中心）、村卫生室，全面完成乡镇卫生院和社区卫生服务机构标准化建设，推动构建城乡健康服务圈。</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2289" w:name="_Toc11247"/>
      <w:bookmarkStart w:id="2290" w:name="_Toc29171"/>
      <w:bookmarkStart w:id="2291" w:name="_Toc26391"/>
      <w:bookmarkStart w:id="2292" w:name="_Toc14967"/>
      <w:bookmarkStart w:id="2293" w:name="_Toc5879"/>
      <w:bookmarkStart w:id="2294" w:name="_Toc8851"/>
      <w:bookmarkStart w:id="2295" w:name="_Toc30975"/>
      <w:bookmarkStart w:id="2296" w:name="_Toc8015"/>
      <w:bookmarkStart w:id="2297" w:name="_Toc30963"/>
      <w:bookmarkStart w:id="2298" w:name="_Toc12908"/>
      <w:bookmarkStart w:id="2299" w:name="_Toc28661"/>
      <w:bookmarkStart w:id="2300" w:name="_Toc15297"/>
      <w:bookmarkStart w:id="2301" w:name="_Toc17575"/>
      <w:bookmarkStart w:id="2302" w:name="_Toc16741"/>
      <w:bookmarkStart w:id="2303" w:name="_Toc31488"/>
      <w:bookmarkStart w:id="2304" w:name="_Toc21883"/>
      <w:bookmarkStart w:id="2305" w:name="_Toc1868"/>
      <w:bookmarkStart w:id="2306" w:name="_Toc7209"/>
      <w:bookmarkStart w:id="2307" w:name="_Toc19273"/>
      <w:bookmarkStart w:id="2308" w:name="_Toc6202"/>
      <w:bookmarkStart w:id="2309" w:name="_Toc14860"/>
      <w:bookmarkStart w:id="2310" w:name="_Toc25019"/>
      <w:bookmarkStart w:id="2311" w:name="_Toc19124"/>
      <w:bookmarkStart w:id="2312" w:name="_Toc9826"/>
      <w:bookmarkStart w:id="2313" w:name="_Toc32374"/>
      <w:bookmarkStart w:id="2314" w:name="_Toc11300"/>
      <w:bookmarkStart w:id="2315" w:name="_Toc14553"/>
      <w:bookmarkStart w:id="2316" w:name="_Toc6947"/>
      <w:bookmarkStart w:id="2317" w:name="_Toc17803"/>
      <w:bookmarkStart w:id="2318" w:name="_Toc21642"/>
      <w:bookmarkStart w:id="2319" w:name="_Toc14840"/>
      <w:bookmarkStart w:id="2320" w:name="_Toc15013"/>
      <w:bookmarkStart w:id="2321" w:name="_Toc31033"/>
      <w:bookmarkStart w:id="2322" w:name="_Toc26746"/>
      <w:bookmarkStart w:id="2323" w:name="_Toc9707"/>
      <w:bookmarkStart w:id="2324" w:name="_Toc31498"/>
      <w:bookmarkStart w:id="2325" w:name="_Toc31429"/>
      <w:r>
        <w:rPr>
          <w:rFonts w:ascii="Times New Roman" w:hAnsi="Times New Roman" w:cs="Times New Roman"/>
          <w:color w:val="000000" w:themeColor="text1"/>
          <w:szCs w:val="32"/>
          <w14:textFill>
            <w14:solidFill>
              <w14:schemeClr w14:val="tx1"/>
            </w14:solidFill>
          </w14:textFill>
        </w:rPr>
        <w:t xml:space="preserve">第五节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促进人口均衡发展</w:t>
      </w:r>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贯彻落实人口国策，提高人口素质，优化人口结构，积极应对老龄化趋势，发展妇女儿童事业、关爱青少年成长和残疾人事业，促进人口长期均衡发展。</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强化人口工作。</w:t>
      </w:r>
      <w:r>
        <w:rPr>
          <w:rFonts w:ascii="Times New Roman" w:hAnsi="Times New Roman" w:eastAsia="仿宋_GB2312" w:cs="Times New Roman"/>
          <w:bCs/>
          <w:color w:val="000000" w:themeColor="text1"/>
          <w:sz w:val="32"/>
          <w:szCs w:val="32"/>
          <w14:textFill>
            <w14:solidFill>
              <w14:schemeClr w14:val="tx1"/>
            </w14:solidFill>
          </w14:textFill>
        </w:rPr>
        <w:t>全面落实</w:t>
      </w:r>
      <w:r>
        <w:rPr>
          <w:rFonts w:hint="eastAsia" w:ascii="Times New Roman" w:hAnsi="Times New Roman" w:eastAsia="仿宋_GB2312" w:cs="Times New Roman"/>
          <w:bCs/>
          <w:color w:val="000000" w:themeColor="text1"/>
          <w:sz w:val="32"/>
          <w:szCs w:val="32"/>
          <w14:textFill>
            <w14:solidFill>
              <w14:schemeClr w14:val="tx1"/>
            </w14:solidFill>
          </w14:textFill>
        </w:rPr>
        <w:t>国家生育</w:t>
      </w:r>
      <w:r>
        <w:rPr>
          <w:rFonts w:ascii="Times New Roman" w:hAnsi="Times New Roman" w:eastAsia="仿宋_GB2312" w:cs="Times New Roman"/>
          <w:bCs/>
          <w:color w:val="000000" w:themeColor="text1"/>
          <w:sz w:val="32"/>
          <w:szCs w:val="32"/>
          <w14:textFill>
            <w14:solidFill>
              <w14:schemeClr w14:val="tx1"/>
            </w14:solidFill>
          </w14:textFill>
        </w:rPr>
        <w:t>政策，大力发展普惠托育服务体系，提升生殖健康、妇幼保健、托管、教育等相关公共服务需求供给能力，降低供给成本，提高优生优育服务水平。</w:t>
      </w:r>
    </w:p>
    <w:p>
      <w:pPr>
        <w:spacing w:before="0" w:after="0" w:line="560" w:lineRule="exact"/>
        <w:ind w:firstLine="643" w:firstLineChars="200"/>
        <w:rPr>
          <w:rFonts w:ascii="仿宋" w:hAnsi="仿宋" w:eastAsia="仿宋_GB2312"/>
          <w:sz w:val="32"/>
          <w:szCs w:val="32"/>
        </w:rPr>
      </w:pPr>
      <w:r>
        <w:rPr>
          <w:rFonts w:hint="eastAsia" w:ascii="仿宋" w:hAnsi="仿宋" w:eastAsia="仿宋_GB2312"/>
          <w:b/>
          <w:bCs/>
          <w:sz w:val="32"/>
          <w:szCs w:val="32"/>
        </w:rPr>
        <w:t>发展妇女儿童事业。</w:t>
      </w:r>
      <w:r>
        <w:rPr>
          <w:rFonts w:hint="eastAsia" w:ascii="仿宋" w:hAnsi="仿宋" w:eastAsia="仿宋_GB2312"/>
          <w:sz w:val="32"/>
          <w:szCs w:val="32"/>
        </w:rPr>
        <w:t>贯彻落实男女平等基本国策，保障女性平等接受教育、平等参与经济社会发展的权利，全方位优化妇女发展环境。拓宽妇女就业渠道，消除就业性别歧视。落实妇女权益保障法，完善落实法规政策性别平等评估机制。建立妇女享有全生命周期健康的管理、服务和保障体系。执行城乡生育补贴制度，增强妇女生育保障能力，提升生育水平。贯彻落实儿童优先原则，建立和完善促进儿童优先发展和全面发展的制度体系，保障资源配置对儿童基本需求的高度优先。加强家庭、家教、家风建设。完善学校家庭社会协同育人机制，全面提升儿童综合素质。完善儿童监护和收养制度，健全基层儿童保护机制，加强留守儿童关爱服务，落实困境儿童保障制度。</w:t>
      </w:r>
      <w:r>
        <w:fldChar w:fldCharType="begin"/>
      </w:r>
      <w:r>
        <w:instrText xml:space="preserve"> HYPERLINK "javascript:;" \o "表情" </w:instrText>
      </w:r>
      <w:r>
        <w:fldChar w:fldCharType="separate"/>
      </w:r>
      <w:r>
        <w:fldChar w:fldCharType="end"/>
      </w:r>
      <w:r>
        <w:rPr>
          <w:rFonts w:hint="eastAsia" w:ascii="仿宋" w:hAnsi="仿宋" w:eastAsia="仿宋_GB2312"/>
          <w:sz w:val="32"/>
          <w:szCs w:val="32"/>
        </w:rPr>
        <w:t>优化儿童发展环境，提高城乡社区儿童之家建设水平。提升儿童营养及食品用品质量安全水平。</w:t>
      </w:r>
      <w:r>
        <w:rPr>
          <w:rFonts w:ascii="Times New Roman" w:hAnsi="Times New Roman" w:eastAsia="仿宋_GB2312" w:cs="Times New Roman"/>
          <w:color w:val="000000" w:themeColor="text1"/>
          <w:sz w:val="32"/>
          <w14:textFill>
            <w14:solidFill>
              <w14:schemeClr w14:val="tx1"/>
            </w14:solidFill>
          </w14:textFill>
        </w:rPr>
        <w:t>严厉打击拐卖妇女儿童、暴力侵害妇女、虐待儿童等违法行为。</w:t>
      </w:r>
    </w:p>
    <w:p>
      <w:pPr>
        <w:spacing w:line="568" w:lineRule="exact"/>
        <w:ind w:firstLine="643"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b/>
          <w:bCs/>
          <w:sz w:val="32"/>
          <w:szCs w:val="32"/>
          <w:shd w:val="clear" w:color="auto" w:fill="FFFFFF"/>
        </w:rPr>
        <w:t>关爱青少年健康成长。</w:t>
      </w:r>
      <w:r>
        <w:rPr>
          <w:rFonts w:hint="eastAsia" w:ascii="仿宋_GB2312" w:hAnsi="仿宋_GB2312" w:eastAsia="仿宋_GB2312" w:cs="仿宋_GB2312"/>
          <w:sz w:val="32"/>
          <w:szCs w:val="32"/>
          <w:shd w:val="clear" w:color="auto" w:fill="FFFFFF"/>
        </w:rPr>
        <w:t>营造良好成长环境，维护青少年发展权益，激发青少年活力和创造力。建立完善市县两级青年工作联席会议机制，尊重青年主体地位，活跃基层团组织，完善青年社会参与的基本组织依托，深化各类建功活动，树立先进典型，调动广大青年创新创业的积极性和主动性。加强青少年心理健康知识宣传普及，支持各级各类青少年专业心理辅导机构和社会组织建设，大力培养青少年心理辅导专业人才，常态化组织开展心理健康知识宣传教育志愿服务活动。联系、服务和引导青年社会组织，引领青年有序参与政治生活和社会公共事务。推荐优秀青年代表担任人民陪审员、人民监督员、人民调解员等，依法履行相关职责。常态化组织开展“共青团员与人大代表、政协委员面对面”活动。</w:t>
      </w:r>
      <w:r>
        <w:rPr>
          <w:rFonts w:ascii="Times New Roman" w:hAnsi="Times New Roman" w:eastAsia="仿宋_GB2312" w:cs="Times New Roman"/>
          <w:color w:val="000000" w:themeColor="text1"/>
          <w:sz w:val="32"/>
          <w14:textFill>
            <w14:solidFill>
              <w14:schemeClr w14:val="tx1"/>
            </w14:solidFill>
          </w14:textFill>
        </w:rPr>
        <w:t>统筹推进未成年人保护工作，建立未成年人保护响应机制，加强对流浪未成年人的救助保护，有效预防未成年人违法犯罪，严厉打击各种危害青少年身心健康的行为。</w:t>
      </w:r>
    </w:p>
    <w:p>
      <w:pPr>
        <w:widowControl w:val="0"/>
        <w:adjustRightInd/>
        <w:snapToGrid/>
        <w:spacing w:before="0" w:after="0" w:line="56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发展多层次养老服务体系。</w:t>
      </w:r>
      <w:r>
        <w:rPr>
          <w:rFonts w:ascii="Times New Roman" w:hAnsi="Times New Roman" w:eastAsia="仿宋_GB2312" w:cs="Times New Roman"/>
          <w:color w:val="000000" w:themeColor="text1"/>
          <w:sz w:val="32"/>
          <w:szCs w:val="32"/>
          <w14:textFill>
            <w14:solidFill>
              <w14:schemeClr w14:val="tx1"/>
            </w14:solidFill>
          </w14:textFill>
        </w:rPr>
        <w:t>大力发展养老家政服务，强化社区养老服务建设，全面放开养老服务市场，构建居家社区机构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三位一体</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养老服务体系，推动养老服务普惠、互助发展。进一步开发包括长期商业护理保险在内的多种老年护理保险产品，探索建立多层次长期照护保障体系。积极开发老龄人力资源，发展银发经济。推动养老综合服务业改革，大力促进服务社会化、医养融合发展。大力发展康养产业。到2025年，</w:t>
      </w:r>
      <w:r>
        <w:rPr>
          <w:rFonts w:hint="eastAsia" w:ascii="Times New Roman" w:hAnsi="Times New Roman" w:eastAsia="仿宋_GB2312" w:cs="Times New Roman"/>
          <w:color w:val="000000" w:themeColor="text1"/>
          <w:sz w:val="32"/>
          <w:szCs w:val="32"/>
          <w14:textFill>
            <w14:solidFill>
              <w14:schemeClr w14:val="tx1"/>
            </w14:solidFill>
          </w14:textFill>
        </w:rPr>
        <w:t>全市创建</w:t>
      </w:r>
      <w:r>
        <w:rPr>
          <w:rFonts w:ascii="Times New Roman" w:hAnsi="Times New Roman" w:eastAsia="仿宋_GB2312" w:cs="Times New Roman"/>
          <w:color w:val="000000" w:themeColor="text1"/>
          <w:sz w:val="32"/>
          <w:szCs w:val="32"/>
          <w14:textFill>
            <w14:solidFill>
              <w14:schemeClr w14:val="tx1"/>
            </w14:solidFill>
          </w14:textFill>
        </w:rPr>
        <w:t>3个国家级养老服务示范点</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每个县市区建成1个以上的养老服务信息平台。</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扩大养老服务有效供给。</w:t>
      </w:r>
      <w:r>
        <w:rPr>
          <w:rFonts w:ascii="Times New Roman" w:hAnsi="Times New Roman" w:eastAsia="仿宋_GB2312" w:cs="Times New Roman"/>
          <w:color w:val="000000" w:themeColor="text1"/>
          <w:sz w:val="32"/>
          <w:szCs w:val="32"/>
          <w14:textFill>
            <w14:solidFill>
              <w14:schemeClr w14:val="tx1"/>
            </w14:solidFill>
          </w14:textFill>
        </w:rPr>
        <w:t>对低收入的高龄、独居、失能等养老困难老年人统一发放基本养老服务补贴，并逐步提高标准。加强社区养老服务设施布局，推进新建居住区规划建设分布式、多功能、专业化的养老服务设施，推进建成区开辟养老服务设施，保障养老服务场地，完善村留守老人关爱服务机制，建设城乡养老服务中心、农村幸福院等养老服务机构。探索基于医养融合、康复疗养和休闲度假于一体的新型健康养老服务模式，通过政府购买服务、税费优惠、金融支持等方式，支持各类市场主体多渠道、多领域增加养老服务和产品供给。到2025年，城乡社区养老服务设施实现全覆盖，全面建成社区15分钟居家养老服务圈和养老紧急救援系统。</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完善残疾人帮扶体系。</w:t>
      </w:r>
      <w:r>
        <w:rPr>
          <w:rFonts w:ascii="Times New Roman" w:hAnsi="Times New Roman" w:eastAsia="仿宋_GB2312" w:cs="Times New Roman"/>
          <w:color w:val="000000" w:themeColor="text1"/>
          <w:sz w:val="32"/>
          <w:szCs w:val="32"/>
          <w14:textFill>
            <w14:solidFill>
              <w14:schemeClr w14:val="tx1"/>
            </w14:solidFill>
          </w14:textFill>
        </w:rPr>
        <w:t>加大残疾人社会救助力度，完善福利补贴及基本养老、医疗保险资助制度，实施困难残疾人生活补贴，完善重度残疾人护理补贴制度。建立健全残疾预防体系，全面提升残疾人教育水平，加强残疾人就业扶贫示范基地和残疾人职业技能培训机构建设，到2025年所有县（市）至少建有一所残疾人托养机构和残疾人辅助性就业机构。加快完善残疾人文化、体育服务设施。加强残疾人法律救助、法律服务和法律援助，维护残疾人合法权益诉求。加强残疾人人口基础信息、服务状况与需求数据等多项数据资源的应用，推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互联网+助残服务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模式的探索和建立。实施无障碍环境建设行动计划，着力提升残疾人康复、教育、服务设施、无障碍环境建设水平，创建全国无障碍示范城市。</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rPr>
          <w:trHeight w:val="617"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rPr>
                <w:rFonts w:ascii="Times New Roman" w:hAnsi="Times New Roman" w:cs="Times New Roman" w:eastAsiaTheme="minorEastAsia"/>
                <w:b/>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专栏34：基本民生保障行动</w:t>
            </w:r>
          </w:p>
        </w:tc>
      </w:tr>
      <w:tr>
        <w:tblPrEx>
          <w:tblCellMar>
            <w:top w:w="0" w:type="dxa"/>
            <w:left w:w="0" w:type="dxa"/>
            <w:bottom w:w="0" w:type="dxa"/>
            <w:right w:w="0" w:type="dxa"/>
          </w:tblCellMar>
        </w:tblPrEx>
        <w:trPr>
          <w:trHeight w:val="689"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基础社会福利设施建设工程。</w:t>
            </w:r>
            <w:r>
              <w:rPr>
                <w:rFonts w:ascii="Times New Roman" w:hAnsi="Times New Roman" w:eastAsia="宋体" w:cs="Times New Roman"/>
                <w:color w:val="000000" w:themeColor="text1"/>
                <w:szCs w:val="28"/>
                <w14:textFill>
                  <w14:solidFill>
                    <w14:schemeClr w14:val="tx1"/>
                  </w14:solidFill>
                </w14:textFill>
              </w:rPr>
              <w:t>建设市、县（市、区）未成年人救助保护综合平台，全面建成未成年人救助保护中心。巩固提升儿童之家覆盖面，到2025年，全市县级以上示范儿童之家占比达到60%以上。推进民政精神卫生福利机构在空白区域布点建设，</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十四五</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期间，新增600张精神卫生床位。</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残疾人服务体系建设工程。</w:t>
            </w:r>
            <w:r>
              <w:rPr>
                <w:rFonts w:ascii="Times New Roman" w:hAnsi="Times New Roman" w:eastAsia="宋体" w:cs="Times New Roman"/>
                <w:color w:val="000000" w:themeColor="text1"/>
                <w:szCs w:val="28"/>
                <w14:textFill>
                  <w14:solidFill>
                    <w14:schemeClr w14:val="tx1"/>
                  </w14:solidFill>
                </w14:textFill>
              </w:rPr>
              <w:t>实施康复托养设施、残疾人家庭无障碍改造、残疾人体育训练中心、盲人阅读室等项目建设。</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十四五</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期间，完成县以上残疾人综合服务设施无障碍改造，建设市县两级残疾人康复托养中心15个、市级无障碍社区50个。</w:t>
            </w:r>
          </w:p>
          <w:p>
            <w:pPr>
              <w:spacing w:before="0" w:after="0" w:line="540" w:lineRule="exact"/>
              <w:ind w:firstLine="562" w:firstLineChars="200"/>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养护体系建设工程。</w:t>
            </w:r>
            <w:r>
              <w:rPr>
                <w:rFonts w:ascii="Times New Roman" w:hAnsi="Times New Roman" w:eastAsia="宋体" w:cs="Times New Roman"/>
                <w:color w:val="000000" w:themeColor="text1"/>
                <w:szCs w:val="28"/>
                <w14:textFill>
                  <w14:solidFill>
                    <w14:schemeClr w14:val="tx1"/>
                  </w14:solidFill>
                </w14:textFill>
              </w:rPr>
              <w:t>完善养老服务设施建设，养老服务网络基本覆盖所有老年人。到2025年，全面建成以居家为基础、社区为依托、机构为补充、医养相结合的社会养老服务体系。</w:t>
            </w:r>
          </w:p>
          <w:p>
            <w:pPr>
              <w:spacing w:before="0" w:after="0" w:line="540" w:lineRule="exact"/>
              <w:ind w:firstLine="562" w:firstLineChars="200"/>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医养结合体系建设工程。</w:t>
            </w:r>
            <w:r>
              <w:rPr>
                <w:rFonts w:ascii="Times New Roman" w:hAnsi="Times New Roman" w:eastAsia="宋体" w:cs="Times New Roman"/>
                <w:color w:val="000000" w:themeColor="text1"/>
                <w:szCs w:val="28"/>
                <w14:textFill>
                  <w14:solidFill>
                    <w14:schemeClr w14:val="tx1"/>
                  </w14:solidFill>
                </w14:textFill>
              </w:rPr>
              <w:t>以政府举办的基层医疗机构为主体，开展家庭型医养护一体化服务；以社区居家养老日间照料中心为主体，开展日托型医养护一体化服务；以各类养老、护理机构为主体，开展机构型医养护一体化服务；大力发展康养产业，加快推进邵阳魏源康养产业园、大祥区健康养生产业园、邵阳全龄康养智慧城、新邵好普盛禾康养基地以及武冈市、城步苗族自治县、绥宁县、新宁县、洞口县森林康养基地建设。</w:t>
            </w:r>
          </w:p>
        </w:tc>
      </w:tr>
    </w:tbl>
    <w:p>
      <w:pPr>
        <w:spacing w:before="0" w:after="0" w:line="579" w:lineRule="exact"/>
        <w:ind w:firstLine="560" w:firstLineChars="200"/>
        <w:rPr>
          <w:rFonts w:ascii="Times New Roman" w:hAnsi="Times New Roman" w:cs="Times New Roman"/>
          <w:color w:val="000000" w:themeColor="text1"/>
          <w14:textFill>
            <w14:solidFill>
              <w14:schemeClr w14:val="tx1"/>
            </w14:solidFill>
          </w14:textFill>
        </w:rPr>
      </w:pPr>
      <w:bookmarkStart w:id="2326" w:name="_Toc9664"/>
      <w:bookmarkStart w:id="2327" w:name="_Toc1023"/>
      <w:r>
        <w:rPr>
          <w:rFonts w:ascii="Times New Roman" w:hAnsi="Times New Roman" w:cs="Times New Roman"/>
          <w:color w:val="000000" w:themeColor="text1"/>
          <w14:textFill>
            <w14:solidFill>
              <w14:schemeClr w14:val="tx1"/>
            </w14:solidFill>
          </w14:textFill>
        </w:rPr>
        <w:br w:type="page"/>
      </w:r>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2328" w:name="_Toc6499"/>
      <w:bookmarkStart w:id="2329" w:name="_Toc17057"/>
      <w:bookmarkStart w:id="2330" w:name="_Toc19125"/>
      <w:bookmarkStart w:id="2331" w:name="_Toc23377"/>
      <w:bookmarkStart w:id="2332" w:name="_Toc31194"/>
      <w:bookmarkStart w:id="2333" w:name="_Toc26379"/>
      <w:bookmarkStart w:id="2334" w:name="_Toc15044"/>
      <w:bookmarkStart w:id="2335" w:name="_Toc15552"/>
      <w:bookmarkStart w:id="2336" w:name="_Toc5229"/>
      <w:bookmarkStart w:id="2337" w:name="_Toc12110"/>
      <w:bookmarkStart w:id="2338" w:name="_Toc15992"/>
      <w:bookmarkStart w:id="2339" w:name="_Toc4613"/>
      <w:bookmarkStart w:id="2340" w:name="_Toc3430"/>
      <w:bookmarkStart w:id="2341" w:name="_Toc28340"/>
      <w:bookmarkStart w:id="2342" w:name="_Toc31506"/>
      <w:bookmarkStart w:id="2343" w:name="_Toc932"/>
      <w:bookmarkStart w:id="2344" w:name="_Toc21727"/>
      <w:bookmarkStart w:id="2345" w:name="_Toc10912"/>
      <w:bookmarkStart w:id="2346" w:name="_Toc24914"/>
      <w:bookmarkStart w:id="2347" w:name="_Toc6020"/>
      <w:bookmarkStart w:id="2348" w:name="_Toc1866"/>
      <w:bookmarkStart w:id="2349" w:name="_Toc1043"/>
      <w:bookmarkStart w:id="2350" w:name="_Toc19011"/>
      <w:bookmarkStart w:id="2351" w:name="_Toc22885"/>
      <w:bookmarkStart w:id="2352" w:name="_Toc5562"/>
      <w:bookmarkStart w:id="2353" w:name="_Toc15414"/>
      <w:bookmarkStart w:id="2354" w:name="_Toc29771"/>
      <w:bookmarkStart w:id="2355" w:name="_Toc9668"/>
      <w:bookmarkStart w:id="2356" w:name="_Toc21692"/>
      <w:bookmarkStart w:id="2357" w:name="_Toc8293"/>
      <w:bookmarkStart w:id="2358" w:name="_Toc13851"/>
      <w:bookmarkStart w:id="2359" w:name="_Toc6562"/>
      <w:bookmarkStart w:id="2360" w:name="_Toc11996"/>
      <w:bookmarkStart w:id="2361" w:name="_Toc28214"/>
      <w:bookmarkStart w:id="2362" w:name="_Toc10431"/>
      <w:bookmarkStart w:id="2363" w:name="_Toc27000"/>
      <w:bookmarkStart w:id="2364" w:name="_Toc28477"/>
      <w:r>
        <w:rPr>
          <w:rFonts w:ascii="Times New Roman" w:hAnsi="Times New Roman" w:cs="Times New Roman"/>
          <w:color w:val="000000" w:themeColor="text1"/>
          <w14:textFill>
            <w14:solidFill>
              <w14:schemeClr w14:val="tx1"/>
            </w14:solidFill>
          </w14:textFill>
        </w:rPr>
        <w:t>第十三章 坚定文化自信 打造湘中湘西南文化体育中心</w:t>
      </w:r>
      <w:bookmarkEnd w:id="2326"/>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16"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6"/>
          <w:sz w:val="32"/>
          <w:szCs w:val="32"/>
          <w14:textFill>
            <w14:solidFill>
              <w14:schemeClr w14:val="tx1"/>
            </w14:solidFill>
          </w14:textFill>
        </w:rPr>
        <w:t>坚定文化自信，围绕举旗帜、聚民心、育新人、兴文化、展形象的使命任务，推动中华优秀传统文化创造性转化、创新性发展，继承革命文化，发展社会主义先进文化，不断铸就中华文化新辉煌，打造湘中湘西南文化体育中心，建设文化强市。</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365" w:name="_Toc12402"/>
      <w:bookmarkStart w:id="2366" w:name="_Toc19103"/>
      <w:bookmarkStart w:id="2367" w:name="_Toc10055"/>
      <w:bookmarkStart w:id="2368" w:name="_Toc31763"/>
      <w:bookmarkStart w:id="2369" w:name="_Toc728"/>
      <w:bookmarkStart w:id="2370" w:name="_Toc4560"/>
      <w:bookmarkStart w:id="2371" w:name="_Toc25249"/>
      <w:bookmarkStart w:id="2372" w:name="_Toc12104"/>
      <w:bookmarkStart w:id="2373" w:name="_Toc8849"/>
      <w:bookmarkStart w:id="2374" w:name="_Toc11141"/>
      <w:bookmarkStart w:id="2375" w:name="_Toc4569"/>
      <w:bookmarkStart w:id="2376" w:name="_Toc32060"/>
      <w:bookmarkStart w:id="2377" w:name="_Toc21049"/>
      <w:bookmarkStart w:id="2378" w:name="_Toc20569"/>
      <w:bookmarkStart w:id="2379" w:name="_Toc13410"/>
      <w:bookmarkStart w:id="2380" w:name="_Toc55390979"/>
      <w:bookmarkStart w:id="2381" w:name="_Toc31603"/>
      <w:bookmarkStart w:id="2382" w:name="_Toc5915"/>
      <w:bookmarkStart w:id="2383" w:name="_Toc4874"/>
      <w:bookmarkStart w:id="2384" w:name="_Toc23729"/>
      <w:bookmarkStart w:id="2385" w:name="_Toc21398"/>
      <w:bookmarkStart w:id="2386" w:name="_Toc32115"/>
      <w:bookmarkStart w:id="2387" w:name="_Toc25844"/>
      <w:bookmarkStart w:id="2388" w:name="_Toc2840"/>
      <w:bookmarkStart w:id="2389" w:name="_Toc26309"/>
      <w:bookmarkStart w:id="2390" w:name="_Toc24861"/>
      <w:bookmarkStart w:id="2391" w:name="_Toc26219"/>
      <w:bookmarkStart w:id="2392" w:name="_Toc11461"/>
      <w:bookmarkStart w:id="2393" w:name="_Toc9320"/>
      <w:bookmarkStart w:id="2394" w:name="_Toc15368"/>
      <w:bookmarkStart w:id="2395" w:name="_Toc14273"/>
      <w:bookmarkStart w:id="2396" w:name="_Toc6462"/>
      <w:bookmarkStart w:id="2397" w:name="_Toc27936"/>
      <w:bookmarkStart w:id="2398" w:name="_Toc24487"/>
      <w:bookmarkStart w:id="2399" w:name="_Toc26427"/>
      <w:bookmarkStart w:id="2400" w:name="_Toc28604"/>
      <w:bookmarkStart w:id="2401" w:name="_Toc27258"/>
      <w:bookmarkStart w:id="2402" w:name="_Toc10030"/>
      <w:bookmarkStart w:id="2403" w:name="_Toc9973"/>
      <w:r>
        <w:rPr>
          <w:rFonts w:ascii="Times New Roman" w:hAnsi="Times New Roman" w:cs="Times New Roman"/>
          <w:color w:val="000000" w:themeColor="text1"/>
          <w:szCs w:val="32"/>
          <w14:textFill>
            <w14:solidFill>
              <w14:schemeClr w14:val="tx1"/>
            </w14:solidFill>
          </w14:textFill>
        </w:rPr>
        <w:t>第一节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弘扬社会主义核心价值观</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坚持用社会主义核心价值体系引领社会思潮，形成共同理想信念、强大精神力量、基本道德规范。</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提高社会文明程度。</w:t>
      </w:r>
      <w:r>
        <w:rPr>
          <w:rFonts w:ascii="Times New Roman" w:hAnsi="Times New Roman" w:eastAsia="仿宋_GB2312" w:cs="Times New Roman"/>
          <w:color w:val="000000" w:themeColor="text1"/>
          <w:sz w:val="32"/>
          <w:szCs w:val="32"/>
          <w14:textFill>
            <w14:solidFill>
              <w14:schemeClr w14:val="tx1"/>
            </w14:solidFill>
          </w14:textFill>
        </w:rPr>
        <w:t>推动形成适应新时代要求的思想观念、精神面貌、文明风尚、行为规范。深入开展习近平新时代中国特色社会主义思想学习教育，推进马克思主义理论研究和建设工程。推动理想信念教育常态化制度化，加强党史、新中国史、改革开放史、社会主义发展史教育，加强爱国主义、集体主义、社会主义教育，弘扬党和人民在各个历史时期奋斗中形成的伟大精神。完善志愿服务体系，广</w:t>
      </w:r>
      <w:r>
        <w:rPr>
          <w:rFonts w:ascii="Times New Roman" w:hAnsi="Times New Roman" w:eastAsia="仿宋_GB2312" w:cs="Times New Roman"/>
          <w:color w:val="000000" w:themeColor="text1"/>
          <w:spacing w:val="-2"/>
          <w:sz w:val="32"/>
          <w:szCs w:val="32"/>
          <w14:textFill>
            <w14:solidFill>
              <w14:schemeClr w14:val="tx1"/>
            </w14:solidFill>
          </w14:textFill>
        </w:rPr>
        <w:t>泛开展志愿服务关爱行动</w:t>
      </w:r>
      <w:r>
        <w:rPr>
          <w:rFonts w:ascii="Times New Roman" w:hAnsi="Times New Roman" w:eastAsia="仿宋_GB2312" w:cs="Times New Roman"/>
          <w:color w:val="000000" w:themeColor="text1"/>
          <w:sz w:val="32"/>
          <w:szCs w:val="32"/>
          <w14:textFill>
            <w14:solidFill>
              <w14:schemeClr w14:val="tx1"/>
            </w14:solidFill>
          </w14:textFill>
        </w:rPr>
        <w:t>，开展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学雷锋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志愿服务活动。</w:t>
      </w:r>
      <w:r>
        <w:rPr>
          <w:rFonts w:hint="eastAsia" w:ascii="Times New Roman" w:hAnsi="Times New Roman" w:eastAsia="仿宋_GB2312" w:cs="Times New Roman"/>
          <w:color w:val="000000" w:themeColor="text1"/>
          <w:sz w:val="32"/>
          <w:szCs w:val="32"/>
          <w14:textFill>
            <w14:solidFill>
              <w14:schemeClr w14:val="tx1"/>
            </w14:solidFill>
          </w14:textFill>
        </w:rPr>
        <w:t>深入推进未成年人思想道德建设工作，争创全国未成年人思想道德建设先进城市。</w:t>
      </w:r>
      <w:r>
        <w:rPr>
          <w:rFonts w:ascii="Times New Roman" w:hAnsi="Times New Roman" w:eastAsia="仿宋_GB2312" w:cs="Times New Roman"/>
          <w:color w:val="000000" w:themeColor="text1"/>
          <w:sz w:val="32"/>
          <w:szCs w:val="32"/>
          <w14:textFill>
            <w14:solidFill>
              <w14:schemeClr w14:val="tx1"/>
            </w14:solidFill>
          </w14:textFill>
        </w:rPr>
        <w:t>弘扬诚信文化，推进诚信建设。提倡艰苦奋斗、勤俭节约，开展以劳动创造幸福为主题的宣传教育。深化拓展新时代群众性精神文明创建活动，推进新时代文明实践中心、站、所建设。推进全国文明城市创建，拓展文明县城、文明村镇、文明单位、文明校园、文明家庭创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期间，成功创建全国文明城市，成功创建全国文明城市，</w:t>
      </w:r>
      <w:r>
        <w:rPr>
          <w:rFonts w:hint="eastAsia" w:ascii="Times New Roman" w:hAnsi="Times New Roman" w:eastAsia="仿宋_GB2312" w:cs="Times New Roman"/>
          <w:color w:val="000000" w:themeColor="text1"/>
          <w:sz w:val="32"/>
          <w:szCs w:val="32"/>
          <w14:textFill>
            <w14:solidFill>
              <w14:schemeClr w14:val="tx1"/>
            </w14:solidFill>
          </w14:textFill>
        </w:rPr>
        <w:t>力争实现县级以上文明村和文明乡镇占比分别达到60%、75%</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传承红色基因。</w:t>
      </w:r>
      <w:r>
        <w:rPr>
          <w:rFonts w:ascii="Times New Roman" w:hAnsi="Times New Roman" w:eastAsia="仿宋_GB2312" w:cs="Times New Roman"/>
          <w:color w:val="000000" w:themeColor="text1"/>
          <w:sz w:val="32"/>
          <w:szCs w:val="32"/>
          <w14:textFill>
            <w14:solidFill>
              <w14:schemeClr w14:val="tx1"/>
            </w14:solidFill>
          </w14:textFill>
        </w:rPr>
        <w:t>深入挖掘好、利用好邵阳丰富的红色文化资源，提炼和培育弘扬以湖湘优秀传统文化为底蕴、以现代文明素质为特征、以社会主义核心价值体系为灵魂的邵阳精神。加强爱国主义教育基地建设和革命文物保护，传承毛泽东等老一辈无产阶级革命家的崇高思想和伟大品格，实施革命名人、文化名人、历史名人故居及纪念设施保护展示工程，</w:t>
      </w:r>
      <w:r>
        <w:rPr>
          <w:rFonts w:hint="eastAsia" w:ascii="Times New Roman" w:hAnsi="Times New Roman" w:eastAsia="仿宋_GB2312" w:cs="Times New Roman"/>
          <w:color w:val="000000" w:themeColor="text1"/>
          <w:sz w:val="32"/>
          <w:szCs w:val="32"/>
          <w14:textFill>
            <w14:solidFill>
              <w14:schemeClr w14:val="tx1"/>
            </w14:solidFill>
          </w14:textFill>
        </w:rPr>
        <w:t>推进长征国家公园（邵阳段）建设，</w:t>
      </w:r>
      <w:r>
        <w:rPr>
          <w:rFonts w:ascii="Times New Roman" w:hAnsi="Times New Roman" w:eastAsia="仿宋_GB2312" w:cs="Times New Roman"/>
          <w:color w:val="000000" w:themeColor="text1"/>
          <w:sz w:val="32"/>
          <w:szCs w:val="32"/>
          <w14:textFill>
            <w14:solidFill>
              <w14:schemeClr w14:val="tx1"/>
            </w14:solidFill>
          </w14:textFill>
        </w:rPr>
        <w:t>建好邵阳市党史陈列馆、黄埔军校第二分校旧址。建立市级爱国主义教育基地免费开放补贴机制和从业人员培训机制。发挥先进模范在弘扬邵阳精神中的示范引领作用。发挥党史资政育人红色资源的教育引导功能，广泛开展读红色经典、唱红色歌曲、讲红色故事、看红色影视、游红色景点活动，办好湖南（邵阳）红色旅游文化节。到2025年，争取建成3个全国爱国主义教育示范基地。</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404" w:name="_Toc23828"/>
      <w:bookmarkStart w:id="2405" w:name="_Toc55390980"/>
      <w:bookmarkStart w:id="2406" w:name="_Toc22478"/>
      <w:bookmarkStart w:id="2407" w:name="_Toc21013"/>
      <w:bookmarkStart w:id="2408" w:name="_Toc29097"/>
      <w:bookmarkStart w:id="2409" w:name="_Toc28584"/>
      <w:bookmarkStart w:id="2410" w:name="_Toc25793"/>
      <w:bookmarkStart w:id="2411" w:name="_Toc23809"/>
      <w:bookmarkStart w:id="2412" w:name="_Toc27647"/>
      <w:bookmarkStart w:id="2413" w:name="_Toc25819"/>
      <w:bookmarkStart w:id="2414" w:name="_Toc29545"/>
      <w:bookmarkStart w:id="2415" w:name="_Toc8294"/>
      <w:bookmarkStart w:id="2416" w:name="_Toc19777"/>
      <w:bookmarkStart w:id="2417" w:name="_Toc4061"/>
      <w:bookmarkStart w:id="2418" w:name="_Toc16102"/>
      <w:bookmarkStart w:id="2419" w:name="_Toc25564"/>
      <w:bookmarkStart w:id="2420" w:name="_Toc25474"/>
      <w:bookmarkStart w:id="2421" w:name="_Toc8065"/>
      <w:bookmarkStart w:id="2422" w:name="_Toc21983"/>
      <w:bookmarkStart w:id="2423" w:name="_Toc20326"/>
      <w:bookmarkStart w:id="2424" w:name="_Toc13938"/>
      <w:bookmarkStart w:id="2425" w:name="_Toc7597"/>
      <w:bookmarkStart w:id="2426" w:name="_Toc13617"/>
      <w:bookmarkStart w:id="2427" w:name="_Toc23045"/>
      <w:bookmarkStart w:id="2428" w:name="_Toc14951"/>
      <w:bookmarkStart w:id="2429" w:name="_Toc15559"/>
      <w:bookmarkStart w:id="2430" w:name="_Toc1256"/>
      <w:bookmarkStart w:id="2431" w:name="_Toc28859"/>
      <w:bookmarkStart w:id="2432" w:name="_Toc29301"/>
      <w:bookmarkStart w:id="2433" w:name="_Toc14508"/>
      <w:bookmarkStart w:id="2434" w:name="_Toc14745"/>
      <w:bookmarkStart w:id="2435" w:name="_Toc8862"/>
      <w:bookmarkStart w:id="2436" w:name="_Toc9162"/>
      <w:bookmarkStart w:id="2437" w:name="_Toc28750"/>
      <w:bookmarkStart w:id="2438" w:name="_Toc6510"/>
      <w:bookmarkStart w:id="2439" w:name="_Toc15684"/>
      <w:bookmarkStart w:id="2440" w:name="_Toc32764"/>
      <w:bookmarkStart w:id="2441" w:name="_Toc12605"/>
      <w:bookmarkStart w:id="2442" w:name="_Toc18197"/>
      <w:r>
        <w:rPr>
          <w:rFonts w:ascii="Times New Roman" w:hAnsi="Times New Roman" w:cs="Times New Roman"/>
          <w:color w:val="000000" w:themeColor="text1"/>
          <w:szCs w:val="32"/>
          <w14:textFill>
            <w14:solidFill>
              <w14:schemeClr w14:val="tx1"/>
            </w14:solidFill>
          </w14:textFill>
        </w:rPr>
        <w:t xml:space="preserve">第二节 </w:t>
      </w:r>
      <w:bookmarkEnd w:id="2404"/>
      <w:bookmarkEnd w:id="2405"/>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繁荣公共文化事业</w:t>
      </w:r>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发挥邵阳文蕴深、文脉广、文气足的优势，坚持政府主导，全面建成设施先进、功能健全、运行高效、惠及全市人民的公共文化服务体系，推动公益性文化事业发展迈入快车道，提升人民文化生活幸福指数。</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构建公共文化服务体系。</w:t>
      </w:r>
      <w:r>
        <w:rPr>
          <w:rFonts w:ascii="Times New Roman" w:hAnsi="Times New Roman" w:eastAsia="仿宋_GB2312" w:cs="Times New Roman"/>
          <w:color w:val="000000" w:themeColor="text1"/>
          <w:sz w:val="32"/>
          <w:szCs w:val="32"/>
          <w14:textFill>
            <w14:solidFill>
              <w14:schemeClr w14:val="tx1"/>
            </w14:solidFill>
          </w14:textFill>
        </w:rPr>
        <w:t>加强文化基础设施建设，重点建设一批与邵阳城市个性相匹配，体现城市特色和时代精神的重大标志性功能文化设施。完善基本公共文化服务网络，在主城区、中心镇和特色镇、一般乡镇分别建成10分钟、15 分钟和30分钟公共文化服务圈。</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深化优秀传统文化传承。</w:t>
      </w:r>
      <w:r>
        <w:rPr>
          <w:rFonts w:ascii="Times New Roman" w:hAnsi="Times New Roman" w:eastAsia="仿宋_GB2312" w:cs="Times New Roman"/>
          <w:color w:val="000000" w:themeColor="text1"/>
          <w:sz w:val="32"/>
          <w:szCs w:val="32"/>
          <w14:textFill>
            <w14:solidFill>
              <w14:schemeClr w14:val="tx1"/>
            </w14:solidFill>
          </w14:textFill>
        </w:rPr>
        <w:t>支持武冈创建国家历史文化名城，突出红色旅游资源开发。稳步实施文物保护利用改革，统筹推进文物保护利用传承，加强文物价值的挖掘阐释传播，推动将文物保护规划纳入城乡空间发展规划，确保文物安全。持续推进绥宁侗族村寨申遗。实施非遗人才研培计划，持续开展非遗数字化记录、整体性保护。积极推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非遗+乡村振兴</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，新建一批非遗就业车间、就业工坊。推动文化遗产保护利用与旅游发展相结合，让邵阳优秀传统文化有更多的传承载体、传播渠道和传习人群。</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丰富基层群众精神文化生活。</w:t>
      </w:r>
      <w:r>
        <w:rPr>
          <w:rFonts w:ascii="Times New Roman" w:hAnsi="Times New Roman" w:eastAsia="仿宋_GB2312" w:cs="Times New Roman"/>
          <w:color w:val="000000" w:themeColor="text1"/>
          <w:sz w:val="32"/>
          <w:szCs w:val="32"/>
          <w14:textFill>
            <w14:solidFill>
              <w14:schemeClr w14:val="tx1"/>
            </w14:solidFill>
          </w14:textFill>
        </w:rPr>
        <w:t>合理配置城乡文化资源，实施以城带乡的文化帮扶计划。鼓励其他国有文化单位、教育机构等开展公益性文化活动，各类公共文化场所要为群众性文化活动提供便利。尽快把农民工纳入城市公共文化服务体系。扶持文化企业以连锁方式加强基层和农村文化网点建设，推动电影院线、演出院线向市县延伸，支持演艺团体深入基层和农村演出。加大政府购买力度，开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宝庆群艺汇</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周末剧场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送戏下乡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等惠民活动，不断丰富人民群众精神文化生活。在城市开展广场文化，在农村开展墟场文化，办好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三湘读书月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三下乡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四进社区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高雅艺术普及推广</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公共大戏台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等群众性文化活动。加大文化服务网络建设向革命老区、民族地区、欠发达地区的倾斜力度。</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构建现代传播体系。</w:t>
      </w:r>
      <w:r>
        <w:rPr>
          <w:rFonts w:ascii="Times New Roman" w:hAnsi="Times New Roman" w:eastAsia="仿宋_GB2312" w:cs="Times New Roman"/>
          <w:color w:val="000000" w:themeColor="text1"/>
          <w:sz w:val="32"/>
          <w:szCs w:val="32"/>
          <w14:textFill>
            <w14:solidFill>
              <w14:schemeClr w14:val="tx1"/>
            </w14:solidFill>
          </w14:textFill>
        </w:rPr>
        <w:t>以党报党刊、电台电视台、重点新闻网站为主，加快构建技术先进、传输快捷、覆盖广泛的现代传播体系，提高新闻信息原创率、首发率、落地率。全面推动县市区融媒体中心和直播卫星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户户通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建设。支持邵阳广电集团进一步做大做强，推动新媒体聚集。加快广播电视技术数字交互高清化改造，建设地面数字电视覆盖网和现代安全播出管理体系。利用有线广播电视网传输文化信息共享资源。建立应急广播体系，在边远山区推进应急大喇叭工程。加快推进红网市县分站群、手机报群和掌上红网建设，建设华声在线户外新媒体。大力整合全市有线电视网络，形成全市贯通一张网。</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完善引导评价体系。</w:t>
      </w:r>
      <w:r>
        <w:rPr>
          <w:rFonts w:ascii="Times New Roman" w:hAnsi="Times New Roman" w:eastAsia="仿宋_GB2312" w:cs="Times New Roman"/>
          <w:color w:val="000000" w:themeColor="text1"/>
          <w:sz w:val="32"/>
          <w:szCs w:val="32"/>
          <w14:textFill>
            <w14:solidFill>
              <w14:schemeClr w14:val="tx1"/>
            </w14:solidFill>
          </w14:textFill>
        </w:rPr>
        <w:t>贯彻</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方向、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方针，引导文化工作者坚持社会主义先进文化前进方向，贴近实际、贴近生活、贴近群众，以人民群众满意为最高评价标准，着力创作生产优秀作品。建立公开公平公正的引导评奖机制，继续开展精神文明建设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五个一工程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奖、市社会科学奖、邵阳新闻奖、邵阳出版政府奖等评选，设立邵阳文学艺术奖。加强文艺评论工作，加大优秀作品推介力度，发扬学术民主、艺术民主，营造积极健康、宽松和谐氛围。</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推动文化精品创作。</w:t>
      </w:r>
      <w:r>
        <w:rPr>
          <w:rFonts w:ascii="Times New Roman" w:hAnsi="Times New Roman" w:eastAsia="仿宋_GB2312" w:cs="Times New Roman"/>
          <w:color w:val="000000" w:themeColor="text1"/>
          <w:sz w:val="32"/>
          <w:szCs w:val="32"/>
          <w14:textFill>
            <w14:solidFill>
              <w14:schemeClr w14:val="tx1"/>
            </w14:solidFill>
          </w14:textFill>
        </w:rPr>
        <w:t>坚持以人民为中心的创作导向，聚焦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四个讴歌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，围绕重要时间节点和重大事件，以本土文化特色为龙头，挖掘贺绿汀等本土人物为背景，新创作1-2个大戏，复排5-8个传统大戏，新创3-5个小戏小品，恢复排练10个左右折子戏。力争打造2-3个艺术精品参加</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五个一工程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文华奖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群星奖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评选，争取成功申报2项国家艺术基金，结合文旅融合发展，创作2-3台旅游实景演出。</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发展健康向上网络文化。</w:t>
      </w:r>
      <w:r>
        <w:rPr>
          <w:rFonts w:ascii="Times New Roman" w:hAnsi="Times New Roman" w:eastAsia="仿宋_GB2312" w:cs="Times New Roman"/>
          <w:color w:val="000000" w:themeColor="text1"/>
          <w:sz w:val="32"/>
          <w:szCs w:val="32"/>
          <w14:textFill>
            <w14:solidFill>
              <w14:schemeClr w14:val="tx1"/>
            </w14:solidFill>
          </w14:textFill>
        </w:rPr>
        <w:t>坚持积极利用、科学发展、依法管理、确保安全的方针，推动互联网科学、健康、有序发展。加强红网、华声在线、星辰在线、邵阳新闻网等重点新闻网站建设，建好未成年人网、爱国主义教育基地网等主题网站。制作适合互联网和手机等新兴媒体传播的优秀作品，鼓励网民创作格调健康的文化作品。</w:t>
      </w:r>
    </w:p>
    <w:tbl>
      <w:tblPr>
        <w:tblStyle w:val="14"/>
        <w:tblW w:w="5000" w:type="pct"/>
        <w:tblInd w:w="0" w:type="dxa"/>
        <w:tblLayout w:type="autofit"/>
        <w:tblCellMar>
          <w:top w:w="0" w:type="dxa"/>
          <w:left w:w="0" w:type="dxa"/>
          <w:bottom w:w="0" w:type="dxa"/>
          <w:right w:w="0" w:type="dxa"/>
        </w:tblCellMar>
      </w:tblPr>
      <w:tblGrid>
        <w:gridCol w:w="8868"/>
      </w:tblGrid>
      <w:tr>
        <w:trPr>
          <w:trHeight w:val="800"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专栏35：公共文化保护与传承行动</w:t>
            </w:r>
          </w:p>
        </w:tc>
      </w:tr>
      <w:tr>
        <w:tblPrEx>
          <w:tblCellMar>
            <w:top w:w="0" w:type="dxa"/>
            <w:left w:w="0" w:type="dxa"/>
            <w:bottom w:w="0" w:type="dxa"/>
            <w:right w:w="0" w:type="dxa"/>
          </w:tblCellMar>
        </w:tblPrEx>
        <w:trPr>
          <w:trHeight w:val="904" w:hRule="atLeast"/>
        </w:trP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非遗传承和保护工程：</w:t>
            </w:r>
            <w:r>
              <w:rPr>
                <w:rFonts w:ascii="Times New Roman" w:hAnsi="Times New Roman" w:eastAsia="宋体" w:cs="Times New Roman"/>
                <w:bCs/>
                <w:color w:val="000000" w:themeColor="text1"/>
                <w:szCs w:val="28"/>
                <w14:textFill>
                  <w14:solidFill>
                    <w14:schemeClr w14:val="tx1"/>
                  </w14:solidFill>
                </w14:textFill>
              </w:rPr>
              <w:t>推进非遗传承中心、国家非物质文化遗产—岩鹰拳研究传承中心、中国丹霞世界自然遗产保护管理研究中心、非遗文化展馆、“崀山峒歌”传承保护中心、“八峒瑶族跳鼓坛</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传承保护中心、非遗文化传承基地等。</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文化保护单位保护工程：</w:t>
            </w:r>
            <w:r>
              <w:rPr>
                <w:rFonts w:ascii="Times New Roman" w:hAnsi="Times New Roman" w:eastAsia="宋体" w:cs="Times New Roman"/>
                <w:bCs/>
                <w:color w:val="000000" w:themeColor="text1"/>
                <w:szCs w:val="28"/>
                <w14:textFill>
                  <w14:solidFill>
                    <w14:schemeClr w14:val="tx1"/>
                  </w14:solidFill>
                </w14:textFill>
              </w:rPr>
              <w:t>提质改造武冈古城、宝庆古城、中山堂、昭伯侯国遗址、荫家堂、夫夷古城等。加强保护魏源故里、蔡锷故里、贺绿汀故里、车万育故里、洞口宗祠群、宋三周谏议书院等。推进邵东昭阳候国大汉文化大观园项目、邵东衡宝战役遗址、</w:t>
            </w:r>
            <w:r>
              <w:rPr>
                <w:rFonts w:hint="eastAsia" w:ascii="Times New Roman" w:hAnsi="Times New Roman" w:eastAsia="宋体" w:cs="Times New Roman"/>
                <w:bCs/>
                <w:color w:val="000000" w:themeColor="text1"/>
                <w:szCs w:val="28"/>
                <w14:textFill>
                  <w14:solidFill>
                    <w14:schemeClr w14:val="tx1"/>
                  </w14:solidFill>
                </w14:textFill>
              </w:rPr>
              <w:t>烈士</w:t>
            </w:r>
            <w:r>
              <w:rPr>
                <w:rFonts w:ascii="Times New Roman" w:hAnsi="Times New Roman" w:eastAsia="宋体" w:cs="Times New Roman"/>
                <w:bCs/>
                <w:color w:val="000000" w:themeColor="text1"/>
                <w:szCs w:val="28"/>
                <w14:textFill>
                  <w14:solidFill>
                    <w14:schemeClr w14:val="tx1"/>
                  </w14:solidFill>
                </w14:textFill>
              </w:rPr>
              <w:t>陵园保护利用工程项目、双清区民俗文化仿古街项目、邵东荫家堂—佘湖山国家文物保护利用示范区工程。</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红色传承工程：</w:t>
            </w:r>
            <w:r>
              <w:rPr>
                <w:rFonts w:ascii="Times New Roman" w:hAnsi="Times New Roman" w:eastAsia="宋体" w:cs="Times New Roman"/>
                <w:bCs/>
                <w:color w:val="000000" w:themeColor="text1"/>
                <w:szCs w:val="28"/>
                <w14:textFill>
                  <w14:solidFill>
                    <w14:schemeClr w14:val="tx1"/>
                  </w14:solidFill>
                </w14:textFill>
              </w:rPr>
              <w:t>推进邓小平征战绥宁指挥所旧址、贺龙指挥所旧址及纪念设施群、湘西雪峰山会战遗址、黄埔军校二分校旧址、八路军驻湘通讯处旧址、衡宝战役遗址、塘田战时讲学遗址革命旧址、雪峰抗战纪念园、武冈市国防教育基地、新宁县红色研学基地、813 军旅小镇、</w:t>
            </w:r>
            <w:r>
              <w:rPr>
                <w:rFonts w:hint="eastAsia" w:ascii="Times New Roman" w:hAnsi="Times New Roman" w:eastAsia="宋体" w:cs="Times New Roman"/>
                <w:bCs/>
                <w:color w:val="000000" w:themeColor="text1"/>
                <w:szCs w:val="28"/>
                <w14:textFill>
                  <w14:solidFill>
                    <w14:schemeClr w14:val="tx1"/>
                  </w14:solidFill>
                </w14:textFill>
              </w:rPr>
              <w:t>长征国家公园（邵阳段）、袁国平故居红色旅游、</w:t>
            </w:r>
            <w:r>
              <w:rPr>
                <w:rFonts w:ascii="Times New Roman" w:hAnsi="Times New Roman" w:eastAsia="宋体" w:cs="Times New Roman"/>
                <w:bCs/>
                <w:color w:val="000000" w:themeColor="text1"/>
                <w:szCs w:val="28"/>
                <w14:textFill>
                  <w14:solidFill>
                    <w14:schemeClr w14:val="tx1"/>
                  </w14:solidFill>
                </w14:textFill>
              </w:rPr>
              <w:t>姚喆故居红色文化展示传播地、邓益烈士教育纪念基地等项目建设。</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文旅研学基地工程：</w:t>
            </w:r>
            <w:r>
              <w:rPr>
                <w:rFonts w:ascii="Times New Roman" w:hAnsi="Times New Roman" w:eastAsia="宋体" w:cs="Times New Roman"/>
                <w:bCs/>
                <w:color w:val="000000" w:themeColor="text1"/>
                <w:szCs w:val="28"/>
                <w14:textFill>
                  <w14:solidFill>
                    <w14:schemeClr w14:val="tx1"/>
                  </w14:solidFill>
                </w14:textFill>
              </w:rPr>
              <w:t>推进邵阳市北塔区青少年活动中心、邵阳蓝印花布研学基地、隆回花瑶挑花非遗研学基地、宝庆竹刻非遗研学基地、洞口木雕非遗研学基地、隆回滩头</w:t>
            </w:r>
            <w:r>
              <w:rPr>
                <w:rFonts w:hint="eastAsia" w:ascii="Times New Roman" w:hAnsi="Times New Roman" w:eastAsia="宋体" w:cs="Times New Roman"/>
                <w:bCs/>
                <w:color w:val="000000" w:themeColor="text1"/>
                <w:szCs w:val="28"/>
                <w14:textFill>
                  <w14:solidFill>
                    <w14:schemeClr w14:val="tx1"/>
                  </w14:solidFill>
                </w14:textFill>
              </w:rPr>
              <w:t>年画</w:t>
            </w:r>
            <w:r>
              <w:rPr>
                <w:rFonts w:ascii="Times New Roman" w:hAnsi="Times New Roman" w:eastAsia="宋体" w:cs="Times New Roman"/>
                <w:bCs/>
                <w:color w:val="000000" w:themeColor="text1"/>
                <w:szCs w:val="28"/>
                <w14:textFill>
                  <w14:solidFill>
                    <w14:schemeClr w14:val="tx1"/>
                  </w14:solidFill>
                </w14:textFill>
              </w:rPr>
              <w:t>非遗研学基地、大祥蔡锷故里文化博览园、北塔湘窖生态文化酿酒城、北塔芒果乐文创园（广厦创意园）、邵东贺绿汀音乐艺术小镇（研学基地）、邵东荫家堂文化研学基地、绥宁插柳艺术研学基地、茶马古道、洞口古楼茶生态文化园、城步苗文石刻研学旅行基地、武冈云山地质生态科普展示基地、武冈丝弦研学基地、满师傅豆腐展示研学旅游基地建设。</w:t>
            </w:r>
          </w:p>
          <w:p>
            <w:pPr>
              <w:spacing w:before="0" w:after="0" w:line="540" w:lineRule="exact"/>
              <w:ind w:firstLine="562" w:firstLineChars="200"/>
              <w:jc w:val="both"/>
              <w:textAlignment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公共服务建设工程：</w:t>
            </w:r>
            <w:r>
              <w:rPr>
                <w:rFonts w:ascii="Times New Roman" w:hAnsi="Times New Roman" w:eastAsia="宋体" w:cs="Times New Roman"/>
                <w:bCs/>
                <w:color w:val="000000" w:themeColor="text1"/>
                <w:szCs w:val="28"/>
                <w14:textFill>
                  <w14:solidFill>
                    <w14:schemeClr w14:val="tx1"/>
                  </w14:solidFill>
                </w14:textFill>
              </w:rPr>
              <w:t>推进邵阳公共数字文旅云平台建设项目、邵阳智慧旅游建设项目、邵阳市全域文旅游客集散中心项目建设，支持新邵、武冈、新宁、隆回、洞口、城步、绥宁等创建全域旅游示范县的县市建设各县</w:t>
            </w:r>
            <w:r>
              <w:rPr>
                <w:rFonts w:hint="eastAsia" w:ascii="Times New Roman" w:hAnsi="Times New Roman" w:eastAsia="宋体" w:cs="Times New Roman"/>
                <w:bCs/>
                <w:color w:val="000000" w:themeColor="text1"/>
                <w:szCs w:val="28"/>
                <w14:textFill>
                  <w14:solidFill>
                    <w14:schemeClr w14:val="tx1"/>
                  </w14:solidFill>
                </w14:textFill>
              </w:rPr>
              <w:t>市</w:t>
            </w:r>
            <w:r>
              <w:rPr>
                <w:rFonts w:ascii="Times New Roman" w:hAnsi="Times New Roman" w:eastAsia="宋体" w:cs="Times New Roman"/>
                <w:bCs/>
                <w:color w:val="000000" w:themeColor="text1"/>
                <w:szCs w:val="28"/>
                <w14:textFill>
                  <w14:solidFill>
                    <w14:schemeClr w14:val="tx1"/>
                  </w14:solidFill>
                </w14:textFill>
              </w:rPr>
              <w:t>全域旅游游客集散中心、全民健身中心项目、精品健身步道项目、公共体育场项目、阅读城市建设项目、图书馆、文化馆建设项目、公共文旅服务驿站项目、应急广播体系建设项目、邵阳非遗戏曲剧场项目、民间民俗文化表演合作社培育项目。</w:t>
            </w:r>
          </w:p>
        </w:tc>
      </w:tr>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443" w:name="_Toc10277"/>
      <w:bookmarkStart w:id="2444" w:name="_Toc55390982"/>
      <w:bookmarkStart w:id="2445" w:name="_Toc2111"/>
      <w:bookmarkStart w:id="2446" w:name="_Toc24001"/>
      <w:bookmarkStart w:id="2447" w:name="_Toc10740"/>
      <w:bookmarkStart w:id="2448" w:name="_Toc12060"/>
      <w:bookmarkStart w:id="2449" w:name="_Toc24896"/>
      <w:bookmarkStart w:id="2450" w:name="_Toc29704"/>
      <w:bookmarkStart w:id="2451" w:name="_Toc5336"/>
      <w:bookmarkStart w:id="2452" w:name="_Toc432"/>
      <w:bookmarkStart w:id="2453" w:name="_Toc31787"/>
      <w:bookmarkStart w:id="2454" w:name="_Toc23457"/>
      <w:bookmarkStart w:id="2455" w:name="_Toc18026"/>
      <w:bookmarkStart w:id="2456" w:name="_Toc19742"/>
      <w:bookmarkStart w:id="2457" w:name="_Toc29408"/>
      <w:bookmarkStart w:id="2458" w:name="_Toc21526"/>
      <w:bookmarkStart w:id="2459" w:name="_Toc3685"/>
      <w:bookmarkStart w:id="2460" w:name="_Toc32506"/>
      <w:bookmarkStart w:id="2461" w:name="_Toc6927"/>
      <w:bookmarkStart w:id="2462" w:name="_Toc29691"/>
      <w:bookmarkStart w:id="2463" w:name="_Toc28664"/>
      <w:bookmarkStart w:id="2464" w:name="_Toc1841"/>
      <w:bookmarkStart w:id="2465" w:name="_Toc2746"/>
      <w:bookmarkStart w:id="2466" w:name="_Toc10750"/>
      <w:bookmarkStart w:id="2467" w:name="_Toc32612"/>
      <w:bookmarkStart w:id="2468" w:name="_Toc16456"/>
      <w:bookmarkStart w:id="2469" w:name="_Toc31713"/>
      <w:bookmarkStart w:id="2470" w:name="_Toc16696"/>
      <w:bookmarkStart w:id="2471" w:name="_Toc17451"/>
      <w:bookmarkStart w:id="2472" w:name="_Toc8535"/>
      <w:bookmarkStart w:id="2473" w:name="_Toc21558"/>
      <w:bookmarkStart w:id="2474" w:name="_Toc29451"/>
      <w:bookmarkStart w:id="2475" w:name="_Toc14631"/>
      <w:bookmarkStart w:id="2476" w:name="_Toc22093"/>
      <w:bookmarkStart w:id="2477" w:name="_Toc21239"/>
      <w:bookmarkStart w:id="2478" w:name="_Toc7313"/>
      <w:bookmarkStart w:id="2479" w:name="_Toc24969"/>
      <w:bookmarkStart w:id="2480" w:name="_Toc19959"/>
      <w:bookmarkStart w:id="2481" w:name="_Toc21570"/>
      <w:r>
        <w:rPr>
          <w:rFonts w:ascii="Times New Roman" w:hAnsi="Times New Roman" w:cs="Times New Roman"/>
          <w:color w:val="000000" w:themeColor="text1"/>
          <w:szCs w:val="32"/>
          <w14:textFill>
            <w14:solidFill>
              <w14:schemeClr w14:val="tx1"/>
            </w14:solidFill>
          </w14:textFill>
        </w:rPr>
        <w:t xml:space="preserve">第三节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发展</w:t>
      </w:r>
      <w:bookmarkEnd w:id="2443"/>
      <w:bookmarkEnd w:id="2444"/>
      <w:r>
        <w:rPr>
          <w:rFonts w:ascii="Times New Roman" w:hAnsi="Times New Roman" w:cs="Times New Roman"/>
          <w:color w:val="000000" w:themeColor="text1"/>
          <w:szCs w:val="32"/>
          <w14:textFill>
            <w14:solidFill>
              <w14:schemeClr w14:val="tx1"/>
            </w14:solidFill>
          </w14:textFill>
        </w:rPr>
        <w:t>壮大现代文化产业</w:t>
      </w:r>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文化+</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战略，促进文化与一二三产业深度融合，培育文化市场主体和文化新业态，打造邵阳特色文化品牌。到2025年，全市文化体育及相关产业增加值突破160亿元,占GDP比重达到5%。</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大力发展文化创意产业。</w:t>
      </w:r>
      <w:r>
        <w:rPr>
          <w:rFonts w:ascii="Times New Roman" w:hAnsi="Times New Roman" w:eastAsia="仿宋_GB2312" w:cs="Times New Roman"/>
          <w:color w:val="000000" w:themeColor="text1"/>
          <w:sz w:val="32"/>
          <w:szCs w:val="32"/>
          <w14:textFill>
            <w14:solidFill>
              <w14:schemeClr w14:val="tx1"/>
            </w14:solidFill>
          </w14:textFill>
        </w:rPr>
        <w:t>发展工业设计、软件设计、建筑与规划设计、工艺美术产品设计、演艺创意等，提高融合度，延伸产业链，拓展产业增量。推动文化与数字邵阳建设相结合，加快天闻数媒数字出版平台、电子书包、云电视系统建设。加大内容创意和信息技术的融合力度，支持我市文化企业与中国电信、中国移动、中国联通、华为等企业的合作发展。加快手机动漫游戏、联通阅读基地、青苹果华文报刊文献数据库建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打造重点文化产业平台。</w:t>
      </w:r>
      <w:r>
        <w:rPr>
          <w:rFonts w:ascii="Times New Roman" w:hAnsi="Times New Roman" w:eastAsia="仿宋_GB2312" w:cs="Times New Roman"/>
          <w:color w:val="000000" w:themeColor="text1"/>
          <w:sz w:val="32"/>
          <w:szCs w:val="32"/>
          <w14:textFill>
            <w14:solidFill>
              <w14:schemeClr w14:val="tx1"/>
            </w14:solidFill>
          </w14:textFill>
        </w:rPr>
        <w:t>支持北塔区特色文化服务业示范集聚区建设。扎实推进文化产业园、动漫公共技术服务平台、手机动漫公共技术服务平台、图书发行信息平台等重点基地平台建设。建设一批抢占产业制高点和具有示范带动作用的省级重点园区、基地、项目，提升规模化、集约化、专业化水平。</w:t>
      </w:r>
      <w:r>
        <w:rPr>
          <w:rFonts w:hint="eastAsia" w:ascii="Times New Roman" w:hAnsi="Times New Roman" w:eastAsia="仿宋_GB2312" w:cs="Times New Roman"/>
          <w:color w:val="000000" w:themeColor="text1"/>
          <w:sz w:val="32"/>
          <w:szCs w:val="32"/>
          <w14:textFill>
            <w14:solidFill>
              <w14:schemeClr w14:val="tx1"/>
            </w14:solidFill>
          </w14:textFill>
        </w:rPr>
        <w:t>重点推进湘商文化旅游产业园、新宁县中国崀山文化旅游产业园等园区建设和雪峰山山地度假文旅融合发展示范区、城步南山特色文旅小镇建设。</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拓展文化消费市场。</w:t>
      </w:r>
      <w:r>
        <w:rPr>
          <w:rFonts w:ascii="Times New Roman" w:hAnsi="Times New Roman" w:eastAsia="仿宋_GB2312" w:cs="Times New Roman"/>
          <w:color w:val="000000" w:themeColor="text1"/>
          <w:sz w:val="32"/>
          <w:szCs w:val="32"/>
          <w14:textFill>
            <w14:solidFill>
              <w14:schemeClr w14:val="tx1"/>
            </w14:solidFill>
          </w14:textFill>
        </w:rPr>
        <w:t>加快培育消费主体，丰富文化消费产品，合理确定文化消费价格。适应三网融合、数字媒体应用、文化旅游融合等新趋势，创新文化商业模式，拓展大众文化消费市场。鼓励和扶持社会资本积极参与农村文化市场建设和开发，支持农村民间艺术表演团体加快发展。支持大型文化企业进入农村设立文化物流网点、经营服务场所，开展连锁经营，开发农村文化消费市场。打造各具风格的城市文化、区域文化和民族民俗文化，推动武冈、绥宁、新宁、城步、洞口等地建设特色文化县（市），开辟特色文化消费市场。积极发展文化旅游，发挥旅游对文化消费的带动作用。</w:t>
      </w:r>
    </w:p>
    <w:tbl>
      <w:tblPr>
        <w:tblStyle w:val="14"/>
        <w:tblW w:w="5000" w:type="pct"/>
        <w:tblInd w:w="0" w:type="dxa"/>
        <w:tblLayout w:type="autofit"/>
        <w:tblCellMar>
          <w:top w:w="0" w:type="dxa"/>
          <w:left w:w="0" w:type="dxa"/>
          <w:bottom w:w="0" w:type="dxa"/>
          <w:right w:w="0" w:type="dxa"/>
        </w:tblCellMar>
      </w:tblPr>
      <w:tblGrid>
        <w:gridCol w:w="8868"/>
      </w:tblGrid>
      <w:t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专栏36：文化强市建设行动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2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两大会客厅：</w:t>
            </w:r>
            <w:r>
              <w:rPr>
                <w:rFonts w:ascii="Times New Roman" w:hAnsi="Times New Roman" w:eastAsia="宋体" w:cs="Times New Roman"/>
                <w:bCs/>
                <w:color w:val="000000" w:themeColor="text1"/>
                <w:szCs w:val="28"/>
                <w14:textFill>
                  <w14:solidFill>
                    <w14:schemeClr w14:val="tx1"/>
                  </w14:solidFill>
                </w14:textFill>
              </w:rPr>
              <w:t>加快推进宝庆印记文旅休闲区、武冈王城文旅休闲区项目建设。</w:t>
            </w:r>
          </w:p>
          <w:p>
            <w:pPr>
              <w:spacing w:before="0" w:after="0" w:line="52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两大国家公园：</w:t>
            </w:r>
            <w:r>
              <w:rPr>
                <w:rFonts w:ascii="Times New Roman" w:hAnsi="Times New Roman" w:eastAsia="宋体" w:cs="Times New Roman"/>
                <w:bCs/>
                <w:color w:val="000000" w:themeColor="text1"/>
                <w:szCs w:val="28"/>
                <w14:textFill>
                  <w14:solidFill>
                    <w14:schemeClr w14:val="tx1"/>
                  </w14:solidFill>
                </w14:textFill>
              </w:rPr>
              <w:t>提质改造南山国家公园、长征国家文化公园（邵阳段）项目。</w:t>
            </w:r>
          </w:p>
          <w:p>
            <w:pPr>
              <w:spacing w:before="0" w:after="0" w:line="52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文旅休闲街区：</w:t>
            </w:r>
            <w:r>
              <w:rPr>
                <w:rFonts w:ascii="Times New Roman" w:hAnsi="Times New Roman" w:eastAsia="宋体" w:cs="Times New Roman"/>
                <w:bCs/>
                <w:color w:val="000000" w:themeColor="text1"/>
                <w:szCs w:val="28"/>
                <w14:textFill>
                  <w14:solidFill>
                    <w14:schemeClr w14:val="tx1"/>
                  </w14:solidFill>
                </w14:textFill>
              </w:rPr>
              <w:t>支持打造邵阳市区邵阳记忆·老厂文创街</w:t>
            </w:r>
            <w:r>
              <w:rPr>
                <w:rFonts w:hint="eastAsia" w:ascii="Times New Roman" w:hAnsi="Times New Roman" w:eastAsia="宋体"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大祥区西外街·文旅休闲街区、松坡图书馆名人文化产业园</w:t>
            </w:r>
            <w:r>
              <w:rPr>
                <w:rFonts w:hint="eastAsia" w:ascii="Times New Roman" w:hAnsi="Times New Roman" w:eastAsia="宋体"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新宁县舜皇里·情景文旅休闲街区、邵东市宝庆里·活力休闲商业步行街、武冈老街文旅休闲街、邵阳县夫夷商业休闲街、北塔区美食文化休闲街、绥宁县寨市文旅休闲街、隆回十里花溪休闲街、邵东市商贸文旅街、新宁县丹霞脐橙文旅街。</w:t>
            </w:r>
          </w:p>
          <w:p>
            <w:pPr>
              <w:spacing w:before="0" w:after="0" w:line="52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公共文化服务体系：</w:t>
            </w:r>
            <w:r>
              <w:rPr>
                <w:rFonts w:ascii="Times New Roman" w:hAnsi="Times New Roman" w:eastAsia="宋体" w:cs="Times New Roman"/>
                <w:bCs/>
                <w:color w:val="000000" w:themeColor="text1"/>
                <w:szCs w:val="28"/>
                <w14:textFill>
                  <w14:solidFill>
                    <w14:schemeClr w14:val="tx1"/>
                  </w14:solidFill>
                </w14:textFill>
              </w:rPr>
              <w:t>加快推进邵阳县</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邵阳蓝印花布</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基地、城步苗族自治县文体旅游综合场馆、隆回县文体中心、</w:t>
            </w:r>
            <w:r>
              <w:rPr>
                <w:rFonts w:hint="eastAsia" w:ascii="Times New Roman" w:hAnsi="Times New Roman" w:eastAsia="宋体" w:cs="Times New Roman"/>
                <w:bCs/>
                <w:color w:val="000000" w:themeColor="text1"/>
                <w:szCs w:val="28"/>
                <w14:textFill>
                  <w14:solidFill>
                    <w14:schemeClr w14:val="tx1"/>
                  </w14:solidFill>
                </w14:textFill>
              </w:rPr>
              <w:t>武冈市四馆两院一中心</w:t>
            </w:r>
            <w:r>
              <w:rPr>
                <w:rFonts w:ascii="Times New Roman" w:hAnsi="Times New Roman" w:eastAsia="宋体" w:cs="Times New Roman"/>
                <w:bCs/>
                <w:color w:val="000000" w:themeColor="text1"/>
                <w:szCs w:val="28"/>
                <w14:textFill>
                  <w14:solidFill>
                    <w14:schemeClr w14:val="tx1"/>
                  </w14:solidFill>
                </w14:textFill>
              </w:rPr>
              <w:t>、邵阳县文化艺术中心、邵阳县城乡标准体育场、综合训练馆、绥宁县文化艺术中心、新宁县三馆一中心、新宁县农村公共文化健身场地、城步苗族自治县苗文石刻博物馆等项目建设。</w:t>
            </w:r>
          </w:p>
          <w:p>
            <w:pPr>
              <w:spacing w:before="0" w:after="0" w:line="52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夜间经济消费集聚区：</w:t>
            </w:r>
            <w:r>
              <w:rPr>
                <w:rFonts w:ascii="Times New Roman" w:hAnsi="Times New Roman" w:eastAsia="宋体" w:cs="Times New Roman"/>
                <w:bCs/>
                <w:color w:val="000000" w:themeColor="text1"/>
                <w:szCs w:val="28"/>
                <w14:textFill>
                  <w14:solidFill>
                    <w14:schemeClr w14:val="tx1"/>
                  </w14:solidFill>
                </w14:textFill>
              </w:rPr>
              <w:t>邵阳艺术中心·邵阳艺术夜、大祥区白公城·非遗美食夜市、武冈市同保楼·美食夜宴、北塔区北塔宴·烧烤市集、隆回县资江夜·文旅新城、邵东市商贸不夜城、新邵县月色心城文旅街、新宁县夫夷江夜色街、城步苗族自治县苗乡桥·风情休闲街、绥宁县巫水夜廊、邵水风光带、资江休闲风光带、现有图书馆、美术馆、文化馆夜间经营消费点打造。</w:t>
            </w:r>
          </w:p>
          <w:p>
            <w:pPr>
              <w:spacing w:before="0" w:after="0" w:line="520" w:lineRule="exact"/>
              <w:ind w:firstLine="562" w:firstLineChars="200"/>
              <w:jc w:val="both"/>
              <w:textAlignment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创新文化发展：</w:t>
            </w:r>
            <w:r>
              <w:rPr>
                <w:rFonts w:ascii="Times New Roman" w:hAnsi="Times New Roman" w:eastAsia="宋体" w:cs="Times New Roman"/>
                <w:bCs/>
                <w:color w:val="000000" w:themeColor="text1"/>
                <w:szCs w:val="28"/>
                <w14:textFill>
                  <w14:solidFill>
                    <w14:schemeClr w14:val="tx1"/>
                  </w14:solidFill>
                </w14:textFill>
              </w:rPr>
              <w:t>新邵县文化创意产业基地项目、北塔区广厦文化教育创意园项目、邵东融媒体文化中心项目、邵东贺绿汀乡村音乐艺术苑项目。</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2482" w:name="_Toc14164"/>
      <w:bookmarkStart w:id="2483" w:name="_Toc30106"/>
      <w:bookmarkStart w:id="2484" w:name="_Toc10408"/>
      <w:bookmarkStart w:id="2485" w:name="_Toc5529"/>
      <w:bookmarkStart w:id="2486" w:name="_Toc9929"/>
      <w:bookmarkStart w:id="2487" w:name="_Toc16790"/>
      <w:bookmarkStart w:id="2488" w:name="_Toc20171"/>
      <w:bookmarkStart w:id="2489" w:name="_Toc22846"/>
      <w:bookmarkStart w:id="2490" w:name="_Toc32705"/>
      <w:bookmarkStart w:id="2491" w:name="_Toc1764"/>
      <w:bookmarkStart w:id="2492" w:name="_Toc3057"/>
      <w:bookmarkStart w:id="2493" w:name="_Toc2458"/>
      <w:bookmarkStart w:id="2494" w:name="_Toc27318"/>
      <w:bookmarkStart w:id="2495" w:name="_Toc4131"/>
      <w:bookmarkStart w:id="2496" w:name="_Toc6390"/>
      <w:bookmarkStart w:id="2497" w:name="_Toc1293"/>
      <w:bookmarkStart w:id="2498" w:name="_Toc8944"/>
      <w:bookmarkStart w:id="2499" w:name="_Toc25895"/>
      <w:bookmarkStart w:id="2500" w:name="_Toc16434"/>
      <w:bookmarkStart w:id="2501" w:name="_Toc8836"/>
      <w:bookmarkStart w:id="2502" w:name="_Toc2902"/>
      <w:bookmarkStart w:id="2503" w:name="_Toc1727"/>
      <w:bookmarkStart w:id="2504" w:name="_Toc21502"/>
      <w:bookmarkStart w:id="2505" w:name="_Toc14083"/>
      <w:bookmarkStart w:id="2506" w:name="_Toc1679"/>
      <w:bookmarkStart w:id="2507" w:name="_Toc4078"/>
      <w:bookmarkStart w:id="2508" w:name="_Toc12459"/>
      <w:bookmarkStart w:id="2509" w:name="_Toc32040"/>
      <w:bookmarkStart w:id="2510" w:name="_Toc32568"/>
      <w:bookmarkStart w:id="2511" w:name="_Toc31072"/>
      <w:bookmarkStart w:id="2512" w:name="_Toc6962"/>
      <w:bookmarkStart w:id="2513" w:name="_Toc25217"/>
      <w:bookmarkStart w:id="2514" w:name="_Toc25107"/>
      <w:bookmarkStart w:id="2515" w:name="_Toc24939"/>
      <w:bookmarkStart w:id="2516" w:name="_Toc26509"/>
      <w:bookmarkStart w:id="2517" w:name="_Toc31864"/>
      <w:bookmarkStart w:id="2518" w:name="_Toc13026"/>
      <w:r>
        <w:rPr>
          <w:rFonts w:ascii="Times New Roman" w:hAnsi="Times New Roman" w:cs="Times New Roman"/>
          <w:color w:val="000000" w:themeColor="text1"/>
          <w:szCs w:val="32"/>
          <w14:textFill>
            <w14:solidFill>
              <w14:schemeClr w14:val="tx1"/>
            </w14:solidFill>
          </w14:textFill>
        </w:rPr>
        <w:t>第四节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创新文旅广体融合</w:t>
      </w:r>
      <w:bookmarkEnd w:id="2482"/>
      <w:r>
        <w:rPr>
          <w:rFonts w:ascii="Times New Roman" w:hAnsi="Times New Roman" w:cs="Times New Roman"/>
          <w:color w:val="000000" w:themeColor="text1"/>
          <w:szCs w:val="32"/>
          <w14:textFill>
            <w14:solidFill>
              <w14:schemeClr w14:val="tx1"/>
            </w14:solidFill>
          </w14:textFill>
        </w:rPr>
        <w:t>发展</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充分挖掘邵阳文化资源，以文化为魂、产业为核、旅游为媒，通过旅游提升文化和产业的融合度，促进产业转型升级</w:t>
      </w:r>
      <w:r>
        <w:rPr>
          <w:rFonts w:hint="eastAsia" w:ascii="Times New Roman" w:hAnsi="Times New Roman" w:eastAsia="仿宋_GB2312" w:cs="Times New Roman"/>
          <w:color w:val="000000" w:themeColor="text1"/>
          <w:sz w:val="32"/>
          <w:szCs w:val="32"/>
          <w14:textFill>
            <w14:solidFill>
              <w14:schemeClr w14:val="tx1"/>
            </w14:solidFill>
          </w14:textFill>
        </w:rPr>
        <w:t>。通过文化内涵挖掘，</w:t>
      </w:r>
      <w:r>
        <w:rPr>
          <w:rFonts w:ascii="Times New Roman" w:hAnsi="Times New Roman" w:eastAsia="仿宋_GB2312" w:cs="Times New Roman"/>
          <w:color w:val="000000" w:themeColor="text1"/>
          <w:sz w:val="32"/>
          <w:szCs w:val="32"/>
          <w14:textFill>
            <w14:solidFill>
              <w14:schemeClr w14:val="tx1"/>
            </w14:solidFill>
          </w14:textFill>
        </w:rPr>
        <w:t>形成</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体育+文旅</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广电+文旅体</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产业融合，推动文化旅游产业链发展。</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推进文旅融合发展。</w:t>
      </w:r>
      <w:r>
        <w:rPr>
          <w:rFonts w:ascii="Times New Roman" w:hAnsi="Times New Roman" w:eastAsia="仿宋_GB2312" w:cs="Times New Roman"/>
          <w:color w:val="000000" w:themeColor="text1"/>
          <w:sz w:val="32"/>
          <w:szCs w:val="32"/>
          <w14:textFill>
            <w14:solidFill>
              <w14:schemeClr w14:val="tx1"/>
            </w14:solidFill>
          </w14:textFill>
        </w:rPr>
        <w:t>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宜融则融、能融尽融，以文塑旅、以旅彰文</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原则，结合邵阳实际，从公共服务、产业发展、市场监管、文化遗产保护传承和少数民族传统文化挖掘等方面研究融合发展，提出文旅广体融合发展的重点区域和示范点、重大产业项目、智慧文旅管理和服务体系，打造十大文旅融合区域、十大文旅融合活动、十大文旅融合重点项目、十种文旅融合产品、十个文旅融合特色</w:t>
      </w:r>
      <w:r>
        <w:rPr>
          <w:rFonts w:hint="eastAsia" w:ascii="Times New Roman" w:hAnsi="Times New Roman" w:eastAsia="仿宋_GB2312" w:cs="Times New Roman"/>
          <w:color w:val="000000" w:themeColor="text1"/>
          <w:sz w:val="32"/>
          <w:szCs w:val="32"/>
          <w14:textFill>
            <w14:solidFill>
              <w14:schemeClr w14:val="tx1"/>
            </w14:solidFill>
          </w14:textFill>
        </w:rPr>
        <w:t>村</w:t>
      </w:r>
      <w:r>
        <w:rPr>
          <w:rFonts w:ascii="Times New Roman" w:hAnsi="Times New Roman" w:eastAsia="仿宋_GB2312" w:cs="Times New Roman"/>
          <w:color w:val="000000" w:themeColor="text1"/>
          <w:sz w:val="32"/>
          <w:szCs w:val="32"/>
          <w14:textFill>
            <w14:solidFill>
              <w14:schemeClr w14:val="tx1"/>
            </w14:solidFill>
          </w14:textFill>
        </w:rPr>
        <w:t>镇。大力实施城区文化旅游景区建设三年行动计划，重点打造宝庆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古八景、新八景</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。力争到2025年，全市建成国家文化产业示范基地1处，国家级生态旅游示范区2个，国家文旅融合示范区2个，国家级体育赛事2-3个。</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专栏37：文化+旅游行动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文物+旅游</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依托邵阳市宝庆古城、新宁夫夷古城、武冈古城等古城遗址资源，打造一批文旅综合体、文旅街区和夜间经济消费聚集区，创新</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古城+</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模式，打造国家级文旅休闲城市或街区。</w:t>
            </w:r>
          </w:p>
          <w:p>
            <w:pPr>
              <w:spacing w:before="0" w:after="0" w:line="540" w:lineRule="exact"/>
              <w:ind w:firstLine="560" w:firstLineChars="200"/>
              <w:jc w:val="both"/>
              <w:textAlignment w:val="center"/>
              <w:rPr>
                <w:rFonts w:hint="eastAsia"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 xml:space="preserve">   </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非遗+旅游</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通过非遗与研学、非遗与民宿、非遗与文创、非遗与演艺、非遗与节庆</w:t>
            </w:r>
            <w:r>
              <w:rPr>
                <w:rFonts w:hint="eastAsia" w:ascii="Times New Roman" w:hAnsi="Times New Roman" w:eastAsia="宋体" w:cs="Times New Roman"/>
                <w:color w:val="000000" w:themeColor="text1"/>
                <w14:textFill>
                  <w14:solidFill>
                    <w14:schemeClr w14:val="tx1"/>
                  </w14:solidFill>
                </w14:textFill>
              </w:rPr>
              <w:t>结合</w:t>
            </w:r>
            <w:r>
              <w:rPr>
                <w:rFonts w:ascii="Times New Roman" w:hAnsi="Times New Roman" w:eastAsia="宋体" w:cs="Times New Roman"/>
                <w:color w:val="000000" w:themeColor="text1"/>
                <w14:textFill>
                  <w14:solidFill>
                    <w14:schemeClr w14:val="tx1"/>
                  </w14:solidFill>
                </w14:textFill>
              </w:rPr>
              <w:t>等方式，开发文旅产品，激活内在潜能。通过旅游载体，进行文化传播，形成文化地标。</w:t>
            </w:r>
          </w:p>
          <w:p>
            <w:pPr>
              <w:spacing w:before="0" w:after="0" w:line="540" w:lineRule="exact"/>
              <w:ind w:firstLine="560" w:firstLineChars="200"/>
              <w:jc w:val="both"/>
              <w:textAlignment w:val="center"/>
              <w:rPr>
                <w:rFonts w:hint="eastAsia"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 xml:space="preserve"> </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文化场馆+旅游</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依托邵阳市文化馆、博物馆、美术馆、书店等文化场馆，植入旅游功能，混合旅游要素，与餐饮业混合，通过开设特色餐厅、茶吧、酒吧、咖啡吧等形式来拓展业务，出租营业地点，实现文旅功能复合发展，打造一批高颜值、高流量的文旅打卡空间，按市-县（市）-村三级进行文化场馆旅游化产品打造。</w:t>
            </w:r>
          </w:p>
          <w:p>
            <w:pPr>
              <w:spacing w:before="0" w:after="0" w:line="540" w:lineRule="exact"/>
              <w:ind w:firstLine="560"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 xml:space="preserve"> </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文化演艺+旅游</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依托崀山、隆回花瑶、白水洞、云山、黄桑等景区，综合运用多种艺术表现形式和技术手段，通过演艺与主题公园结合，与实景结合，与剧场结合，与博物馆结合，形成</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演艺+X</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模式，大力宣传推广《花瑶喜宴》，扩大邵阳市文化传播途径。</w:t>
            </w:r>
          </w:p>
          <w:p>
            <w:pPr>
              <w:spacing w:before="0" w:after="0" w:line="540" w:lineRule="exact"/>
              <w:jc w:val="both"/>
              <w:textAlignment w:val="center"/>
              <w:rPr>
                <w:rFonts w:hint="eastAsia"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 xml:space="preserve"> </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文创+旅游</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通过IP体验和品牌体验，设计IP产品，打造IP生产基地，建设旅游文创IP产业链，通过线上线下结合，引导消费者在旅游景区和互联网上持续体验以及购买旅游商品、伴手礼、礼品等。</w:t>
            </w:r>
          </w:p>
          <w:p>
            <w:pPr>
              <w:spacing w:before="0" w:after="0" w:line="540" w:lineRule="exact"/>
              <w:jc w:val="both"/>
              <w:textAlignment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 xml:space="preserve">   </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文化产业园+旅游</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推动建设一批企业发展良好、产业特色鲜明、社会效益和经济效益明显的文化产业园，从产业、商业、旅游、地产、景观等多种维度打造，具备旅游、产业、城市多重功能的文化产业空间。提质建设隆回魏源文化创意产业园、湘窖文化产业园、北塔文旅产业园、崀山文化产业园等。</w:t>
            </w:r>
          </w:p>
          <w:p>
            <w:pPr>
              <w:spacing w:before="0" w:after="0" w:line="540" w:lineRule="exact"/>
              <w:ind w:firstLine="562" w:firstLineChars="200"/>
              <w:jc w:val="both"/>
              <w:textAlignment w:val="center"/>
              <w:rPr>
                <w:rFonts w:ascii="Times New Roman" w:hAnsi="Times New Roman" w:eastAsia="宋体" w:cs="Times New Roman"/>
                <w:color w:val="000000" w:themeColor="text1"/>
                <w14:textFill>
                  <w14:solidFill>
                    <w14:schemeClr w14:val="tx1"/>
                  </w14:solidFill>
                </w14:textFill>
              </w:rPr>
            </w:pP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特色商品+旅游</w:t>
            </w:r>
            <w:r>
              <w:rPr>
                <w:rFonts w:hint="eastAsia" w:ascii="仿宋" w:hAnsi="仿宋"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开发创新特色旅游商品，包装推出</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一杯奶（南山牛奶、羴牧羊奶等）、一碗茶（青钱柳、古楼茶、虫茶、油茶等）、一朵花（金银花）、一个梨（苗乡梨）、一个橙（崀山脐橙）、一个橘（雪峰蜜橘）、一桶油（茶油）、一只鹅（铜鹅）、一只鸡（苗乡生态乌骨鸡）、一块布（蓝印花布、民族服饰）</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等</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十个一</w:t>
            </w:r>
            <w:r>
              <w:rPr>
                <w:rFonts w:hint="eastAsia" w:ascii="仿宋" w:hAnsi="仿宋"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名优旅游产品体系。</w:t>
            </w:r>
          </w:p>
        </w:tc>
      </w:tr>
    </w:tbl>
    <w:p>
      <w:pPr>
        <w:widowControl w:val="0"/>
        <w:adjustRightInd/>
        <w:snapToGrid/>
        <w:spacing w:before="0" w:after="193" w:afterLines="50" w:line="57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拓展广电文旅融合。</w:t>
      </w:r>
      <w:r>
        <w:rPr>
          <w:rFonts w:ascii="Times New Roman" w:hAnsi="Times New Roman" w:eastAsia="仿宋_GB2312" w:cs="Times New Roman"/>
          <w:color w:val="000000" w:themeColor="text1"/>
          <w:sz w:val="32"/>
          <w:szCs w:val="32"/>
          <w14:textFill>
            <w14:solidFill>
              <w14:schemeClr w14:val="tx1"/>
            </w14:solidFill>
          </w14:textFill>
        </w:rPr>
        <w:t>建立统一文旅广体产业融合的传媒中心，将</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奇美邵阳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作为城市对外文旅广体产业融合发展的品牌名片。开拓融合宣传新途径，创新全媒体营销模式，通过微信、抖音、微博等社会化营销手段，打造1个以上综合信息服务传媒平台。</w:t>
      </w:r>
    </w:p>
    <w:tbl>
      <w:tblPr>
        <w:tblStyle w:val="14"/>
        <w:tblW w:w="5000" w:type="pct"/>
        <w:tblInd w:w="0" w:type="dxa"/>
        <w:tblLayout w:type="autofit"/>
        <w:tblCellMar>
          <w:top w:w="0" w:type="dxa"/>
          <w:left w:w="0" w:type="dxa"/>
          <w:bottom w:w="0" w:type="dxa"/>
          <w:right w:w="0" w:type="dxa"/>
        </w:tblCellMar>
      </w:tblPr>
      <w:tblGrid>
        <w:gridCol w:w="8868"/>
      </w:tblGrid>
      <w:t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专栏38：文旅广体融合发展行动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5A景区提质创建工程：</w:t>
            </w:r>
            <w:r>
              <w:rPr>
                <w:rFonts w:ascii="Times New Roman" w:hAnsi="Times New Roman" w:eastAsia="宋体" w:cs="Times New Roman"/>
                <w:color w:val="000000" w:themeColor="text1"/>
                <w:szCs w:val="28"/>
                <w14:textFill>
                  <w14:solidFill>
                    <w14:schemeClr w14:val="tx1"/>
                  </w14:solidFill>
                </w14:textFill>
              </w:rPr>
              <w:t>提质改造新宁崀山景区、隆回虎形山-花瑶景区、北塔湘窖生态文化酿酒城、武冈云山国家森林公园。</w:t>
            </w:r>
          </w:p>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4A景区提质创建工程：</w:t>
            </w:r>
            <w:r>
              <w:rPr>
                <w:rFonts w:ascii="Times New Roman" w:hAnsi="Times New Roman" w:eastAsia="宋体" w:cs="Times New Roman"/>
                <w:color w:val="000000" w:themeColor="text1"/>
                <w:szCs w:val="28"/>
                <w14:textFill>
                  <w14:solidFill>
                    <w14:schemeClr w14:val="tx1"/>
                  </w14:solidFill>
                </w14:textFill>
              </w:rPr>
              <w:t>加快推进新邵白水洞景区、绥宁黄桑景区、蔡锷故里文化博览园、洞口溪生态旅游区、邵东怡卉园旅游景区、龙瑶幽谷景区、邵阳南方抗大红色景区、金江湖生态旅游景区等一批项目工程。</w:t>
            </w:r>
          </w:p>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特色文旅小镇工程：</w:t>
            </w:r>
            <w:r>
              <w:rPr>
                <w:rFonts w:ascii="Times New Roman" w:hAnsi="Times New Roman" w:eastAsia="宋体" w:cs="Times New Roman"/>
                <w:color w:val="000000" w:themeColor="text1"/>
                <w:szCs w:val="28"/>
                <w14:textFill>
                  <w14:solidFill>
                    <w14:schemeClr w14:val="tx1"/>
                  </w14:solidFill>
                </w14:textFill>
              </w:rPr>
              <w:t>新建新宁崀山丹霞文旅小镇、邵东市廉桥中医药文旅小镇、</w:t>
            </w:r>
            <w:r>
              <w:rPr>
                <w:rFonts w:hint="eastAsia" w:ascii="Times New Roman" w:hAnsi="Times New Roman" w:eastAsia="宋体" w:cs="Times New Roman"/>
                <w:color w:val="000000" w:themeColor="text1"/>
                <w:szCs w:val="28"/>
                <w14:textFill>
                  <w14:solidFill>
                    <w14:schemeClr w14:val="tx1"/>
                  </w14:solidFill>
                </w14:textFill>
              </w:rPr>
              <w:t>武冈市</w:t>
            </w:r>
            <w:r>
              <w:rPr>
                <w:rFonts w:ascii="Times New Roman" w:hAnsi="Times New Roman" w:eastAsia="宋体" w:cs="Times New Roman"/>
                <w:color w:val="000000" w:themeColor="text1"/>
                <w:szCs w:val="28"/>
                <w14:textFill>
                  <w14:solidFill>
                    <w14:schemeClr w14:val="tx1"/>
                  </w14:solidFill>
                </w14:textFill>
              </w:rPr>
              <w:t>都梁文旅休闲小镇、绥宁县寨市苗族风情小镇、邵阳县</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湘军寻古</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塘田特色文旅小镇、洞口县高沙宗祠文旅小镇、隆回县花瑶文旅小镇、城步苗族自治县南山文旅小镇等一批特色</w:t>
            </w:r>
            <w:r>
              <w:rPr>
                <w:rFonts w:hint="eastAsia" w:ascii="Times New Roman" w:hAnsi="Times New Roman" w:eastAsia="宋体" w:cs="Times New Roman"/>
                <w:color w:val="000000" w:themeColor="text1"/>
                <w:szCs w:val="28"/>
                <w14:textFill>
                  <w14:solidFill>
                    <w14:schemeClr w14:val="tx1"/>
                  </w14:solidFill>
                </w14:textFill>
              </w:rPr>
              <w:t>文旅</w:t>
            </w:r>
            <w:r>
              <w:rPr>
                <w:rFonts w:ascii="Times New Roman" w:hAnsi="Times New Roman" w:eastAsia="宋体" w:cs="Times New Roman"/>
                <w:color w:val="000000" w:themeColor="text1"/>
                <w:szCs w:val="28"/>
                <w14:textFill>
                  <w14:solidFill>
                    <w14:schemeClr w14:val="tx1"/>
                  </w14:solidFill>
                </w14:textFill>
              </w:rPr>
              <w:t>小镇。</w:t>
            </w:r>
          </w:p>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特色体育公园工程：</w:t>
            </w:r>
            <w:r>
              <w:rPr>
                <w:rFonts w:ascii="Times New Roman" w:hAnsi="Times New Roman" w:eastAsia="宋体" w:cs="Times New Roman"/>
                <w:color w:val="000000" w:themeColor="text1"/>
                <w:szCs w:val="28"/>
                <w14:textFill>
                  <w14:solidFill>
                    <w14:schemeClr w14:val="tx1"/>
                  </w14:solidFill>
                </w14:textFill>
              </w:rPr>
              <w:t>新建邵阳桃花体育公园、邵东市简家陇飞行露营公园、隆回县大东山滑翔运动公园、绥宁县丰源滑板体育公园、邵阳县金江湖骑行运动公园、双清区三一汽车体育公园、北塔区苗儿村乡村文化体育公园、洞口县</w:t>
            </w:r>
            <w:r>
              <w:rPr>
                <w:rFonts w:hint="eastAsia" w:ascii="Times New Roman" w:hAnsi="Times New Roman" w:eastAsia="宋体" w:cs="Times New Roman"/>
                <w:color w:val="000000" w:themeColor="text1"/>
                <w:szCs w:val="28"/>
                <w14:textFill>
                  <w14:solidFill>
                    <w14:schemeClr w14:val="tx1"/>
                  </w14:solidFill>
                </w14:textFill>
              </w:rPr>
              <w:t>罗</w:t>
            </w:r>
            <w:r>
              <w:rPr>
                <w:rFonts w:ascii="Times New Roman" w:hAnsi="Times New Roman" w:eastAsia="宋体" w:cs="Times New Roman"/>
                <w:color w:val="000000" w:themeColor="text1"/>
                <w:szCs w:val="28"/>
                <w14:textFill>
                  <w14:solidFill>
                    <w14:schemeClr w14:val="tx1"/>
                  </w14:solidFill>
                </w14:textFill>
              </w:rPr>
              <w:t>溪森林体育公园、新邵县陈锡体育公园等一批体育公园。</w:t>
            </w:r>
          </w:p>
          <w:p>
            <w:pPr>
              <w:numPr>
                <w:ilvl w:val="255"/>
                <w:numId w:val="0"/>
              </w:num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节庆活动工程：</w:t>
            </w:r>
            <w:r>
              <w:rPr>
                <w:rFonts w:ascii="Times New Roman" w:hAnsi="Times New Roman" w:eastAsia="宋体" w:cs="Times New Roman"/>
                <w:color w:val="000000" w:themeColor="text1"/>
                <w:szCs w:val="28"/>
                <w14:textFill>
                  <w14:solidFill>
                    <w14:schemeClr w14:val="tx1"/>
                  </w14:solidFill>
                </w14:textFill>
              </w:rPr>
              <w:t>举办</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百里脐橙连崀山</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新宁脐橙文化旅游节、</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天下步城·傩舞天下</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城步少数民族傩文化节、</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千年古城·夜宴武冈</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夜市文化节、</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康寿新邵</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文化旅游节、邵阳非遗秀文化节、城步六·六山歌节、绥宁四·八姑娘节、洞口</w:t>
            </w:r>
            <w:r>
              <w:rPr>
                <w:rFonts w:hint="eastAsia" w:ascii="Times New Roman" w:hAnsi="Times New Roman" w:eastAsia="宋体" w:cs="Times New Roman"/>
                <w:color w:val="000000" w:themeColor="text1"/>
                <w:szCs w:val="28"/>
                <w14:textFill>
                  <w14:solidFill>
                    <w14:schemeClr w14:val="tx1"/>
                  </w14:solidFill>
                </w14:textFill>
              </w:rPr>
              <w:t>罗</w:t>
            </w:r>
            <w:r>
              <w:rPr>
                <w:rFonts w:ascii="Times New Roman" w:hAnsi="Times New Roman" w:eastAsia="宋体" w:cs="Times New Roman"/>
                <w:color w:val="000000" w:themeColor="text1"/>
                <w:szCs w:val="28"/>
                <w14:textFill>
                  <w14:solidFill>
                    <w14:schemeClr w14:val="tx1"/>
                  </w14:solidFill>
                </w14:textFill>
              </w:rPr>
              <w:t>溪四·八乌饭节、隆回花瑶</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讨僚皈</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节、邵商传承文化旅游节、</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邵阳红</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品牌嘉年华、湖南红色文化旅游节等一批具有影响力的节庆活动。</w:t>
            </w:r>
          </w:p>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shd w:val="clear" w:color="auto" w:fill="FFFFFF"/>
                <w14:textFill>
                  <w14:solidFill>
                    <w14:schemeClr w14:val="tx1"/>
                  </w14:solidFill>
                </w14:textFill>
              </w:rPr>
              <w:t>体育赛事</w:t>
            </w:r>
            <w:r>
              <w:rPr>
                <w:rFonts w:ascii="Times New Roman" w:hAnsi="Times New Roman" w:eastAsia="宋体" w:cs="Times New Roman"/>
                <w:b/>
                <w:bCs/>
                <w:color w:val="000000" w:themeColor="text1"/>
                <w:szCs w:val="28"/>
                <w14:textFill>
                  <w14:solidFill>
                    <w14:schemeClr w14:val="tx1"/>
                  </w14:solidFill>
                </w14:textFill>
              </w:rPr>
              <w:t>工程</w:t>
            </w:r>
            <w:r>
              <w:rPr>
                <w:rFonts w:ascii="Times New Roman" w:hAnsi="Times New Roman" w:eastAsia="宋体" w:cs="Times New Roman"/>
                <w:b/>
                <w:bCs/>
                <w:color w:val="000000" w:themeColor="text1"/>
                <w:szCs w:val="28"/>
                <w:shd w:val="clear" w:color="auto" w:fill="FFFFFF"/>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推进</w:t>
            </w:r>
            <w:r>
              <w:rPr>
                <w:rFonts w:ascii="Times New Roman" w:hAnsi="Times New Roman" w:eastAsia="宋体" w:cs="Times New Roman"/>
                <w:color w:val="000000" w:themeColor="text1"/>
                <w:szCs w:val="28"/>
                <w:shd w:val="clear" w:color="auto" w:fill="FFFFFF"/>
                <w14:textFill>
                  <w14:solidFill>
                    <w14:schemeClr w14:val="tx1"/>
                  </w14:solidFill>
                </w14:textFill>
              </w:rPr>
              <w:t>中国崀山国际越野赛、中国举重锦标赛、潇湘100国际越野赛、湖南省环金江湖自行车邀请赛、</w:t>
            </w:r>
            <w:r>
              <w:rPr>
                <w:rFonts w:hint="eastAsia" w:ascii="仿宋" w:hAnsi="仿宋" w:cs="Times New Roman"/>
                <w:color w:val="000000" w:themeColor="text1"/>
                <w:szCs w:val="28"/>
                <w:shd w:val="clear" w:color="auto" w:fill="FFFFFF"/>
                <w14:textFill>
                  <w14:solidFill>
                    <w14:schemeClr w14:val="tx1"/>
                  </w14:solidFill>
                </w14:textFill>
              </w:rPr>
              <w:t>“</w:t>
            </w:r>
            <w:r>
              <w:rPr>
                <w:rFonts w:ascii="Times New Roman" w:hAnsi="Times New Roman" w:eastAsia="宋体" w:cs="Times New Roman"/>
                <w:color w:val="000000" w:themeColor="text1"/>
                <w:szCs w:val="28"/>
                <w:shd w:val="clear" w:color="auto" w:fill="FFFFFF"/>
                <w14:textFill>
                  <w14:solidFill>
                    <w14:schemeClr w14:val="tx1"/>
                  </w14:solidFill>
                </w14:textFill>
              </w:rPr>
              <w:t>宝古佬</w:t>
            </w:r>
            <w:r>
              <w:rPr>
                <w:rFonts w:hint="eastAsia" w:ascii="仿宋" w:hAnsi="仿宋" w:cs="Times New Roman"/>
                <w:color w:val="000000" w:themeColor="text1"/>
                <w:szCs w:val="28"/>
                <w:shd w:val="clear" w:color="auto" w:fill="FFFFFF"/>
                <w14:textFill>
                  <w14:solidFill>
                    <w14:schemeClr w14:val="tx1"/>
                  </w14:solidFill>
                </w14:textFill>
              </w:rPr>
              <w:t>”</w:t>
            </w:r>
            <w:r>
              <w:rPr>
                <w:rFonts w:ascii="Times New Roman" w:hAnsi="Times New Roman" w:eastAsia="宋体" w:cs="Times New Roman"/>
                <w:color w:val="000000" w:themeColor="text1"/>
                <w:szCs w:val="28"/>
                <w:shd w:val="clear" w:color="auto" w:fill="FFFFFF"/>
                <w14:textFill>
                  <w14:solidFill>
                    <w14:schemeClr w14:val="tx1"/>
                  </w14:solidFill>
                </w14:textFill>
              </w:rPr>
              <w:t>羽毛球邀请赛等一批具有影响力的体育赛事。</w:t>
            </w:r>
          </w:p>
          <w:p>
            <w:pPr>
              <w:spacing w:before="0" w:after="0" w:line="540" w:lineRule="exact"/>
              <w:ind w:firstLine="562" w:firstLineChars="200"/>
              <w:jc w:val="both"/>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乡村振兴融合发展示范工程：</w:t>
            </w:r>
            <w:r>
              <w:rPr>
                <w:rFonts w:ascii="Times New Roman" w:hAnsi="Times New Roman" w:eastAsia="宋体" w:cs="Times New Roman"/>
                <w:color w:val="000000" w:themeColor="text1"/>
                <w:szCs w:val="28"/>
                <w14:textFill>
                  <w14:solidFill>
                    <w14:schemeClr w14:val="tx1"/>
                  </w14:solidFill>
                </w14:textFill>
              </w:rPr>
              <w:t>创建武冈市荷塘村、城步苗族自治县铺头村、绥宁县上堡村、邵东县绿汀村、新邵县清水村、邵阳县新田村、洞口县宝瑶村、隆回县旺溪村、新宁县西村坊村、新宁县黄背村、北塔区李子塘村、大祥区罗塘3D彩绘文化旅游村、双清区莲荷生态文化旅游村、北塔区茶元头村等一批乡村振兴示范村。</w:t>
            </w:r>
          </w:p>
        </w:tc>
      </w:tr>
    </w:tbl>
    <w:p>
      <w:pPr>
        <w:widowControl w:val="0"/>
        <w:adjustRightInd/>
        <w:snapToGrid/>
        <w:spacing w:before="0" w:after="193" w:afterLines="50" w:line="579"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加强体育文旅融合。</w:t>
      </w:r>
      <w:r>
        <w:rPr>
          <w:rFonts w:ascii="Times New Roman" w:hAnsi="Times New Roman" w:eastAsia="仿宋_GB2312" w:cs="Times New Roman"/>
          <w:color w:val="000000" w:themeColor="text1"/>
          <w:sz w:val="32"/>
          <w:szCs w:val="32"/>
          <w14:textFill>
            <w14:solidFill>
              <w14:schemeClr w14:val="tx1"/>
            </w14:solidFill>
          </w14:textFill>
        </w:rPr>
        <w:t>依托大型体育场馆，打造城市体育功能复合区，发挥体育馆的复合性，融合城市商务、办公、居住、娱乐、文化、旅游等多功能。依据邵阳的代表性文化和代表性资源，开展不同维度的节庆赛事，联合打造湘中湘西南文化体育中心品牌，承办一系列世界级、国家级、省级的体育赛事活动。借助</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互联网+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，利用体育资源打造区域级、国家级甚至享誉世界的知名体育文化旅游品牌。利用文化资源和民族资源，举办独具特色，极具领域影响力的节庆活动，创建文旅休闲街区的品牌。</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79" w:lineRule="exact"/>
              <w:jc w:val="center"/>
              <w:textAlignment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专栏39：体育+文旅行动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体育赛事+文旅</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运用</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体育赛事+文旅</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的模式，举办一系列体育赛事，促进文旅体产业融合发展。</w:t>
            </w:r>
          </w:p>
          <w:p>
            <w:pPr>
              <w:spacing w:before="0" w:after="0" w:line="540" w:lineRule="exact"/>
              <w:ind w:firstLine="562" w:firstLineChars="200"/>
              <w:jc w:val="both"/>
              <w:textAlignment w:val="center"/>
              <w:rPr>
                <w:rFonts w:ascii="Times New Roman" w:hAnsi="Times New Roman" w:eastAsia="宋体" w:cs="Times New Roman"/>
                <w:b/>
                <w:bCs/>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体育运动+文旅</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依托文旅产品，植入低空飞行、山地越野、攀岩、森林拓展、射箭、露营等体育运动业态，建设文旅体融合发展产品。依托当地资源特色，打造邵阳桃花体育公园</w:t>
            </w:r>
            <w:r>
              <w:rPr>
                <w:rFonts w:hint="eastAsia" w:ascii="Times New Roman" w:hAnsi="Times New Roman" w:eastAsia="宋体"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崀山山水体育公园和武冈云山露营公园。积极开展特色体育运动，打造邵东市简家陇飞行露营公园、隆回县大东山滑翔运动公园。结合当地优势企业，打造绥宁县丰源滑板体育公园、</w:t>
            </w:r>
            <w:r>
              <w:rPr>
                <w:rFonts w:hint="eastAsia" w:ascii="Times New Roman" w:hAnsi="Times New Roman" w:eastAsia="宋体" w:cs="Times New Roman"/>
                <w:color w:val="000000" w:themeColor="text1"/>
                <w:szCs w:val="28"/>
                <w14:textFill>
                  <w14:solidFill>
                    <w14:schemeClr w14:val="tx1"/>
                  </w14:solidFill>
                </w14:textFill>
              </w:rPr>
              <w:t>北塔区</w:t>
            </w:r>
            <w:r>
              <w:rPr>
                <w:rFonts w:ascii="Times New Roman" w:hAnsi="Times New Roman" w:eastAsia="宋体" w:cs="Times New Roman"/>
                <w:color w:val="000000" w:themeColor="text1"/>
                <w:szCs w:val="28"/>
                <w14:textFill>
                  <w14:solidFill>
                    <w14:schemeClr w14:val="tx1"/>
                  </w14:solidFill>
                </w14:textFill>
              </w:rPr>
              <w:t>苗儿</w:t>
            </w:r>
            <w:r>
              <w:rPr>
                <w:rFonts w:hint="eastAsia" w:ascii="Times New Roman" w:hAnsi="Times New Roman" w:eastAsia="宋体" w:cs="Times New Roman"/>
                <w:color w:val="000000" w:themeColor="text1"/>
                <w:szCs w:val="28"/>
                <w14:textFill>
                  <w14:solidFill>
                    <w14:schemeClr w14:val="tx1"/>
                  </w14:solidFill>
                </w14:textFill>
              </w:rPr>
              <w:t>村</w:t>
            </w:r>
            <w:r>
              <w:rPr>
                <w:rFonts w:ascii="Times New Roman" w:hAnsi="Times New Roman" w:eastAsia="宋体" w:cs="Times New Roman"/>
                <w:color w:val="000000" w:themeColor="text1"/>
                <w:szCs w:val="28"/>
                <w14:textFill>
                  <w14:solidFill>
                    <w14:schemeClr w14:val="tx1"/>
                  </w14:solidFill>
                </w14:textFill>
              </w:rPr>
              <w:t>山地自行车体育公园。</w:t>
            </w:r>
          </w:p>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体育培训+文旅</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结合研学旅行和体育文化以及教育行业，开发游泳、乒乓球、排球、滑雪培训等体育培训产品，实现</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体育+研学文旅</w:t>
            </w:r>
            <w:r>
              <w:rPr>
                <w:rFonts w:hint="eastAsia" w:ascii="仿宋" w:hAnsi="仿宋" w:cs="Times New Roman"/>
                <w:color w:val="000000" w:themeColor="text1"/>
                <w:szCs w:val="28"/>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。打造一批体育文旅培训基地、培训学校（包括研学型和专业型的培训产品），加强青少年体育教育、研学教育。</w:t>
            </w:r>
          </w:p>
          <w:p>
            <w:pPr>
              <w:spacing w:before="0" w:after="0" w:line="540" w:lineRule="exact"/>
              <w:ind w:firstLine="562" w:firstLineChars="200"/>
              <w:jc w:val="both"/>
              <w:textAlignment w:val="center"/>
              <w:rPr>
                <w:rFonts w:ascii="Times New Roman" w:hAnsi="Times New Roman" w:eastAsia="宋体" w:cs="Times New Roman"/>
                <w:b/>
                <w:color w:val="000000" w:themeColor="text1"/>
                <w:sz w:val="21"/>
                <w:szCs w:val="21"/>
                <w14:textFill>
                  <w14:solidFill>
                    <w14:schemeClr w14:val="tx1"/>
                  </w14:solidFill>
                </w14:textFill>
              </w:rPr>
            </w:pP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体育装备+文旅</w:t>
            </w:r>
            <w:r>
              <w:rPr>
                <w:rFonts w:hint="eastAsia" w:ascii="仿宋" w:hAnsi="仿宋" w:cs="Times New Roman"/>
                <w:b/>
                <w:bCs/>
                <w:color w:val="000000" w:themeColor="text1"/>
                <w:szCs w:val="28"/>
                <w14:textFill>
                  <w14:solidFill>
                    <w14:schemeClr w14:val="tx1"/>
                  </w14:solidFill>
                </w14:textFill>
              </w:rPr>
              <w:t>”</w:t>
            </w:r>
            <w:r>
              <w:rPr>
                <w:rFonts w:ascii="Times New Roman" w:hAnsi="Times New Roman" w:eastAsia="宋体" w:cs="Times New Roman"/>
                <w:b/>
                <w:bCs/>
                <w:color w:val="000000" w:themeColor="text1"/>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结合乒乓球装备生产基地，以</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体育装备+文创</w:t>
            </w:r>
            <w:r>
              <w:rPr>
                <w:rFonts w:hint="eastAsia" w:ascii="仿宋" w:hAnsi="仿宋" w:cs="Times New Roman"/>
                <w:color w:val="000000" w:themeColor="text1"/>
                <w:spacing w:val="-6"/>
                <w:szCs w:val="28"/>
                <w14:textFill>
                  <w14:solidFill>
                    <w14:schemeClr w14:val="tx1"/>
                  </w14:solidFill>
                </w14:textFill>
              </w:rPr>
              <w:t>”</w:t>
            </w:r>
            <w:r>
              <w:rPr>
                <w:rFonts w:ascii="Times New Roman" w:hAnsi="Times New Roman" w:eastAsia="宋体" w:cs="Times New Roman"/>
                <w:color w:val="000000" w:themeColor="text1"/>
                <w:spacing w:val="-6"/>
                <w:szCs w:val="28"/>
                <w14:textFill>
                  <w14:solidFill>
                    <w14:schemeClr w14:val="tx1"/>
                  </w14:solidFill>
                </w14:textFill>
              </w:rPr>
              <w:t>的模式，将体育设备生产植入文旅产业，实现体育设备的文旅化生产。打造体育系列文创产品等。</w:t>
            </w:r>
          </w:p>
        </w:tc>
      </w:tr>
    </w:tbl>
    <w:p>
      <w:pPr>
        <w:pStyle w:val="2"/>
        <w:spacing w:line="579"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加快体育事业发展。</w:t>
      </w:r>
      <w:r>
        <w:rPr>
          <w:rFonts w:ascii="Times New Roman" w:hAnsi="Times New Roman" w:eastAsia="仿宋_GB2312" w:cs="Times New Roman"/>
          <w:color w:val="000000" w:themeColor="text1"/>
          <w:sz w:val="32"/>
          <w:szCs w:val="32"/>
          <w14:textFill>
            <w14:solidFill>
              <w14:schemeClr w14:val="tx1"/>
            </w14:solidFill>
          </w14:textFill>
        </w:rPr>
        <w:t>深入实施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全民健身</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国家战略，加快完善市（县）级体育场馆、全民健身中心、社区与村镇体育设施和群众体育活动场所，推动大型体育场馆免费或低收费向社会开放，打造社区15分钟健身圈，推动公共体育健身设施在乡镇、行政村实现100%全覆盖。积极发展老年体育事业、学校体育事业和体育社团组织，推动体育社团辐射到镇和重点村（社区）。</w:t>
      </w:r>
      <w:bookmarkEnd w:id="2327"/>
      <w:r>
        <w:rPr>
          <w:rFonts w:ascii="Times New Roman" w:hAnsi="Times New Roman" w:eastAsia="仿宋_GB2312" w:cs="Times New Roman"/>
          <w:color w:val="000000" w:themeColor="text1"/>
          <w:sz w:val="32"/>
          <w:szCs w:val="32"/>
          <w14:textFill>
            <w14:solidFill>
              <w14:schemeClr w14:val="tx1"/>
            </w14:solidFill>
          </w14:textFill>
        </w:rPr>
        <w:t>新建一批体育设施、体育公园</w:t>
      </w:r>
      <w:r>
        <w:rPr>
          <w:rFonts w:hint="eastAsia" w:ascii="Times New Roman" w:hAnsi="Times New Roman" w:eastAsia="仿宋_GB2312" w:cs="Times New Roman"/>
          <w:color w:val="000000" w:themeColor="text1"/>
          <w:sz w:val="32"/>
          <w:szCs w:val="32"/>
          <w14:textFill>
            <w14:solidFill>
              <w14:schemeClr w14:val="tx1"/>
            </w14:solidFill>
          </w14:textFill>
        </w:rPr>
        <w:t>和体育步道</w:t>
      </w:r>
      <w:r>
        <w:rPr>
          <w:rFonts w:ascii="Times New Roman" w:hAnsi="Times New Roman" w:eastAsia="仿宋_GB2312" w:cs="Times New Roman"/>
          <w:color w:val="000000" w:themeColor="text1"/>
          <w:sz w:val="32"/>
          <w:szCs w:val="32"/>
          <w14:textFill>
            <w14:solidFill>
              <w14:schemeClr w14:val="tx1"/>
            </w14:solidFill>
          </w14:textFill>
        </w:rPr>
        <w:t>，广泛开展全民健身活动，每年举办全市性群众体育活动不少于20次。到2025年，直接或间接参与活动的人数不少于100万人，常年性参加体育锻炼的人数占人口比率不少于30%，城乡居民体育达标率不低于90%。</w:t>
      </w:r>
      <w:r>
        <w:rPr>
          <w:rFonts w:ascii="Times New Roman" w:hAnsi="Times New Roman" w:eastAsia="仿宋_GB2312" w:cs="Times New Roman"/>
          <w:color w:val="000000" w:themeColor="text1"/>
          <w:sz w:val="32"/>
          <w:szCs w:val="32"/>
          <w14:textFill>
            <w14:solidFill>
              <w14:schemeClr w14:val="tx1"/>
            </w14:solidFill>
          </w14:textFill>
        </w:rPr>
        <w:br w:type="page"/>
      </w:r>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2519" w:name="_Toc25067"/>
      <w:bookmarkStart w:id="2520" w:name="_Toc30535"/>
      <w:bookmarkStart w:id="2521" w:name="_Toc28762"/>
      <w:bookmarkStart w:id="2522" w:name="_Toc22085"/>
      <w:bookmarkStart w:id="2523" w:name="_Toc29677"/>
      <w:bookmarkStart w:id="2524" w:name="_Toc22778"/>
      <w:bookmarkStart w:id="2525" w:name="_Toc13768"/>
      <w:bookmarkStart w:id="2526" w:name="_Toc2728"/>
      <w:bookmarkStart w:id="2527" w:name="_Toc17406"/>
      <w:bookmarkStart w:id="2528" w:name="_Toc32672"/>
      <w:bookmarkStart w:id="2529" w:name="_Toc2384"/>
      <w:bookmarkStart w:id="2530" w:name="_Toc27115"/>
      <w:bookmarkStart w:id="2531" w:name="_Toc29561"/>
      <w:bookmarkStart w:id="2532" w:name="_Toc24177"/>
      <w:bookmarkStart w:id="2533" w:name="_Toc25597"/>
      <w:bookmarkStart w:id="2534" w:name="_Toc21423"/>
      <w:bookmarkStart w:id="2535" w:name="_Toc4808"/>
      <w:bookmarkStart w:id="2536" w:name="_Toc5761"/>
      <w:bookmarkStart w:id="2537" w:name="_Toc31609"/>
      <w:bookmarkStart w:id="2538" w:name="_Toc6084"/>
      <w:bookmarkStart w:id="2539" w:name="_Toc2721"/>
      <w:bookmarkStart w:id="2540" w:name="_Toc29448"/>
      <w:bookmarkStart w:id="2541" w:name="_Toc11311"/>
      <w:bookmarkStart w:id="2542" w:name="_Toc21603"/>
      <w:bookmarkStart w:id="2543" w:name="_Toc11844"/>
      <w:bookmarkStart w:id="2544" w:name="_Toc21095"/>
      <w:bookmarkStart w:id="2545" w:name="_Toc22872"/>
      <w:bookmarkStart w:id="2546" w:name="_Toc27981"/>
      <w:bookmarkStart w:id="2547" w:name="_Toc13457"/>
      <w:bookmarkStart w:id="2548" w:name="_Toc8748"/>
      <w:bookmarkStart w:id="2549" w:name="_Toc14571"/>
      <w:bookmarkStart w:id="2550" w:name="_Toc28373"/>
      <w:bookmarkStart w:id="2551" w:name="_Toc10839"/>
      <w:bookmarkStart w:id="2552" w:name="_Toc7604"/>
      <w:bookmarkStart w:id="2553" w:name="_Toc19326"/>
      <w:bookmarkStart w:id="2554" w:name="_Toc24035"/>
      <w:bookmarkStart w:id="2555" w:name="_Toc32509"/>
      <w:r>
        <w:rPr>
          <w:rFonts w:ascii="Times New Roman" w:hAnsi="Times New Roman" w:cs="Times New Roman"/>
          <w:color w:val="000000" w:themeColor="text1"/>
          <w14:textFill>
            <w14:solidFill>
              <w14:schemeClr w14:val="tx1"/>
            </w14:solidFill>
          </w14:textFill>
        </w:rPr>
        <w:t>第十四章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坚持绿色发展 打造生态文明建设新样板</w:t>
      </w:r>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p>
    <w:p>
      <w:pPr>
        <w:widowControl w:val="0"/>
        <w:adjustRightInd/>
        <w:snapToGrid/>
        <w:spacing w:before="0" w:after="0" w:line="57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widowControl w:val="0"/>
        <w:adjustRightInd/>
        <w:snapToGrid/>
        <w:spacing w:before="0" w:after="0" w:line="560" w:lineRule="exact"/>
        <w:ind w:firstLine="64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绿色生态是邵阳最宝贵的财富，也是最大的民生福祉。牢固树立绿水青山就是金山银山的绿色发展理念，把生态文明纳入经济社会发展的各方面和全过程，加快建设天蓝、地绿、水净的美丽家园，打造全国生态文明先行示范区的邵阳样板。</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556" w:name="_Toc16999"/>
      <w:bookmarkStart w:id="2557" w:name="_Toc25035"/>
      <w:bookmarkStart w:id="2558" w:name="_Toc13557"/>
      <w:bookmarkStart w:id="2559" w:name="_Toc13094"/>
      <w:bookmarkStart w:id="2560" w:name="_Toc17591"/>
      <w:bookmarkStart w:id="2561" w:name="_Toc14148"/>
      <w:bookmarkStart w:id="2562" w:name="_Toc7082"/>
      <w:bookmarkStart w:id="2563" w:name="_Toc30978"/>
      <w:bookmarkStart w:id="2564" w:name="_Toc21614"/>
      <w:bookmarkStart w:id="2565" w:name="_Toc17083"/>
      <w:bookmarkStart w:id="2566" w:name="_Toc27257"/>
      <w:bookmarkStart w:id="2567" w:name="_Toc26960"/>
      <w:bookmarkStart w:id="2568" w:name="_Toc2052"/>
      <w:bookmarkStart w:id="2569" w:name="_Toc25836"/>
      <w:bookmarkStart w:id="2570" w:name="_Toc32207"/>
      <w:bookmarkStart w:id="2571" w:name="_Toc3371"/>
      <w:bookmarkStart w:id="2572" w:name="_Toc3844"/>
      <w:bookmarkStart w:id="2573" w:name="_Toc2825"/>
      <w:bookmarkStart w:id="2574" w:name="_Toc9325"/>
      <w:bookmarkStart w:id="2575" w:name="_Toc22606"/>
      <w:bookmarkStart w:id="2576" w:name="_Toc16059"/>
      <w:bookmarkStart w:id="2577" w:name="_Toc10397"/>
      <w:bookmarkStart w:id="2578" w:name="_Toc28526"/>
      <w:bookmarkStart w:id="2579" w:name="_Toc13891"/>
      <w:bookmarkStart w:id="2580" w:name="_Toc12930"/>
      <w:bookmarkStart w:id="2581" w:name="_Toc30412"/>
      <w:bookmarkStart w:id="2582" w:name="_Toc15221"/>
      <w:bookmarkStart w:id="2583" w:name="_Toc16548"/>
      <w:bookmarkStart w:id="2584" w:name="_Toc24783"/>
      <w:bookmarkStart w:id="2585" w:name="_Toc4077"/>
      <w:bookmarkStart w:id="2586" w:name="_Toc9038"/>
      <w:bookmarkStart w:id="2587" w:name="_Toc24658"/>
      <w:bookmarkStart w:id="2588" w:name="_Toc21648"/>
      <w:bookmarkStart w:id="2589" w:name="_Toc14196"/>
      <w:bookmarkStart w:id="2590" w:name="_Toc24211"/>
      <w:bookmarkStart w:id="2591" w:name="_Toc14266"/>
      <w:bookmarkStart w:id="2592" w:name="_Toc18416"/>
      <w:r>
        <w:rPr>
          <w:rFonts w:ascii="Times New Roman" w:hAnsi="Times New Roman" w:cs="Times New Roman"/>
          <w:color w:val="000000" w:themeColor="text1"/>
          <w:szCs w:val="32"/>
          <w14:textFill>
            <w14:solidFill>
              <w14:schemeClr w14:val="tx1"/>
            </w14:solidFill>
          </w14:textFill>
        </w:rPr>
        <w:t>第一节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集约节约利用资源</w:t>
      </w:r>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实施绿色资源节约利用行动计划，坚持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开发与节约并重、节约优先</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的方针，以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低消耗、低排放、高效益、可持续</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为目标，加强对各种资源的保护和管理，着力构建政府推动、市场驱动、社会参与的低碳循环发展新机制。</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建立能源消费</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双控</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制度。</w:t>
      </w:r>
      <w:r>
        <w:rPr>
          <w:rFonts w:ascii="Times New Roman" w:hAnsi="Times New Roman" w:eastAsia="仿宋_GB2312" w:cs="Times New Roman"/>
          <w:color w:val="000000" w:themeColor="text1"/>
          <w:sz w:val="32"/>
          <w:szCs w:val="32"/>
          <w14:textFill>
            <w14:solidFill>
              <w14:schemeClr w14:val="tx1"/>
            </w14:solidFill>
          </w14:textFill>
        </w:rPr>
        <w:t>继续深入实行阶梯水价、电价、气价，控制全社会能源消费总量和强度。加快能源技术创新，建设清洁低碳、安全高效的现代能源体系。调整能源消费结构，增加非化石能源占一次能源消费比重，推动煤炭等化石能源清洁高效利用。加快发展生物质能等清洁能源。加强储能和智能电网建设，发展分布式能源，推行节能低碳电力调度。加强对“两高”项目的管理，推动能耗在线监测平台建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坚持严格的节约用地管理制度。</w:t>
      </w:r>
      <w:r>
        <w:rPr>
          <w:rFonts w:ascii="Times New Roman" w:hAnsi="Times New Roman" w:eastAsia="仿宋_GB2312" w:cs="Times New Roman"/>
          <w:color w:val="000000" w:themeColor="text1"/>
          <w:sz w:val="32"/>
          <w:szCs w:val="32"/>
          <w14:textFill>
            <w14:solidFill>
              <w14:schemeClr w14:val="tx1"/>
            </w14:solidFill>
          </w14:textFill>
        </w:rPr>
        <w:t>调整建设用地结构，推进城镇低效用地再开发和工矿废弃地复垦工作，探索实行耕地轮作休耕制度试点。加强耕地利用管理，推动土地有效流转，促进撂荒地恢复耕种，提高土地利用率和效益。加强林地保护管理，实行征占用林地定额管理和森林面积占补平衡制度。</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实行严格的水资源管理制度。</w:t>
      </w:r>
      <w:r>
        <w:rPr>
          <w:rFonts w:ascii="Times New Roman" w:hAnsi="Times New Roman" w:eastAsia="仿宋_GB2312" w:cs="Times New Roman"/>
          <w:color w:val="000000" w:themeColor="text1"/>
          <w:sz w:val="32"/>
          <w:szCs w:val="32"/>
          <w14:textFill>
            <w14:solidFill>
              <w14:schemeClr w14:val="tx1"/>
            </w14:solidFill>
          </w14:textFill>
        </w:rPr>
        <w:t>重视水安全，强化水资源管理和有偿使用，建设节水型社会。实施雨洪资源利用、再生水利用工程。</w:t>
      </w:r>
      <w:r>
        <w:rPr>
          <w:rFonts w:hint="eastAsia" w:ascii="Times New Roman" w:hAnsi="Times New Roman" w:eastAsia="仿宋_GB2312" w:cs="Times New Roman"/>
          <w:color w:val="000000" w:themeColor="text1"/>
          <w:sz w:val="32"/>
          <w:szCs w:val="32"/>
          <w14:textFill>
            <w14:solidFill>
              <w14:schemeClr w14:val="tx1"/>
            </w14:solidFill>
          </w14:textFill>
        </w:rPr>
        <w:t>加大地下水超采治理力度，提高水资源利用效率。</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提高矿产资源利用水平。</w:t>
      </w:r>
      <w:r>
        <w:rPr>
          <w:rFonts w:ascii="Times New Roman" w:hAnsi="Times New Roman" w:eastAsia="仿宋_GB2312" w:cs="Times New Roman"/>
          <w:color w:val="000000" w:themeColor="text1"/>
          <w:sz w:val="32"/>
          <w:szCs w:val="32"/>
          <w14:textFill>
            <w14:solidFill>
              <w14:schemeClr w14:val="tx1"/>
            </w14:solidFill>
          </w14:textFill>
        </w:rPr>
        <w:t>健全和完善矿产资源勘查、开发、监督管理的长效机制。完善矿权的登、转、延、变等制度，推进资源整合，提高规模化、集约化开发水平。</w:t>
      </w:r>
      <w:r>
        <w:rPr>
          <w:rFonts w:hint="eastAsia" w:ascii="Times New Roman" w:hAnsi="Times New Roman" w:eastAsia="仿宋_GB2312" w:cs="Times New Roman"/>
          <w:color w:val="000000" w:themeColor="text1"/>
          <w:sz w:val="32"/>
          <w:szCs w:val="32"/>
          <w14:textFill>
            <w14:solidFill>
              <w14:schemeClr w14:val="tx1"/>
            </w14:solidFill>
          </w14:textFill>
        </w:rPr>
        <w:t>推进矿业绿色发展，建设绿色矿山。</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bCs/>
          <w:color w:val="000000" w:themeColor="text1"/>
          <w:sz w:val="32"/>
          <w:szCs w:val="32"/>
          <w14:textFill>
            <w14:solidFill>
              <w14:schemeClr w14:val="tx1"/>
            </w14:solidFill>
          </w14:textFill>
        </w:rPr>
        <w:t>推动循环低碳发展。</w:t>
      </w:r>
      <w:r>
        <w:rPr>
          <w:rFonts w:hint="eastAsia" w:ascii="Times New Roman" w:hAnsi="Times New Roman" w:eastAsia="仿宋_GB2312" w:cs="Times New Roman"/>
          <w:color w:val="000000" w:themeColor="text1"/>
          <w:sz w:val="32"/>
          <w:szCs w:val="32"/>
          <w14:textFill>
            <w14:solidFill>
              <w14:schemeClr w14:val="tx1"/>
            </w14:solidFill>
          </w14:textFill>
        </w:rPr>
        <w:t>降低碳排放强度，落实国家碳排放达峰行动计划。</w:t>
      </w:r>
      <w:r>
        <w:rPr>
          <w:rFonts w:ascii="Times New Roman" w:hAnsi="Times New Roman" w:eastAsia="仿宋_GB2312" w:cs="Times New Roman"/>
          <w:color w:val="000000" w:themeColor="text1"/>
          <w:sz w:val="32"/>
          <w:szCs w:val="32"/>
          <w14:textFill>
            <w14:solidFill>
              <w14:schemeClr w14:val="tx1"/>
            </w14:solidFill>
          </w14:textFill>
        </w:rPr>
        <w:t>推行低碳、节能、可再回收的消费模式，加强垃圾分类回收利用，不断减少消费过程产生的废物和污染物，努力降低消费和服务对自然资源的消耗。大力推广绿色建筑和绿色低碳出行，倡导绿色办公、绿色生活和休闲模式。推动形成健康文明的消费观念，积极引导消费者选择绿色能耗小的节能环保低碳产品，倡导绿色、合理消费，反对奢侈浪费和不合理消费。构建绿色循环产业发展体系，打造多元化、错层次循环产业链，推动废弃物循环利用产业</w:t>
      </w:r>
      <w:r>
        <w:rPr>
          <w:rFonts w:hint="eastAsia" w:ascii="Times New Roman" w:hAnsi="Times New Roman" w:eastAsia="仿宋_GB2312" w:cs="Times New Roman"/>
          <w:color w:val="000000" w:themeColor="text1"/>
          <w:sz w:val="32"/>
          <w:szCs w:val="32"/>
          <w14:textFill>
            <w14:solidFill>
              <w14:schemeClr w14:val="tx1"/>
            </w14:solidFill>
          </w14:textFill>
        </w:rPr>
        <w:t>发展</w:t>
      </w:r>
      <w:r>
        <w:rPr>
          <w:rFonts w:ascii="Times New Roman" w:hAnsi="Times New Roman" w:eastAsia="仿宋_GB2312" w:cs="Times New Roman"/>
          <w:color w:val="000000" w:themeColor="text1"/>
          <w:sz w:val="32"/>
          <w:szCs w:val="32"/>
          <w14:textFill>
            <w14:solidFill>
              <w14:schemeClr w14:val="tx1"/>
            </w14:solidFill>
          </w14:textFill>
        </w:rPr>
        <w:t>。</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593" w:name="_Toc5974"/>
      <w:bookmarkStart w:id="2594" w:name="_Toc28791"/>
      <w:bookmarkStart w:id="2595" w:name="_Toc26536"/>
      <w:bookmarkStart w:id="2596" w:name="_Toc8952"/>
      <w:bookmarkStart w:id="2597" w:name="_Toc21255"/>
      <w:bookmarkStart w:id="2598" w:name="_Toc29244"/>
      <w:bookmarkStart w:id="2599" w:name="_Toc22052"/>
      <w:bookmarkStart w:id="2600" w:name="_Toc30489"/>
      <w:bookmarkStart w:id="2601" w:name="_Toc27493"/>
      <w:bookmarkStart w:id="2602" w:name="_Toc13409"/>
      <w:bookmarkStart w:id="2603" w:name="_Toc14070"/>
      <w:bookmarkStart w:id="2604" w:name="_Toc573"/>
      <w:bookmarkStart w:id="2605" w:name="_Toc31575"/>
      <w:bookmarkStart w:id="2606" w:name="_Toc24189"/>
      <w:bookmarkStart w:id="2607" w:name="_Toc17327"/>
      <w:bookmarkStart w:id="2608" w:name="_Toc19365"/>
      <w:bookmarkStart w:id="2609" w:name="_Toc13083"/>
      <w:bookmarkStart w:id="2610" w:name="_Toc17722"/>
      <w:bookmarkStart w:id="2611" w:name="_Toc19887"/>
      <w:bookmarkStart w:id="2612" w:name="_Toc26512"/>
      <w:bookmarkStart w:id="2613" w:name="_Toc20868"/>
      <w:bookmarkStart w:id="2614" w:name="_Toc12832"/>
      <w:bookmarkStart w:id="2615" w:name="_Toc1409"/>
      <w:bookmarkStart w:id="2616" w:name="_Toc28554"/>
      <w:bookmarkStart w:id="2617" w:name="_Toc4778"/>
      <w:bookmarkStart w:id="2618" w:name="_Toc11219"/>
      <w:bookmarkStart w:id="2619" w:name="_Toc24393"/>
      <w:bookmarkStart w:id="2620" w:name="_Toc13899"/>
      <w:bookmarkStart w:id="2621" w:name="_Toc5634"/>
      <w:bookmarkStart w:id="2622" w:name="_Toc16099"/>
      <w:bookmarkStart w:id="2623" w:name="_Toc28570"/>
      <w:bookmarkStart w:id="2624" w:name="_Toc24919"/>
      <w:bookmarkStart w:id="2625" w:name="_Toc23484"/>
      <w:bookmarkStart w:id="2626" w:name="_Toc22314"/>
      <w:bookmarkStart w:id="2627" w:name="_Toc12541"/>
      <w:bookmarkStart w:id="2628" w:name="_Toc15978"/>
      <w:bookmarkStart w:id="2629" w:name="_Toc29819"/>
      <w:r>
        <w:rPr>
          <w:rFonts w:ascii="Times New Roman" w:hAnsi="Times New Roman" w:cs="Times New Roman"/>
          <w:color w:val="000000" w:themeColor="text1"/>
          <w:szCs w:val="32"/>
          <w14:textFill>
            <w14:solidFill>
              <w14:schemeClr w14:val="tx1"/>
            </w14:solidFill>
          </w14:textFill>
        </w:rPr>
        <w:t>第二节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加强生态保护修复</w:t>
      </w:r>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坚持保护为先、自然恢复为主的方针，着力保住山、稳住水、留住鸟，构建安全可靠的生态环保体系，增进人民群众的生态福祉。</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推进长江经济带绿色生态廊道建设。</w:t>
      </w:r>
      <w:r>
        <w:rPr>
          <w:rFonts w:ascii="Times New Roman" w:hAnsi="Times New Roman" w:eastAsia="仿宋_GB2312" w:cs="Times New Roman"/>
          <w:color w:val="000000" w:themeColor="text1"/>
          <w:sz w:val="32"/>
          <w:szCs w:val="32"/>
          <w14:textFill>
            <w14:solidFill>
              <w14:schemeClr w14:val="tx1"/>
            </w14:solidFill>
          </w14:textFill>
        </w:rPr>
        <w:t>严格落实长江流域禁捕退捕工作，抓好退捕渔民社保及转产安置等工作，确保禁捕退捕工作走在全省前列。做好雪峰山自然保护地保护发展规划，加强自然保护地、生态脆弱区及交通沿线绿地等保护与管理，实施一批生态修复项目，切实将雪峰山打造成湘西南生态屏障。实施新一轮造林绿化、退耕还林、生态公益林保护、低产低效林改造等生态林业工程，开展大规模国土绿化行动，在生态保护区全面实施封山育林，稳步提高森林覆盖率。到2025年，全市森林覆盖率稳定在60%左右。实施大尺度景观、大面积水域、大生态绿化，大力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精品公园+生态绿廊+郊野公园</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三级梯度建设。加快推进沿江风光带、都市田园休闲观光带和都市田园休闲观光区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两带一区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等重点生态工程建设，形成城市园林化、道路林荫化、乡村林果化、园区生态化的美好景致。到2025年，建成区绿化覆盖率达到42%以上。</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bCs/>
          <w:color w:val="000000" w:themeColor="text1"/>
          <w:sz w:val="32"/>
          <w:szCs w:val="32"/>
          <w14:textFill>
            <w14:solidFill>
              <w14:schemeClr w14:val="tx1"/>
            </w14:solidFill>
          </w14:textFill>
        </w:rPr>
        <w:t>加强</w:t>
      </w:r>
      <w:r>
        <w:rPr>
          <w:rFonts w:ascii="Times New Roman" w:hAnsi="Times New Roman" w:eastAsia="仿宋_GB2312" w:cs="Times New Roman"/>
          <w:b/>
          <w:bCs/>
          <w:color w:val="000000" w:themeColor="text1"/>
          <w:sz w:val="32"/>
          <w:szCs w:val="32"/>
          <w14:textFill>
            <w14:solidFill>
              <w14:schemeClr w14:val="tx1"/>
            </w14:solidFill>
          </w14:textFill>
        </w:rPr>
        <w:t>生态环境保护</w:t>
      </w:r>
      <w:r>
        <w:rPr>
          <w:rFonts w:hint="eastAsia" w:ascii="Times New Roman" w:hAnsi="Times New Roman" w:eastAsia="仿宋_GB2312" w:cs="Times New Roman"/>
          <w:b/>
          <w:bCs/>
          <w:color w:val="000000" w:themeColor="text1"/>
          <w:sz w:val="32"/>
          <w:szCs w:val="32"/>
          <w14:textFill>
            <w14:solidFill>
              <w14:schemeClr w14:val="tx1"/>
            </w14:solidFill>
          </w14:textFill>
        </w:rPr>
        <w:t>治理</w:t>
      </w:r>
      <w:r>
        <w:rPr>
          <w:rFonts w:ascii="Times New Roman" w:hAnsi="Times New Roman" w:eastAsia="仿宋_GB2312" w:cs="Times New Roman"/>
          <w:b/>
          <w:bCs/>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深入打好污染防治攻坚战，坚决抓好中央生态环保督察和长江经济带生态环境警示问题整改，</w:t>
      </w:r>
      <w:r>
        <w:rPr>
          <w:rFonts w:ascii="Times New Roman" w:hAnsi="Times New Roman" w:eastAsia="仿宋_GB2312" w:cs="Times New Roman"/>
          <w:color w:val="000000" w:themeColor="text1"/>
          <w:sz w:val="32"/>
          <w:szCs w:val="32"/>
          <w14:textFill>
            <w14:solidFill>
              <w14:schemeClr w14:val="tx1"/>
            </w14:solidFill>
          </w14:textFill>
        </w:rPr>
        <w:t>建立跨行政区域污染防治联动和会商机制。推进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蓝天</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保卫行动。采取限期改造、限排限产、停产关闭等综合措施，推进火电、水泥等重点行业超低排放改造。继续推进老旧车辆和老旧农机淘汰工作。加强建设工地扬尘控制，严格落实</w:t>
      </w:r>
      <w:r>
        <w:rPr>
          <w:rFonts w:hint="eastAsia" w:ascii="仿宋" w:hAnsi="仿宋"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六</w:t>
      </w:r>
      <w:r>
        <w:rPr>
          <w:rFonts w:ascii="Times New Roman" w:hAnsi="Times New Roman" w:eastAsia="仿宋_GB2312" w:cs="Times New Roman"/>
          <w:color w:val="000000" w:themeColor="text1"/>
          <w:sz w:val="32"/>
          <w:szCs w:val="32"/>
          <w14:textFill>
            <w14:solidFill>
              <w14:schemeClr w14:val="tx1"/>
            </w14:solidFill>
          </w14:textFill>
        </w:rPr>
        <w:t>个100%</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长效机制。加强秸秆禁烧管控，建立网格化监管制度。推进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碧水</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攻坚行动。持续推进市区黑臭水体治理工作，重点加大对龙须沟、洋溪沟水体治理。全面推进乡镇污水处理厂建设，加快提升全市污水管网覆盖率。启动市区及各县城第二水源暨城乡一体化工程建设。持续开展农村人居环境整治行动。加强农村面源污染治理。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净土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持久行动。加强耕地土壤环境分类管理。全面实施土壤污染防治行动计划，建立建设用地土壤污染风险管控和修复名录。推进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清废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巩固行动。深入推进</w:t>
      </w:r>
      <w:r>
        <w:rPr>
          <w:rFonts w:hint="eastAsia" w:ascii="Times New Roman" w:hAnsi="Times New Roman" w:eastAsia="仿宋_GB2312" w:cs="Times New Roman"/>
          <w:color w:val="000000" w:themeColor="text1"/>
          <w:sz w:val="32"/>
          <w:szCs w:val="32"/>
          <w14:textFill>
            <w14:solidFill>
              <w14:schemeClr w14:val="tx1"/>
            </w14:solidFill>
          </w14:textFill>
        </w:rPr>
        <w:t>塑料污染治理，</w:t>
      </w:r>
      <w:r>
        <w:rPr>
          <w:rFonts w:ascii="Times New Roman" w:hAnsi="Times New Roman" w:eastAsia="仿宋_GB2312" w:cs="Times New Roman"/>
          <w:color w:val="000000" w:themeColor="text1"/>
          <w:sz w:val="32"/>
          <w:szCs w:val="32"/>
          <w14:textFill>
            <w14:solidFill>
              <w14:schemeClr w14:val="tx1"/>
            </w14:solidFill>
          </w14:textFill>
        </w:rPr>
        <w:t>垃圾分类减量提质增效，进一步完善收转运体系，加强分类质量监管和执法检查，实现城镇生活垃圾无害化处置率达到100%。加快推进再生资源综合利用，全面提高固废再利用水平。</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jc w:val="center"/>
              <w:textAlignment w:val="center"/>
              <w:rPr>
                <w:rFonts w:ascii="Times New Roman" w:hAnsi="Times New Roman" w:eastAsia="宋体" w:cs="Times New Roman"/>
                <w:b/>
                <w:color w:val="000000" w:themeColor="text1"/>
                <w:szCs w:val="28"/>
                <w14:textFill>
                  <w14:solidFill>
                    <w14:schemeClr w14:val="tx1"/>
                  </w14:solidFill>
                </w14:textFill>
              </w:rPr>
            </w:pPr>
            <w:r>
              <w:rPr>
                <w:rFonts w:ascii="Times New Roman" w:hAnsi="Times New Roman" w:eastAsia="黑体" w:cs="Times New Roman"/>
                <w:bCs/>
                <w:color w:val="000000" w:themeColor="text1"/>
                <w:szCs w:val="28"/>
                <w14:textFill>
                  <w14:solidFill>
                    <w14:schemeClr w14:val="tx1"/>
                  </w14:solidFill>
                </w14:textFill>
              </w:rPr>
              <w:t>专栏40：环境污染治理行动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重点区域金属污染综合治理工程：</w:t>
            </w:r>
            <w:r>
              <w:rPr>
                <w:rFonts w:ascii="Times New Roman" w:hAnsi="Times New Roman" w:eastAsia="宋体" w:cs="Times New Roman"/>
                <w:bCs/>
                <w:color w:val="000000" w:themeColor="text1"/>
                <w:szCs w:val="28"/>
                <w14:textFill>
                  <w14:solidFill>
                    <w14:schemeClr w14:val="tx1"/>
                  </w14:solidFill>
                </w14:textFill>
              </w:rPr>
              <w:t>大力推进产业结构调整、工业污染源控制、清洁生产、历史遗留污染治理，深入推进龙须塘、洋溪桥、邵东涉锰、新邵龙山、邵东九龙、洞口石下江、武冈文坪、新宁军田、一渡水、回龙寺等重点区域重金属污染综合防治。</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资江流域水环境综合整治工程：</w:t>
            </w:r>
            <w:r>
              <w:rPr>
                <w:rFonts w:ascii="Times New Roman" w:hAnsi="Times New Roman" w:eastAsia="宋体" w:cs="Times New Roman"/>
                <w:bCs/>
                <w:color w:val="000000" w:themeColor="text1"/>
                <w:szCs w:val="28"/>
                <w14:textFill>
                  <w14:solidFill>
                    <w14:schemeClr w14:val="tx1"/>
                  </w14:solidFill>
                </w14:textFill>
              </w:rPr>
              <w:t>加快推进资江流域干流、支流环境综合治理，包括污水垃圾处理工程，防洪堤建设，雨污分离截污管网建设，河道疏浚、清淤，两岸绿化等。</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重点工业企业减排工程：</w:t>
            </w:r>
            <w:r>
              <w:rPr>
                <w:rFonts w:ascii="Times New Roman" w:hAnsi="Times New Roman" w:eastAsia="宋体" w:cs="Times New Roman"/>
                <w:bCs/>
                <w:color w:val="000000" w:themeColor="text1"/>
                <w:szCs w:val="28"/>
                <w14:textFill>
                  <w14:solidFill>
                    <w14:schemeClr w14:val="tx1"/>
                  </w14:solidFill>
                </w14:textFill>
              </w:rPr>
              <w:t>加快推进水泥、化工等行业产业结构调整，淘汰落后产能，推动转型升级。完善工业园区污水处理设施，实施废水集中处理。对造纸等行业开展废水污染设施升级与改造。淘汰燃煤小锅炉，升级改造火电机组脱硫脱硝除尘设施、水泥企业脱硝除尘设施和燃煤锅炉脱硫脱硝除尘设施。</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城镇污水垃圾设施提质扩容工程：</w:t>
            </w:r>
            <w:r>
              <w:rPr>
                <w:rFonts w:ascii="Times New Roman" w:hAnsi="Times New Roman" w:eastAsia="宋体" w:cs="Times New Roman"/>
                <w:bCs/>
                <w:color w:val="000000" w:themeColor="text1"/>
                <w:szCs w:val="28"/>
                <w14:textFill>
                  <w14:solidFill>
                    <w14:schemeClr w14:val="tx1"/>
                  </w14:solidFill>
                </w14:textFill>
              </w:rPr>
              <w:t>扩建城市生活污水</w:t>
            </w:r>
            <w:r>
              <w:rPr>
                <w:rFonts w:hint="eastAsia" w:ascii="Times New Roman" w:hAnsi="Times New Roman" w:eastAsia="宋体" w:cs="Times New Roman"/>
                <w:bCs/>
                <w:color w:val="000000" w:themeColor="text1"/>
                <w:szCs w:val="28"/>
                <w14:textFill>
                  <w14:solidFill>
                    <w14:schemeClr w14:val="tx1"/>
                  </w14:solidFill>
                </w14:textFill>
              </w:rPr>
              <w:t>处理</w:t>
            </w:r>
            <w:r>
              <w:rPr>
                <w:rFonts w:ascii="Times New Roman" w:hAnsi="Times New Roman" w:eastAsia="宋体" w:cs="Times New Roman"/>
                <w:bCs/>
                <w:color w:val="000000" w:themeColor="text1"/>
                <w:szCs w:val="28"/>
                <w14:textFill>
                  <w14:solidFill>
                    <w14:schemeClr w14:val="tx1"/>
                  </w14:solidFill>
                </w14:textFill>
              </w:rPr>
              <w:t>厂、扩大污水处理能力，逐步推进重点镇及人口集中乡镇生活污水</w:t>
            </w:r>
            <w:r>
              <w:rPr>
                <w:rFonts w:hint="eastAsia" w:ascii="Times New Roman" w:hAnsi="Times New Roman" w:eastAsia="宋体" w:cs="Times New Roman"/>
                <w:bCs/>
                <w:color w:val="000000" w:themeColor="text1"/>
                <w:szCs w:val="28"/>
                <w14:textFill>
                  <w14:solidFill>
                    <w14:schemeClr w14:val="tx1"/>
                  </w14:solidFill>
                </w14:textFill>
              </w:rPr>
              <w:t>处理</w:t>
            </w:r>
            <w:r>
              <w:rPr>
                <w:rFonts w:ascii="Times New Roman" w:hAnsi="Times New Roman" w:eastAsia="宋体" w:cs="Times New Roman"/>
                <w:bCs/>
                <w:color w:val="000000" w:themeColor="text1"/>
                <w:szCs w:val="28"/>
                <w14:textFill>
                  <w14:solidFill>
                    <w14:schemeClr w14:val="tx1"/>
                  </w14:solidFill>
                </w14:textFill>
              </w:rPr>
              <w:t>厂建设，推进现有污水处理厂升级改造，加快污泥处置设施建设，完善乡镇和农村生活垃圾收集、清运、中转体系，逐步实现城乡垃圾处理一体化。</w:t>
            </w:r>
          </w:p>
          <w:p>
            <w:pPr>
              <w:spacing w:before="0" w:after="0" w:line="540" w:lineRule="exact"/>
              <w:ind w:firstLine="562" w:firstLineChars="200"/>
              <w:jc w:val="both"/>
              <w:textAlignment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农村环境综合整治整县（区）推进工程：</w:t>
            </w:r>
            <w:r>
              <w:rPr>
                <w:rFonts w:ascii="Times New Roman" w:hAnsi="Times New Roman" w:eastAsia="宋体" w:cs="Times New Roman"/>
                <w:bCs/>
                <w:color w:val="000000" w:themeColor="text1"/>
                <w:szCs w:val="28"/>
                <w14:textFill>
                  <w14:solidFill>
                    <w14:schemeClr w14:val="tx1"/>
                  </w14:solidFill>
                </w14:textFill>
              </w:rPr>
              <w:t>加强农村饮用水水源地保护、农村生活污水处理、农村垃圾处理处置、畜禽养殖污染防治、农业面源污染防治、生态文明建设示范，实现农村环境综合整治全市覆盖。</w:t>
            </w:r>
          </w:p>
        </w:tc>
      </w:tr>
    </w:tbl>
    <w:p>
      <w:bookmarkStart w:id="2630" w:name="_Toc17472"/>
      <w:bookmarkStart w:id="2631" w:name="_Toc20277"/>
      <w:bookmarkStart w:id="2632" w:name="_Toc20270"/>
      <w:bookmarkStart w:id="2633" w:name="_Toc8176"/>
      <w:bookmarkStart w:id="2634" w:name="_Toc3426"/>
      <w:bookmarkStart w:id="2635" w:name="_Toc3226"/>
      <w:bookmarkStart w:id="2636" w:name="_Toc3513"/>
      <w:bookmarkStart w:id="2637" w:name="_Toc23870"/>
      <w:bookmarkStart w:id="2638" w:name="_Toc21383"/>
      <w:bookmarkStart w:id="2639" w:name="_Toc5908"/>
      <w:bookmarkStart w:id="2640" w:name="_Toc28228"/>
      <w:bookmarkStart w:id="2641" w:name="_Toc18603"/>
      <w:bookmarkStart w:id="2642" w:name="_Toc19593"/>
      <w:bookmarkStart w:id="2643" w:name="_Toc32204"/>
      <w:bookmarkStart w:id="2644" w:name="_Toc8997"/>
      <w:bookmarkStart w:id="2645" w:name="_Toc7489"/>
      <w:bookmarkStart w:id="2646" w:name="_Toc25189"/>
      <w:bookmarkStart w:id="2647" w:name="_Toc26836"/>
      <w:bookmarkStart w:id="2648" w:name="_Toc5120"/>
      <w:bookmarkStart w:id="2649" w:name="_Toc28862"/>
      <w:bookmarkStart w:id="2650" w:name="_Toc18444"/>
      <w:bookmarkStart w:id="2651" w:name="_Toc25212"/>
      <w:bookmarkStart w:id="2652" w:name="_Toc4842"/>
      <w:bookmarkStart w:id="2653" w:name="_Toc7132"/>
      <w:bookmarkStart w:id="2654" w:name="_Toc12489"/>
      <w:bookmarkStart w:id="2655" w:name="_Toc25337"/>
      <w:bookmarkStart w:id="2656" w:name="_Toc1771"/>
      <w:bookmarkStart w:id="2657" w:name="_Toc13302"/>
      <w:bookmarkStart w:id="2658" w:name="_Toc5615"/>
      <w:bookmarkStart w:id="2659" w:name="_Toc30518"/>
      <w:bookmarkStart w:id="2660" w:name="_Toc25422"/>
      <w:bookmarkStart w:id="2661" w:name="_Toc1571"/>
      <w:bookmarkStart w:id="2662" w:name="_Toc19804"/>
    </w:p>
    <w:p>
      <w:pPr>
        <w:pStyle w:val="4"/>
        <w:keepNext w:val="0"/>
        <w:keepLines w:val="0"/>
        <w:widowControl w:val="0"/>
        <w:adjustRightInd/>
        <w:snapToGrid/>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663" w:name="_Toc14036"/>
      <w:bookmarkStart w:id="2664" w:name="_Toc23961"/>
      <w:r>
        <w:rPr>
          <w:rFonts w:ascii="Times New Roman" w:hAnsi="Times New Roman" w:cs="Times New Roman"/>
          <w:color w:val="000000" w:themeColor="text1"/>
          <w:szCs w:val="32"/>
          <w14:textFill>
            <w14:solidFill>
              <w14:schemeClr w14:val="tx1"/>
            </w14:solidFill>
          </w14:textFill>
        </w:rPr>
        <w:t xml:space="preserve">第三节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推动南山国家公园保护建设</w:t>
      </w:r>
      <w:bookmarkEnd w:id="2663"/>
      <w:bookmarkEnd w:id="2664"/>
    </w:p>
    <w:p>
      <w:pPr>
        <w:widowControl w:val="0"/>
        <w:adjustRightInd/>
        <w:snapToGrid/>
        <w:spacing w:before="0" w:after="0"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南山国家公园是“山水林田湖草”生命共同体典型代表，重要水源涵养地，区内生态系统代表性、原真性和完整性相对较强，自然资源价值较高，加强生态系统、野生动物</w:t>
      </w:r>
      <w:r>
        <w:rPr>
          <w:rFonts w:ascii="Times New Roman" w:hAnsi="Times New Roman" w:eastAsia="仿宋_GB2312" w:cs="Times New Roman"/>
          <w:sz w:val="32"/>
          <w:szCs w:val="32"/>
        </w:rPr>
        <w:t>栖息地和候鸟迁徙</w:t>
      </w:r>
      <w:r>
        <w:rPr>
          <w:rFonts w:hint="eastAsia" w:ascii="Times New Roman" w:hAnsi="Times New Roman" w:eastAsia="仿宋_GB2312" w:cs="Times New Roman"/>
          <w:sz w:val="32"/>
          <w:szCs w:val="32"/>
        </w:rPr>
        <w:t>通道保护，对增强森林和湿地生态系统联通性、协调性、完整性具有重要意义。</w:t>
      </w:r>
    </w:p>
    <w:p>
      <w:pPr>
        <w:widowControl w:val="0"/>
        <w:adjustRightInd/>
        <w:snapToGrid/>
        <w:spacing w:before="0"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统筹管理南山国家公园自然生态系统各要素，牢牢把握南山作为野生动物栖息地和候鸟迁徙通道的重要定位，坚持生态保护优先，采取自然恢复为主、人工修复为辅方式，通过产业退出、生态修复项目建设、生态移民搬迁、封禁管理等措施，大力加强自然生态系统保护恢复，着力提升生态多样性保护服务功能，有效保护南山自然生态系统原真性、完整性。提升南山国家公园生态保护监测能力，完善宣教、救援、游憩等公共服务设施建设，提升统一管理和服务效能，提供良好基础条件。完善健全财政投入为主的保障机制，鼓励金融机构对公园生态保护和建设项目进行优惠融资支持，鼓励企业、民间经济组织等社会资本参与公园建设，积极引进国际经济组织、金融机构、外国政府赠款贷款投资公园建设。加强数字公园建设，打造国家公园湖南样本。</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健全严格保护管理制度。</w:t>
      </w:r>
      <w:r>
        <w:rPr>
          <w:rFonts w:ascii="Times New Roman" w:hAnsi="Times New Roman" w:eastAsia="仿宋_GB2312" w:cs="Times New Roman"/>
          <w:color w:val="000000" w:themeColor="text1"/>
          <w:sz w:val="32"/>
          <w:szCs w:val="32"/>
          <w14:textFill>
            <w14:solidFill>
              <w14:schemeClr w14:val="tx1"/>
            </w14:solidFill>
          </w14:textFill>
        </w:rPr>
        <w:t>加强自然生态系统原真性、完整性保护，做好自然资源本底情况调查和生态系统监测，统筹制定各类资源的保护管理目标，着力维持生态服务功能，提高生态产品供给能力。生态系统修复坚持以自然恢复为主，生物措施和其他措施相结合。严格规划建设管控，除不损害生态系统的原住民生产生活设施改造和自然观光、科研、教育、旅游外，禁止其他开发建设活动。</w:t>
      </w:r>
      <w:r>
        <w:rPr>
          <w:rFonts w:hint="eastAsia" w:ascii="Times New Roman" w:hAnsi="Times New Roman" w:eastAsia="仿宋_GB2312" w:cs="Times New Roman"/>
          <w:color w:val="000000" w:themeColor="text1"/>
          <w:sz w:val="32"/>
          <w:szCs w:val="32"/>
          <w14:textFill>
            <w14:solidFill>
              <w14:schemeClr w14:val="tx1"/>
            </w14:solidFill>
          </w14:textFill>
        </w:rPr>
        <w:t>南山</w:t>
      </w:r>
      <w:r>
        <w:rPr>
          <w:rFonts w:ascii="Times New Roman" w:hAnsi="Times New Roman" w:eastAsia="仿宋_GB2312" w:cs="Times New Roman"/>
          <w:color w:val="000000" w:themeColor="text1"/>
          <w:sz w:val="32"/>
          <w:szCs w:val="32"/>
          <w14:textFill>
            <w14:solidFill>
              <w14:schemeClr w14:val="tx1"/>
            </w14:solidFill>
          </w14:textFill>
        </w:rPr>
        <w:t>国家公园区域内不符合保护和规划要求的各类设施、工矿企业等逐步搬离，建立已设矿业权逐步退出机制。</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实施差别化保护管理方式。</w:t>
      </w:r>
      <w:r>
        <w:rPr>
          <w:rFonts w:ascii="Times New Roman" w:hAnsi="Times New Roman" w:eastAsia="仿宋_GB2312" w:cs="Times New Roman"/>
          <w:color w:val="000000" w:themeColor="text1"/>
          <w:sz w:val="32"/>
          <w:szCs w:val="32"/>
          <w14:textFill>
            <w14:solidFill>
              <w14:schemeClr w14:val="tx1"/>
            </w14:solidFill>
          </w14:textFill>
        </w:rPr>
        <w:t>编制</w:t>
      </w:r>
      <w:r>
        <w:rPr>
          <w:rFonts w:hint="eastAsia" w:ascii="Times New Roman" w:hAnsi="Times New Roman" w:eastAsia="仿宋_GB2312" w:cs="Times New Roman"/>
          <w:color w:val="000000" w:themeColor="text1"/>
          <w:sz w:val="32"/>
          <w:szCs w:val="32"/>
          <w14:textFill>
            <w14:solidFill>
              <w14:schemeClr w14:val="tx1"/>
            </w14:solidFill>
          </w14:textFill>
        </w:rPr>
        <w:t>南山</w:t>
      </w:r>
      <w:r>
        <w:rPr>
          <w:rFonts w:ascii="Times New Roman" w:hAnsi="Times New Roman" w:eastAsia="仿宋_GB2312" w:cs="Times New Roman"/>
          <w:color w:val="000000" w:themeColor="text1"/>
          <w:sz w:val="32"/>
          <w:szCs w:val="32"/>
          <w14:textFill>
            <w14:solidFill>
              <w14:schemeClr w14:val="tx1"/>
            </w14:solidFill>
          </w14:textFill>
        </w:rPr>
        <w:t>国家公园总体规划及专项规划，合理确定</w:t>
      </w:r>
      <w:r>
        <w:rPr>
          <w:rFonts w:hint="eastAsia" w:ascii="Times New Roman" w:hAnsi="Times New Roman" w:eastAsia="仿宋_GB2312" w:cs="Times New Roman"/>
          <w:color w:val="000000" w:themeColor="text1"/>
          <w:sz w:val="32"/>
          <w:szCs w:val="32"/>
          <w14:textFill>
            <w14:solidFill>
              <w14:schemeClr w14:val="tx1"/>
            </w14:solidFill>
          </w14:textFill>
        </w:rPr>
        <w:t>南山</w:t>
      </w:r>
      <w:r>
        <w:rPr>
          <w:rFonts w:ascii="Times New Roman" w:hAnsi="Times New Roman" w:eastAsia="仿宋_GB2312" w:cs="Times New Roman"/>
          <w:color w:val="000000" w:themeColor="text1"/>
          <w:sz w:val="32"/>
          <w:szCs w:val="32"/>
          <w14:textFill>
            <w14:solidFill>
              <w14:schemeClr w14:val="tx1"/>
            </w14:solidFill>
          </w14:textFill>
        </w:rPr>
        <w:t>国家公园空间布局，明确发展目标和任务，做好与相关规划的衔接。按照自然资源特征和管理目标，合理划定功能分区，实行差别化保护管理。重点保护区域内居民要逐步实施生态移民搬迁，集体土地在充分征求其所有权人、承包权人意见基础上，优先通过租赁、置换等方式规范流转，由</w:t>
      </w:r>
      <w:r>
        <w:rPr>
          <w:rFonts w:hint="eastAsia" w:ascii="Times New Roman" w:hAnsi="Times New Roman" w:eastAsia="仿宋_GB2312" w:cs="Times New Roman"/>
          <w:color w:val="000000" w:themeColor="text1"/>
          <w:sz w:val="32"/>
          <w:szCs w:val="32"/>
          <w14:textFill>
            <w14:solidFill>
              <w14:schemeClr w14:val="tx1"/>
            </w14:solidFill>
          </w14:textFill>
        </w:rPr>
        <w:t>南山</w:t>
      </w:r>
      <w:r>
        <w:rPr>
          <w:rFonts w:ascii="Times New Roman" w:hAnsi="Times New Roman" w:eastAsia="仿宋_GB2312" w:cs="Times New Roman"/>
          <w:color w:val="000000" w:themeColor="text1"/>
          <w:sz w:val="32"/>
          <w:szCs w:val="32"/>
          <w14:textFill>
            <w14:solidFill>
              <w14:schemeClr w14:val="tx1"/>
            </w14:solidFill>
          </w14:textFill>
        </w:rPr>
        <w:t>国家公园管理</w:t>
      </w:r>
      <w:r>
        <w:rPr>
          <w:rFonts w:hint="eastAsia" w:ascii="Times New Roman" w:hAnsi="Times New Roman" w:eastAsia="仿宋_GB2312" w:cs="Times New Roman"/>
          <w:color w:val="000000" w:themeColor="text1"/>
          <w:sz w:val="32"/>
          <w:szCs w:val="32"/>
          <w14:textFill>
            <w14:solidFill>
              <w14:schemeClr w14:val="tx1"/>
            </w14:solidFill>
          </w14:textFill>
        </w:rPr>
        <w:t>局</w:t>
      </w:r>
      <w:r>
        <w:rPr>
          <w:rFonts w:ascii="Times New Roman" w:hAnsi="Times New Roman" w:eastAsia="仿宋_GB2312" w:cs="Times New Roman"/>
          <w:color w:val="000000" w:themeColor="text1"/>
          <w:sz w:val="32"/>
          <w:szCs w:val="32"/>
          <w14:textFill>
            <w14:solidFill>
              <w14:schemeClr w14:val="tx1"/>
            </w14:solidFill>
          </w14:textFill>
        </w:rPr>
        <w:t>统一管理。其他区域内居民根据实际情况，实施生态移民搬迁或实行相对集中居住，集体土地可通过合作协议等方式实现统一有效管理。探索协议保护等多元化保护模式。</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完善责任追究制度。</w:t>
      </w:r>
      <w:r>
        <w:rPr>
          <w:rFonts w:ascii="Times New Roman" w:hAnsi="Times New Roman" w:eastAsia="仿宋_GB2312" w:cs="Times New Roman"/>
          <w:color w:val="000000" w:themeColor="text1"/>
          <w:sz w:val="32"/>
          <w:szCs w:val="32"/>
          <w14:textFill>
            <w14:solidFill>
              <w14:schemeClr w14:val="tx1"/>
            </w14:solidFill>
          </w14:textFill>
        </w:rPr>
        <w:t>强化</w:t>
      </w:r>
      <w:r>
        <w:rPr>
          <w:rFonts w:hint="eastAsia" w:ascii="Times New Roman" w:hAnsi="Times New Roman" w:eastAsia="仿宋_GB2312" w:cs="Times New Roman"/>
          <w:color w:val="000000" w:themeColor="text1"/>
          <w:sz w:val="32"/>
          <w:szCs w:val="32"/>
          <w14:textFill>
            <w14:solidFill>
              <w14:schemeClr w14:val="tx1"/>
            </w14:solidFill>
          </w14:textFill>
        </w:rPr>
        <w:t>南山</w:t>
      </w:r>
      <w:r>
        <w:rPr>
          <w:rFonts w:ascii="Times New Roman" w:hAnsi="Times New Roman" w:eastAsia="仿宋_GB2312" w:cs="Times New Roman"/>
          <w:color w:val="000000" w:themeColor="text1"/>
          <w:sz w:val="32"/>
          <w:szCs w:val="32"/>
          <w14:textFill>
            <w14:solidFill>
              <w14:schemeClr w14:val="tx1"/>
            </w14:solidFill>
          </w14:textFill>
        </w:rPr>
        <w:t>国家公园管理</w:t>
      </w:r>
      <w:r>
        <w:rPr>
          <w:rFonts w:hint="eastAsia" w:ascii="Times New Roman" w:hAnsi="Times New Roman" w:eastAsia="仿宋_GB2312" w:cs="Times New Roman"/>
          <w:color w:val="000000" w:themeColor="text1"/>
          <w:sz w:val="32"/>
          <w:szCs w:val="32"/>
          <w14:textFill>
            <w14:solidFill>
              <w14:schemeClr w14:val="tx1"/>
            </w14:solidFill>
          </w14:textFill>
        </w:rPr>
        <w:t>局</w:t>
      </w:r>
      <w:r>
        <w:rPr>
          <w:rFonts w:ascii="Times New Roman" w:hAnsi="Times New Roman" w:eastAsia="仿宋_GB2312" w:cs="Times New Roman"/>
          <w:color w:val="000000" w:themeColor="text1"/>
          <w:sz w:val="32"/>
          <w:szCs w:val="32"/>
          <w14:textFill>
            <w14:solidFill>
              <w14:schemeClr w14:val="tx1"/>
            </w14:solidFill>
          </w14:textFill>
        </w:rPr>
        <w:t>的自然生态系统保护主体责任，明确当地政府和相关部门的相应责任。严厉打击违法违规开发矿产资源或其他项目、偷排偷放污染物、偷捕盗猎野生动物等各类环境违法犯罪行为。严格落实考核问责制度，建立南山国家公园管理机构自然生态系统保护成效考核评估制度，全面实行环境保护“党政同责、一岗双责”，对领导干部实行自然资源资产离任审计和生态环境损害责任追究制。对违背国家公园保护管理要求、造成生态系统和资源环境严重破坏的要记录在案，依法依规严肃问责、终身追责。</w:t>
      </w:r>
    </w:p>
    <w:p/>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2665" w:name="_Toc8660"/>
      <w:bookmarkStart w:id="2666" w:name="_Toc26914"/>
      <w:bookmarkStart w:id="2667" w:name="_Toc6239"/>
      <w:bookmarkStart w:id="2668" w:name="_Toc21405"/>
      <w:r>
        <w:rPr>
          <w:rFonts w:ascii="Times New Roman" w:hAnsi="Times New Roman" w:cs="Times New Roman"/>
          <w:color w:val="000000" w:themeColor="text1"/>
          <w:szCs w:val="32"/>
          <w14:textFill>
            <w14:solidFill>
              <w14:schemeClr w14:val="tx1"/>
            </w14:solidFill>
          </w14:textFill>
        </w:rPr>
        <w:t>第</w:t>
      </w:r>
      <w:r>
        <w:rPr>
          <w:rFonts w:hint="eastAsia" w:ascii="Times New Roman" w:hAnsi="Times New Roman" w:cs="Times New Roman"/>
          <w:color w:val="000000" w:themeColor="text1"/>
          <w:szCs w:val="32"/>
          <w14:textFill>
            <w14:solidFill>
              <w14:schemeClr w14:val="tx1"/>
            </w14:solidFill>
          </w14:textFill>
        </w:rPr>
        <w:t>四</w:t>
      </w:r>
      <w:r>
        <w:rPr>
          <w:rFonts w:ascii="Times New Roman" w:hAnsi="Times New Roman" w:cs="Times New Roman"/>
          <w:color w:val="000000" w:themeColor="text1"/>
          <w:szCs w:val="32"/>
          <w14:textFill>
            <w14:solidFill>
              <w14:schemeClr w14:val="tx1"/>
            </w14:solidFill>
          </w14:textFill>
        </w:rPr>
        <w:t xml:space="preserve">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推进绿色清洁生产</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5"/>
      <w:bookmarkEnd w:id="2666"/>
      <w:bookmarkEnd w:id="2667"/>
      <w:bookmarkEnd w:id="2668"/>
    </w:p>
    <w:p>
      <w:pPr>
        <w:widowControl w:val="0"/>
        <w:adjustRightInd/>
        <w:snapToGrid/>
        <w:spacing w:before="0" w:after="0" w:line="560" w:lineRule="exact"/>
        <w:ind w:firstLine="640"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持续推进绿色清洁生产，加强对重点行业、重点园区及重点流域的清洁生产和监管力度，助推企业绿色发展。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全面推进实施清洁生产。</w:t>
      </w:r>
      <w:r>
        <w:rPr>
          <w:rFonts w:ascii="Times New Roman" w:hAnsi="Times New Roman" w:eastAsia="仿宋_GB2312" w:cs="Times New Roman"/>
          <w:color w:val="000000" w:themeColor="text1"/>
          <w:sz w:val="32"/>
          <w:szCs w:val="32"/>
          <w14:textFill>
            <w14:solidFill>
              <w14:schemeClr w14:val="tx1"/>
            </w14:solidFill>
          </w14:textFill>
        </w:rPr>
        <w:t>大力推动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双超</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双有</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及</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高能耗</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企业开展清洁生产。建立对已实施清洁生产审核企业的长效管理机制，重点对未实施审核企业开展清洁生产审核工作。加大资江、邵水、赧水等重点流域工业企业清洁生产工作力度，引导和鼓励企业采用先进的生产工艺设备，做到源头削减，实现节水减排。加大开发区、产业转移园和电镀、印染、化工、制革、造纸、电子拆解等专业园区或基地清洁生产力度。开展园区（基地）清洁生产审核方法研究，着力推动园区绿色化、循环化和生态化改造。</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加强清洁生产共性技术研发推广。</w:t>
      </w:r>
      <w:r>
        <w:rPr>
          <w:rFonts w:ascii="Times New Roman" w:hAnsi="Times New Roman" w:eastAsia="仿宋_GB2312" w:cs="Times New Roman"/>
          <w:color w:val="000000" w:themeColor="text1"/>
          <w:sz w:val="32"/>
          <w:szCs w:val="32"/>
          <w14:textFill>
            <w14:solidFill>
              <w14:schemeClr w14:val="tx1"/>
            </w14:solidFill>
          </w14:textFill>
        </w:rPr>
        <w:t>建立政府引导扶持、企业主导实施的清洁生产技术研发机制，重点支持节能、降耗、减污、增效清洁生产共性技术和产品研发。在能源、建材等行业深入推进实施工业技改（转型）升级行动，鼓励增加土地利用率，提高投入产出比，大力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零土地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技术改造项目，大力推广装配式建筑应用。加大财政扶持，鼓励农业主体开展秸秆综合利用，提升秸秆综合利用率。加强国际先进节能环境保护技术的引进、吸收和再创新,开发推广一批清洁生产先进技术和装备。</w:t>
      </w:r>
    </w:p>
    <w:tbl>
      <w:tblPr>
        <w:tblStyle w:val="14"/>
        <w:tblW w:w="5000" w:type="pct"/>
        <w:tblInd w:w="0" w:type="dxa"/>
        <w:tblLayout w:type="autofit"/>
        <w:tblCellMar>
          <w:top w:w="0" w:type="dxa"/>
          <w:left w:w="0" w:type="dxa"/>
          <w:bottom w:w="0" w:type="dxa"/>
          <w:right w:w="0" w:type="dxa"/>
        </w:tblCellMar>
      </w:tblPr>
      <w:tblGrid>
        <w:gridCol w:w="8868"/>
      </w:tblGrid>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jc w:val="center"/>
              <w:textAlignment w:val="center"/>
              <w:rPr>
                <w:rFonts w:ascii="Times New Roman" w:hAnsi="Times New Roman" w:eastAsia="宋体" w:cs="Times New Roman"/>
                <w:b/>
                <w:color w:val="000000" w:themeColor="text1"/>
                <w:szCs w:val="28"/>
                <w14:textFill>
                  <w14:solidFill>
                    <w14:schemeClr w14:val="tx1"/>
                  </w14:solidFill>
                </w14:textFill>
              </w:rPr>
            </w:pPr>
            <w:bookmarkStart w:id="2669" w:name="_Hlk59149819"/>
            <w:r>
              <w:rPr>
                <w:rFonts w:ascii="Times New Roman" w:hAnsi="Times New Roman" w:eastAsia="黑体" w:cs="Times New Roman"/>
                <w:bCs/>
                <w:color w:val="000000" w:themeColor="text1"/>
                <w:szCs w:val="28"/>
                <w14:textFill>
                  <w14:solidFill>
                    <w14:schemeClr w14:val="tx1"/>
                  </w14:solidFill>
                </w14:textFill>
              </w:rPr>
              <w:t>专栏41：绿色经济发展行动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能效提升计划。</w:t>
            </w:r>
            <w:r>
              <w:rPr>
                <w:rFonts w:ascii="Times New Roman" w:hAnsi="Times New Roman" w:eastAsia="宋体" w:cs="Times New Roman"/>
                <w:bCs/>
                <w:color w:val="000000" w:themeColor="text1"/>
                <w:szCs w:val="28"/>
                <w14:textFill>
                  <w14:solidFill>
                    <w14:schemeClr w14:val="tx1"/>
                  </w14:solidFill>
                </w14:textFill>
              </w:rPr>
              <w:t>强化国家、行业先进能效引领，推广实施能效</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领跑者</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制度。加快工业园区生态化改造，推动钢铁、有色、化工、建材、轻工等传统制造业绿色化改造升级，推广应用一批节能、低碳、清洁生产领域先进适用的工艺、技术及装备，推进实施合同能源管理，提升主要耗能设备能效水平。持续深入推动绿色生活创建，重点加快大型商业综合体、大型公共机构等开展节能技术改造。</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重点用能单位能耗在线监测工程。</w:t>
            </w:r>
            <w:r>
              <w:rPr>
                <w:rFonts w:ascii="Times New Roman" w:hAnsi="Times New Roman" w:eastAsia="宋体" w:cs="Times New Roman"/>
                <w:bCs/>
                <w:color w:val="000000" w:themeColor="text1"/>
                <w:szCs w:val="28"/>
                <w14:textFill>
                  <w14:solidFill>
                    <w14:schemeClr w14:val="tx1"/>
                  </w14:solidFill>
                </w14:textFill>
              </w:rPr>
              <w:t>建立覆盖全市工业企业、大型公共建筑、公共机构等领域的能耗在线监测系统，实现重点用能领域能耗数据实时监测分析，全面提高节能监管信息化水平和宏观调控能力，推动重点用能单位完善能源计量体系、提高能源管理精细化水平。</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清洁生产推进工程。</w:t>
            </w:r>
            <w:r>
              <w:rPr>
                <w:rFonts w:ascii="Times New Roman" w:hAnsi="Times New Roman" w:eastAsia="宋体" w:cs="Times New Roman"/>
                <w:bCs/>
                <w:color w:val="000000" w:themeColor="text1"/>
                <w:szCs w:val="28"/>
                <w14:textFill>
                  <w14:solidFill>
                    <w14:schemeClr w14:val="tx1"/>
                  </w14:solidFill>
                </w14:textFill>
              </w:rPr>
              <w:t>加快推进全市资源清洁高效利用，鼓励企业自愿实施清洁生产审核，依法对超过单位产品能源消耗限额标准构成高耗能以及未完成节能目标任务的重点用能企业，强制实行清洁生产审核，推动资源消耗型小微企业实施清洁生产。</w:t>
            </w:r>
          </w:p>
          <w:p>
            <w:pPr>
              <w:spacing w:before="0" w:after="0" w:line="540" w:lineRule="exact"/>
              <w:ind w:firstLine="562" w:firstLineChars="200"/>
              <w:jc w:val="both"/>
              <w:textAlignment w:val="center"/>
              <w:rPr>
                <w:rFonts w:ascii="Times New Roman" w:hAnsi="Times New Roman" w:eastAsia="宋体" w:cs="Times New Roman"/>
                <w:b/>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资源循环利用产业基地创建工程。</w:t>
            </w:r>
            <w:r>
              <w:rPr>
                <w:rFonts w:ascii="Times New Roman" w:hAnsi="Times New Roman" w:eastAsia="宋体" w:cs="Times New Roman"/>
                <w:bCs/>
                <w:color w:val="000000" w:themeColor="text1"/>
                <w:szCs w:val="28"/>
                <w14:textFill>
                  <w14:solidFill>
                    <w14:schemeClr w14:val="tx1"/>
                  </w14:solidFill>
                </w14:textFill>
              </w:rPr>
              <w:t>在全市范围内开展资源循环利用产业基地创建，对餐厨废弃物、建筑垃圾、城市污泥、农林废弃物、废旧纺织品、废塑料等进行集中资源化回收和规范化处理，发挥各类固体废弃物资源化利用和处理设施的协同效应。</w:t>
            </w:r>
          </w:p>
        </w:tc>
      </w:tr>
      <w:bookmarkEnd w:id="2669"/>
    </w:tbl>
    <w:p>
      <w:pPr>
        <w:pStyle w:val="2"/>
        <w:rPr>
          <w:rFonts w:ascii="Times New Roman" w:hAnsi="Times New Roman" w:cs="Times New Roman"/>
          <w:color w:val="000000" w:themeColor="text1"/>
          <w14:textFill>
            <w14:solidFill>
              <w14:schemeClr w14:val="tx1"/>
            </w14:solidFill>
          </w14:textFill>
        </w:rPr>
      </w:pPr>
    </w:p>
    <w:p>
      <w:pPr>
        <w:pStyle w:val="4"/>
        <w:keepNext w:val="0"/>
        <w:keepLines w:val="0"/>
        <w:widowControl w:val="0"/>
        <w:spacing w:before="193" w:beforeLines="50" w:after="193" w:afterLines="50" w:line="560" w:lineRule="exact"/>
        <w:rPr>
          <w:rFonts w:ascii="Times New Roman" w:hAnsi="Times New Roman" w:cs="Times New Roman"/>
          <w:color w:val="000000" w:themeColor="text1"/>
          <w:szCs w:val="32"/>
          <w14:textFill>
            <w14:solidFill>
              <w14:schemeClr w14:val="tx1"/>
            </w14:solidFill>
          </w14:textFill>
        </w:rPr>
      </w:pPr>
      <w:bookmarkStart w:id="2670" w:name="_Toc2464"/>
      <w:bookmarkStart w:id="2671" w:name="_Toc434"/>
      <w:bookmarkStart w:id="2672" w:name="_Toc24889"/>
      <w:bookmarkStart w:id="2673" w:name="_Toc1536"/>
      <w:bookmarkStart w:id="2674" w:name="_Toc11509"/>
      <w:bookmarkStart w:id="2675" w:name="_Toc20658"/>
      <w:bookmarkStart w:id="2676" w:name="_Toc17404"/>
      <w:bookmarkStart w:id="2677" w:name="_Toc31240"/>
      <w:bookmarkStart w:id="2678" w:name="_Toc1301"/>
      <w:bookmarkStart w:id="2679" w:name="_Toc7485"/>
      <w:bookmarkStart w:id="2680" w:name="_Toc13042"/>
      <w:bookmarkStart w:id="2681" w:name="_Toc27532"/>
      <w:bookmarkStart w:id="2682" w:name="_Toc17245"/>
      <w:bookmarkStart w:id="2683" w:name="_Toc21888"/>
      <w:bookmarkStart w:id="2684" w:name="_Toc4166"/>
      <w:bookmarkStart w:id="2685" w:name="_Toc24675"/>
      <w:bookmarkStart w:id="2686" w:name="_Toc25457"/>
      <w:bookmarkStart w:id="2687" w:name="_Toc6120"/>
      <w:bookmarkStart w:id="2688" w:name="_Toc8006"/>
      <w:bookmarkStart w:id="2689" w:name="_Toc27798"/>
      <w:bookmarkStart w:id="2690" w:name="_Toc10712"/>
      <w:bookmarkStart w:id="2691" w:name="_Toc19341"/>
      <w:bookmarkStart w:id="2692" w:name="_Toc29950"/>
      <w:bookmarkStart w:id="2693" w:name="_Toc4067"/>
      <w:bookmarkStart w:id="2694" w:name="_Toc4587"/>
      <w:bookmarkStart w:id="2695" w:name="_Toc30854"/>
      <w:bookmarkStart w:id="2696" w:name="_Toc3641"/>
      <w:bookmarkStart w:id="2697" w:name="_Toc7517"/>
      <w:bookmarkStart w:id="2698" w:name="_Toc23689"/>
      <w:bookmarkStart w:id="2699" w:name="_Toc1208"/>
      <w:bookmarkStart w:id="2700" w:name="_Toc14268"/>
      <w:bookmarkStart w:id="2701" w:name="_Toc12453"/>
      <w:bookmarkStart w:id="2702" w:name="_Toc11168"/>
      <w:bookmarkStart w:id="2703" w:name="_Toc30094"/>
      <w:bookmarkStart w:id="2704" w:name="_Toc9004"/>
      <w:bookmarkStart w:id="2705" w:name="_Toc12617"/>
      <w:bookmarkStart w:id="2706" w:name="_Toc22522"/>
      <w:r>
        <w:rPr>
          <w:rFonts w:ascii="Times New Roman" w:hAnsi="Times New Roman" w:cs="Times New Roman"/>
          <w:color w:val="000000" w:themeColor="text1"/>
          <w:szCs w:val="32"/>
          <w14:textFill>
            <w14:solidFill>
              <w14:schemeClr w14:val="tx1"/>
            </w14:solidFill>
          </w14:textFill>
        </w:rPr>
        <w:t>第</w:t>
      </w:r>
      <w:r>
        <w:rPr>
          <w:rFonts w:hint="eastAsia" w:ascii="Times New Roman" w:hAnsi="Times New Roman" w:cs="Times New Roman"/>
          <w:color w:val="000000" w:themeColor="text1"/>
          <w:szCs w:val="32"/>
          <w14:textFill>
            <w14:solidFill>
              <w14:schemeClr w14:val="tx1"/>
            </w14:solidFill>
          </w14:textFill>
        </w:rPr>
        <w:t>五</w:t>
      </w:r>
      <w:r>
        <w:rPr>
          <w:rFonts w:ascii="Times New Roman" w:hAnsi="Times New Roman" w:cs="Times New Roman"/>
          <w:color w:val="000000" w:themeColor="text1"/>
          <w:szCs w:val="32"/>
          <w14:textFill>
            <w14:solidFill>
              <w14:schemeClr w14:val="tx1"/>
            </w14:solidFill>
          </w14:textFill>
        </w:rPr>
        <w:t>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加强环境监管能力建设</w:t>
      </w:r>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按照源头严防、过程严管、损害严惩、责任严究的要求，积极构建科学长效的生态文明建设利益导向机制。</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建立生态评价机制。</w:t>
      </w:r>
      <w:r>
        <w:rPr>
          <w:rFonts w:ascii="Times New Roman" w:hAnsi="Times New Roman" w:eastAsia="仿宋_GB2312" w:cs="Times New Roman"/>
          <w:color w:val="000000" w:themeColor="text1"/>
          <w:sz w:val="32"/>
          <w:szCs w:val="32"/>
          <w14:textFill>
            <w14:solidFill>
              <w14:schemeClr w14:val="tx1"/>
            </w14:solidFill>
          </w14:textFill>
        </w:rPr>
        <w:t>树立正确的生态道德观、生态价值观和生态政绩观。探索建立地区生态系统生产总值（GEP）的新型绿色经济核算体系。开展独立的生态文明建设评价，对不同主体功能区采取不同的考核办法。</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建立健全生态补偿机制。</w:t>
      </w:r>
      <w:r>
        <w:rPr>
          <w:rFonts w:ascii="Times New Roman" w:hAnsi="Times New Roman" w:eastAsia="仿宋_GB2312" w:cs="Times New Roman"/>
          <w:color w:val="000000" w:themeColor="text1"/>
          <w:sz w:val="32"/>
          <w:szCs w:val="32"/>
          <w14:textFill>
            <w14:solidFill>
              <w14:schemeClr w14:val="tx1"/>
            </w14:solidFill>
          </w14:textFill>
        </w:rPr>
        <w:t>加快形成生态损害者赔偿、受益者付费、保护者得到合理补偿的生态补偿机制和生产者责任延伸制度。建立健全水电开发环境保护和生态建设补偿机制，开展生态产业基地县（区）建设，加大向上争取对重点生态功能区的转移支付力度和库区生态补偿力度，调动各方面保护生态环境积极性。</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提高生态环境管理能力。</w:t>
      </w:r>
      <w:r>
        <w:rPr>
          <w:rFonts w:ascii="Times New Roman" w:hAnsi="Times New Roman" w:eastAsia="仿宋_GB2312" w:cs="Times New Roman"/>
          <w:color w:val="000000" w:themeColor="text1"/>
          <w:sz w:val="32"/>
          <w:szCs w:val="32"/>
          <w14:textFill>
            <w14:solidFill>
              <w14:schemeClr w14:val="tx1"/>
            </w14:solidFill>
          </w14:textFill>
        </w:rPr>
        <w:t>完善自然资源资产用途管制制度，明确各类国土空间开发、利用、保护边界，实现能源、水资源、矿产资源按质量分级、梯级利用，发挥资源最大效能。加快建设全市统一的</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数字环保</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监控和服务信息平台，构建天地一体化生态环境监测预警体系，推进网格化环境监管体系建设。</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推进区域环境联防联控。</w:t>
      </w:r>
      <w:r>
        <w:rPr>
          <w:rFonts w:ascii="Times New Roman" w:hAnsi="Times New Roman" w:eastAsia="仿宋_GB2312" w:cs="Times New Roman"/>
          <w:color w:val="000000" w:themeColor="text1"/>
          <w:sz w:val="32"/>
          <w:szCs w:val="32"/>
          <w14:textFill>
            <w14:solidFill>
              <w14:schemeClr w14:val="tx1"/>
            </w14:solidFill>
          </w14:textFill>
        </w:rPr>
        <w:t>强化源头防控，健全环境保护监测预警、责任追溯等制度，提升区域污染防治的科学化、精细化、一体化水平。完善自然资源资产用途管制制度，明确各类国土空间开发、利用、保护边界，实现能源、水资源、矿产资源按质量分级、梯级利用，发挥资源最大效能。</w:t>
      </w:r>
      <w:bookmarkStart w:id="2707" w:name="_Toc27041"/>
      <w:r>
        <w:rPr>
          <w:rFonts w:ascii="Times New Roman" w:hAnsi="Times New Roman" w:eastAsia="仿宋_GB2312" w:cs="Times New Roman"/>
          <w:color w:val="000000" w:themeColor="text1"/>
          <w:sz w:val="32"/>
          <w:szCs w:val="32"/>
          <w14:textFill>
            <w14:solidFill>
              <w14:schemeClr w14:val="tx1"/>
            </w14:solidFill>
          </w14:textFill>
        </w:rPr>
        <w:br w:type="page"/>
      </w:r>
    </w:p>
    <w:p>
      <w:pPr>
        <w:rPr>
          <w:rFonts w:ascii="Times New Roman" w:hAnsi="Times New Roman" w:cs="Times New Roman"/>
        </w:rPr>
      </w:pPr>
      <w:bookmarkStart w:id="2708" w:name="_Toc151"/>
      <w:bookmarkStart w:id="2709" w:name="_Toc29061"/>
      <w:bookmarkStart w:id="2710" w:name="_Toc11648"/>
      <w:bookmarkStart w:id="2711" w:name="_Toc19791"/>
      <w:bookmarkStart w:id="2712" w:name="_Toc18764"/>
      <w:bookmarkStart w:id="2713" w:name="_Toc12689"/>
      <w:bookmarkStart w:id="2714" w:name="_Toc28215"/>
      <w:bookmarkStart w:id="2715" w:name="_Toc19060"/>
      <w:bookmarkStart w:id="2716" w:name="_Toc31436"/>
      <w:bookmarkStart w:id="2717" w:name="_Toc19954"/>
      <w:bookmarkStart w:id="2718" w:name="_Toc18102"/>
      <w:bookmarkStart w:id="2719" w:name="_Toc6129"/>
      <w:bookmarkStart w:id="2720" w:name="_Toc31306"/>
      <w:bookmarkStart w:id="2721" w:name="_Toc731"/>
      <w:bookmarkStart w:id="2722" w:name="_Toc984"/>
      <w:bookmarkStart w:id="2723" w:name="_Toc26016"/>
      <w:bookmarkStart w:id="2724" w:name="_Toc14041"/>
      <w:bookmarkStart w:id="2725" w:name="_Toc30966"/>
      <w:bookmarkStart w:id="2726" w:name="_Toc25904"/>
      <w:bookmarkStart w:id="2727" w:name="_Toc12314"/>
      <w:bookmarkStart w:id="2728" w:name="_Toc30884"/>
      <w:bookmarkStart w:id="2729" w:name="_Toc9551"/>
      <w:bookmarkStart w:id="2730" w:name="_Toc9727"/>
      <w:bookmarkStart w:id="2731" w:name="_Toc15112"/>
      <w:bookmarkStart w:id="2732" w:name="_Toc30728"/>
      <w:bookmarkStart w:id="2733" w:name="_Toc19160"/>
      <w:bookmarkStart w:id="2734" w:name="_Toc4018"/>
      <w:bookmarkStart w:id="2735" w:name="_Toc19719"/>
      <w:bookmarkStart w:id="2736" w:name="_Toc1965"/>
      <w:bookmarkStart w:id="2737" w:name="_Toc6833"/>
      <w:bookmarkStart w:id="2738" w:name="_Toc7976"/>
      <w:bookmarkStart w:id="2739" w:name="_Toc31583"/>
    </w:p>
    <w:p>
      <w:pPr>
        <w:pStyle w:val="3"/>
        <w:widowControl w:val="0"/>
        <w:spacing w:before="0" w:after="0" w:line="570" w:lineRule="exact"/>
        <w:rPr>
          <w:rFonts w:ascii="Times New Roman" w:hAnsi="Times New Roman" w:cs="Times New Roman"/>
          <w:color w:val="000000" w:themeColor="text1"/>
          <w14:textFill>
            <w14:solidFill>
              <w14:schemeClr w14:val="tx1"/>
            </w14:solidFill>
          </w14:textFill>
        </w:rPr>
      </w:pPr>
      <w:bookmarkStart w:id="2740" w:name="_Toc29727"/>
      <w:bookmarkStart w:id="2741" w:name="_Toc11097"/>
      <w:bookmarkStart w:id="2742" w:name="_Toc15402"/>
      <w:bookmarkStart w:id="2743" w:name="_Toc19226"/>
      <w:bookmarkStart w:id="2744" w:name="_Toc9818"/>
      <w:r>
        <w:rPr>
          <w:rFonts w:ascii="Times New Roman" w:hAnsi="Times New Roman" w:cs="Times New Roman"/>
          <w:color w:val="000000" w:themeColor="text1"/>
          <w14:textFill>
            <w14:solidFill>
              <w14:schemeClr w14:val="tx1"/>
            </w14:solidFill>
          </w14:textFill>
        </w:rPr>
        <w:t>第十五章</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推进和谐发展 加强和创新社会</w:t>
      </w:r>
      <w:bookmarkEnd w:id="2707"/>
      <w:r>
        <w:rPr>
          <w:rFonts w:ascii="Times New Roman" w:hAnsi="Times New Roman" w:cs="Times New Roman"/>
          <w:color w:val="000000" w:themeColor="text1"/>
          <w14:textFill>
            <w14:solidFill>
              <w14:schemeClr w14:val="tx1"/>
            </w14:solidFill>
          </w14:textFill>
        </w:rPr>
        <w:t>治理</w:t>
      </w:r>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pPr>
        <w:adjustRightInd/>
        <w:snapToGrid/>
        <w:spacing w:before="0" w:after="0" w:line="570" w:lineRule="exact"/>
        <w:ind w:firstLine="641"/>
        <w:jc w:val="both"/>
        <w:rPr>
          <w:rFonts w:ascii="Times New Roman" w:hAnsi="Times New Roman" w:eastAsia="仿宋_GB2312" w:cs="Times New Roman"/>
          <w:color w:val="000000" w:themeColor="text1"/>
          <w:sz w:val="32"/>
          <w:szCs w:val="32"/>
          <w14:textFill>
            <w14:solidFill>
              <w14:schemeClr w14:val="tx1"/>
            </w14:solidFill>
          </w14:textFill>
        </w:rPr>
      </w:pPr>
      <w:bookmarkStart w:id="2745" w:name="_Toc56528246"/>
      <w:bookmarkStart w:id="2746" w:name="_Toc1283"/>
      <w:bookmarkStart w:id="2747" w:name="_Toc29529"/>
      <w:bookmarkStart w:id="2748" w:name="_Toc3221"/>
      <w:bookmarkStart w:id="2749" w:name="_Toc6791"/>
      <w:bookmarkStart w:id="2750" w:name="_Toc18087"/>
      <w:bookmarkStart w:id="2751" w:name="_Toc16453"/>
      <w:bookmarkStart w:id="2752" w:name="_Toc14480"/>
      <w:bookmarkStart w:id="2753" w:name="_Toc30325"/>
      <w:bookmarkStart w:id="2754" w:name="_Toc12851"/>
    </w:p>
    <w:p>
      <w:pPr>
        <w:adjustRightInd/>
        <w:snapToGrid/>
        <w:spacing w:line="560" w:lineRule="exact"/>
        <w:ind w:firstLine="64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坚持和完善中国特色社会主义制度，深入推进治理体系和治理能力现代化，把制度优势转化为推动全市高质量发展的治理效能。</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755" w:name="_Toc10990"/>
      <w:bookmarkStart w:id="2756" w:name="_Toc17343"/>
      <w:bookmarkStart w:id="2757" w:name="_Toc6745"/>
      <w:bookmarkStart w:id="2758" w:name="_Toc696"/>
      <w:bookmarkStart w:id="2759" w:name="_Toc10672"/>
      <w:bookmarkStart w:id="2760" w:name="_Toc22654"/>
      <w:bookmarkStart w:id="2761" w:name="_Toc12417"/>
      <w:bookmarkStart w:id="2762" w:name="_Toc25506"/>
      <w:bookmarkStart w:id="2763" w:name="_Toc14272"/>
      <w:bookmarkStart w:id="2764" w:name="_Toc6706"/>
      <w:bookmarkStart w:id="2765" w:name="_Toc12631"/>
      <w:bookmarkStart w:id="2766" w:name="_Toc6468"/>
      <w:bookmarkStart w:id="2767" w:name="_Toc30185"/>
      <w:bookmarkStart w:id="2768" w:name="_Toc13195"/>
      <w:bookmarkStart w:id="2769" w:name="_Toc18646"/>
      <w:bookmarkStart w:id="2770" w:name="_Toc25760"/>
      <w:bookmarkStart w:id="2771" w:name="_Toc29213"/>
      <w:bookmarkStart w:id="2772" w:name="_Toc1466"/>
      <w:bookmarkStart w:id="2773" w:name="_Toc10254"/>
      <w:bookmarkStart w:id="2774" w:name="_Toc15951"/>
      <w:bookmarkStart w:id="2775" w:name="_Toc25559"/>
      <w:bookmarkStart w:id="2776" w:name="_Toc21397"/>
      <w:bookmarkStart w:id="2777" w:name="_Toc6421"/>
      <w:bookmarkStart w:id="2778" w:name="_Toc17901"/>
      <w:bookmarkStart w:id="2779" w:name="_Toc6890"/>
      <w:bookmarkStart w:id="2780" w:name="_Toc27075"/>
      <w:bookmarkStart w:id="2781" w:name="_Toc23735"/>
      <w:bookmarkStart w:id="2782" w:name="_Toc19100"/>
      <w:bookmarkStart w:id="2783" w:name="_Toc15817"/>
      <w:r>
        <w:rPr>
          <w:rFonts w:ascii="Times New Roman" w:hAnsi="Times New Roman" w:cs="Times New Roman"/>
          <w:color w:val="000000" w:themeColor="text1"/>
          <w:szCs w:val="32"/>
          <w14:textFill>
            <w14:solidFill>
              <w14:schemeClr w14:val="tx1"/>
            </w14:solidFill>
          </w14:textFill>
        </w:rPr>
        <w:t>第一节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w:t>
      </w:r>
      <w:bookmarkEnd w:id="2745"/>
      <w:r>
        <w:rPr>
          <w:rFonts w:ascii="Times New Roman" w:hAnsi="Times New Roman" w:cs="Times New Roman"/>
          <w:color w:val="000000" w:themeColor="text1"/>
          <w:szCs w:val="32"/>
          <w14:textFill>
            <w14:solidFill>
              <w14:schemeClr w14:val="tx1"/>
            </w14:solidFill>
          </w14:textFill>
        </w:rPr>
        <w:t>建设法治邵阳</w:t>
      </w:r>
      <w:bookmarkEnd w:id="2746"/>
      <w:bookmarkEnd w:id="2747"/>
      <w:bookmarkEnd w:id="2748"/>
      <w:bookmarkEnd w:id="2749"/>
      <w:bookmarkEnd w:id="2750"/>
      <w:bookmarkEnd w:id="2751"/>
      <w:bookmarkEnd w:id="2752"/>
      <w:bookmarkEnd w:id="2753"/>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以加快建设职能科学、权责法定、执法严明、公开公正、廉洁高效、守法诚信的法治政府为重点，更好发挥法治的引领和规范作用，为实现经济社会发展目标任务提供法治保障。</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推进法规规章体系建设。</w:t>
      </w:r>
      <w:r>
        <w:rPr>
          <w:rFonts w:ascii="Times New Roman" w:hAnsi="Times New Roman" w:eastAsia="仿宋_GB2312" w:cs="Times New Roman"/>
          <w:color w:val="000000" w:themeColor="text1"/>
          <w:sz w:val="32"/>
          <w:szCs w:val="32"/>
          <w14:textFill>
            <w14:solidFill>
              <w14:schemeClr w14:val="tx1"/>
            </w14:solidFill>
          </w14:textFill>
        </w:rPr>
        <w:t>遵循</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党委领导、人大主导、政府依托、各方参与</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的立法工作格局，推进科学立法、民主立法、依法立法。立足特色管用，围绕实现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二中心一枢纽</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战略定位中迫切需要解决的现实问题，聚焦城市建设与管理、环境保护、历史文化保护和重大突发公共安全管理等领域，研究制定地方</w:t>
      </w:r>
      <w:r>
        <w:rPr>
          <w:rFonts w:hint="eastAsia" w:ascii="Times New Roman" w:hAnsi="Times New Roman" w:eastAsia="仿宋_GB2312" w:cs="Times New Roman"/>
          <w:color w:val="000000" w:themeColor="text1"/>
          <w:sz w:val="32"/>
          <w:szCs w:val="32"/>
          <w14:textFill>
            <w14:solidFill>
              <w14:schemeClr w14:val="tx1"/>
            </w14:solidFill>
          </w14:textFill>
        </w:rPr>
        <w:t>性</w:t>
      </w:r>
      <w:r>
        <w:rPr>
          <w:rFonts w:ascii="Times New Roman" w:hAnsi="Times New Roman" w:eastAsia="仿宋_GB2312" w:cs="Times New Roman"/>
          <w:color w:val="000000" w:themeColor="text1"/>
          <w:sz w:val="32"/>
          <w:szCs w:val="32"/>
          <w14:textFill>
            <w14:solidFill>
              <w14:schemeClr w14:val="tx1"/>
            </w14:solidFill>
          </w14:textFill>
        </w:rPr>
        <w:t>法规和政府规章。健全立法项目征集和立项论证制度，探索建立完善第三方评估机制，广泛邀请专家学者、实务工作者、法务工作者等参加论证咨询。完善地方立法专家顾问制度，拓宽公民有序参与立法途径。杜绝部门利益法制化。建立法规、规章清理和评估机制，实现立改废释有机结合。</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加强法治政府建设。</w:t>
      </w:r>
      <w:r>
        <w:rPr>
          <w:rFonts w:ascii="Times New Roman" w:hAnsi="Times New Roman" w:eastAsia="仿宋_GB2312" w:cs="Times New Roman"/>
          <w:color w:val="000000" w:themeColor="text1"/>
          <w:sz w:val="32"/>
          <w:szCs w:val="32"/>
          <w14:textFill>
            <w14:solidFill>
              <w14:schemeClr w14:val="tx1"/>
            </w14:solidFill>
          </w14:textFill>
        </w:rPr>
        <w:t>依法界定市、县、乡三级政府职能，强化权力清单、责任清单和负面清单管理，规范权力运行。完善重大决策程序，探索委托专业机构、社会咨询机构、研究机构等第三方评估模式，实行决策终身责任追究制度和决策违法责任倒查机制。规范行政执法行为，推行执法检查</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双随机、一公开</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推进综合执法、联合执法和大数据监管。全面推行政务公开，实行政务和行政承诺考核制度，充分运用法治思维和法治方式行政理政。贯彻实施机关事务有关法律法规，规范机关事务管理，推进公务用车、办公用房等行政性国有资产集中统一管理，打造节约型机关。</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坚持司法公正。</w:t>
      </w:r>
      <w:r>
        <w:rPr>
          <w:rFonts w:ascii="Times New Roman" w:hAnsi="Times New Roman" w:eastAsia="仿宋_GB2312" w:cs="Times New Roman"/>
          <w:color w:val="000000" w:themeColor="text1"/>
          <w:sz w:val="32"/>
          <w:szCs w:val="32"/>
          <w14:textFill>
            <w14:solidFill>
              <w14:schemeClr w14:val="tx1"/>
            </w14:solidFill>
          </w14:textFill>
        </w:rPr>
        <w:t>深化司法体制改革，完善司法权力运行机制，着力解决影响司法公正和制约司法能力的深层次问题，保障司法机关依法独立公正行使职权，落实纪检监察和刑事司法办案标准和程序相衔接的具体规定。进一步推进司法公开，完善错案预防、纠正、责任追究机制，建立办案质量终身负责制。加强法治人才培养和管理，加快法律服务队伍建设，健全公共法律服务体系。完善法律援助制度，健全司法救助机制。</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增强全民法治观念。</w:t>
      </w:r>
      <w:r>
        <w:rPr>
          <w:rFonts w:ascii="Times New Roman" w:hAnsi="Times New Roman" w:eastAsia="仿宋_GB2312" w:cs="Times New Roman"/>
          <w:color w:val="000000" w:themeColor="text1"/>
          <w:sz w:val="32"/>
          <w:szCs w:val="32"/>
          <w14:textFill>
            <w14:solidFill>
              <w14:schemeClr w14:val="tx1"/>
            </w14:solidFill>
          </w14:textFill>
        </w:rPr>
        <w:t>认真落实法治教育纳入国民教育体系和精神文明创建内容，抓住领导干部这个</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关键少数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，深入开展法治宣传教育，扩大公民法治教育覆盖面。实行国家机关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谁执法谁普法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普法责任制，建立并落实法官、检察官、行政执法人员、律师等以案释法制度，推进普法教育扎实开展。推进国家机关人员学法常态化、长效化、制度化。积极做好在中小学设立法治知识课程的相关衔接配套工作，进一步加强法治教师、</w:t>
      </w:r>
      <w:r>
        <w:rPr>
          <w:rFonts w:hint="eastAsia" w:ascii="Times New Roman" w:hAnsi="Times New Roman" w:eastAsia="仿宋_GB2312" w:cs="Times New Roman"/>
          <w:color w:val="000000" w:themeColor="text1"/>
          <w:sz w:val="32"/>
          <w:szCs w:val="32"/>
          <w14:textFill>
            <w14:solidFill>
              <w14:schemeClr w14:val="tx1"/>
            </w14:solidFill>
          </w14:textFill>
        </w:rPr>
        <w:t>法制</w:t>
      </w:r>
      <w:r>
        <w:rPr>
          <w:rFonts w:ascii="Times New Roman" w:hAnsi="Times New Roman" w:eastAsia="仿宋_GB2312" w:cs="Times New Roman"/>
          <w:color w:val="000000" w:themeColor="text1"/>
          <w:sz w:val="32"/>
          <w:szCs w:val="32"/>
          <w14:textFill>
            <w14:solidFill>
              <w14:schemeClr w14:val="tx1"/>
            </w14:solidFill>
          </w14:textFill>
        </w:rPr>
        <w:t>副校长和法治辅导员队伍建设。进一步完善学校、社会、家庭</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三位一体</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法治教育网络。建立政府支持、企事业单位自筹、社会各方面赞助的经费保障机制，结合城乡环境改造、市政建设、新农村建设、基层文化建设，加大社会主义法治文化基础设施建设投入。鼓励和引导各地建立一批质量高、影响好、上规模的法治文化项目。</w:t>
      </w:r>
    </w:p>
    <w:tbl>
      <w:tblPr>
        <w:tblStyle w:val="14"/>
        <w:tblW w:w="5000" w:type="pct"/>
        <w:tblInd w:w="0" w:type="dxa"/>
        <w:tblLayout w:type="autofit"/>
        <w:tblCellMar>
          <w:top w:w="0" w:type="dxa"/>
          <w:left w:w="0" w:type="dxa"/>
          <w:bottom w:w="0" w:type="dxa"/>
          <w:right w:w="0" w:type="dxa"/>
        </w:tblCellMar>
      </w:tblPr>
      <w:tblGrid>
        <w:gridCol w:w="8868"/>
      </w:tblGrid>
      <w:t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jc w:val="center"/>
              <w:textAlignment w:val="center"/>
              <w:rPr>
                <w:rFonts w:ascii="Times New Roman" w:hAnsi="Times New Roman" w:eastAsia="宋体" w:cs="Times New Roman"/>
                <w:b/>
                <w:color w:val="000000" w:themeColor="text1"/>
                <w:szCs w:val="28"/>
                <w14:textFill>
                  <w14:solidFill>
                    <w14:schemeClr w14:val="tx1"/>
                  </w14:solidFill>
                </w14:textFill>
              </w:rPr>
            </w:pPr>
            <w:bookmarkStart w:id="2784" w:name="_Hlk59150222"/>
            <w:r>
              <w:rPr>
                <w:rFonts w:ascii="Times New Roman" w:hAnsi="Times New Roman" w:eastAsia="黑体" w:cs="Times New Roman"/>
                <w:bCs/>
                <w:color w:val="000000" w:themeColor="text1"/>
                <w:szCs w:val="28"/>
                <w14:textFill>
                  <w14:solidFill>
                    <w14:schemeClr w14:val="tx1"/>
                  </w14:solidFill>
                </w14:textFill>
              </w:rPr>
              <w:t>专栏42：依法治市行动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全面推进依法治市规划工程。</w:t>
            </w:r>
            <w:r>
              <w:rPr>
                <w:rFonts w:ascii="Times New Roman" w:hAnsi="Times New Roman" w:eastAsia="宋体" w:cs="Times New Roman"/>
                <w:bCs/>
                <w:color w:val="000000" w:themeColor="text1"/>
                <w:szCs w:val="28"/>
                <w14:textFill>
                  <w14:solidFill>
                    <w14:schemeClr w14:val="tx1"/>
                  </w14:solidFill>
                </w14:textFill>
              </w:rPr>
              <w:t>科学制定我市贯彻落实《法治中国建设规划(2020-2025年)》《法治政府建设实施纲要(2021-2025 年))《法治</w:t>
            </w:r>
            <w:r>
              <w:rPr>
                <w:rFonts w:hint="eastAsia" w:ascii="Times New Roman" w:hAnsi="Times New Roman" w:eastAsia="宋体" w:cs="Times New Roman"/>
                <w:bCs/>
                <w:color w:val="000000" w:themeColor="text1"/>
                <w:szCs w:val="28"/>
                <w14:textFill>
                  <w14:solidFill>
                    <w14:schemeClr w14:val="tx1"/>
                  </w14:solidFill>
                </w14:textFill>
              </w:rPr>
              <w:t>社会</w:t>
            </w:r>
            <w:r>
              <w:rPr>
                <w:rFonts w:ascii="Times New Roman" w:hAnsi="Times New Roman" w:eastAsia="宋体" w:cs="Times New Roman"/>
                <w:bCs/>
                <w:color w:val="000000" w:themeColor="text1"/>
                <w:szCs w:val="28"/>
                <w14:textFill>
                  <w14:solidFill>
                    <w14:schemeClr w14:val="tx1"/>
                  </w14:solidFill>
                </w14:textFill>
              </w:rPr>
              <w:t>建设实施纲要(2020-2025年)》的实施方案，引领指导依法治市各项工作。</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法治政府建</w:t>
            </w:r>
            <w:r>
              <w:rPr>
                <w:rFonts w:hint="eastAsia" w:ascii="Times New Roman" w:hAnsi="Times New Roman" w:eastAsia="宋体" w:cs="Times New Roman"/>
                <w:b/>
                <w:color w:val="000000" w:themeColor="text1"/>
                <w:szCs w:val="28"/>
                <w:lang w:val="en-US" w:eastAsia="zh-CN"/>
                <w14:textFill>
                  <w14:solidFill>
                    <w14:schemeClr w14:val="tx1"/>
                  </w14:solidFill>
                </w14:textFill>
              </w:rPr>
              <w:t>设</w:t>
            </w:r>
            <w:r>
              <w:rPr>
                <w:rFonts w:ascii="Times New Roman" w:hAnsi="Times New Roman" w:eastAsia="宋体" w:cs="Times New Roman"/>
                <w:b/>
                <w:color w:val="000000" w:themeColor="text1"/>
                <w:szCs w:val="28"/>
                <w14:textFill>
                  <w14:solidFill>
                    <w14:schemeClr w14:val="tx1"/>
                  </w14:solidFill>
                </w14:textFill>
              </w:rPr>
              <w:t>示范创建工程。</w:t>
            </w:r>
            <w:r>
              <w:rPr>
                <w:rFonts w:ascii="Times New Roman" w:hAnsi="Times New Roman" w:eastAsia="宋体" w:cs="Times New Roman"/>
                <w:bCs/>
                <w:color w:val="000000" w:themeColor="text1"/>
                <w:szCs w:val="28"/>
                <w14:textFill>
                  <w14:solidFill>
                    <w14:schemeClr w14:val="tx1"/>
                  </w14:solidFill>
                </w14:textFill>
              </w:rPr>
              <w:t>开展全市法治政府建</w:t>
            </w:r>
            <w:r>
              <w:rPr>
                <w:rFonts w:hint="eastAsia" w:ascii="Times New Roman" w:hAnsi="Times New Roman" w:eastAsia="宋体" w:cs="Times New Roman"/>
                <w:bCs/>
                <w:color w:val="000000" w:themeColor="text1"/>
                <w:szCs w:val="28"/>
                <w:lang w:val="en-US" w:eastAsia="zh-CN"/>
                <w14:textFill>
                  <w14:solidFill>
                    <w14:schemeClr w14:val="tx1"/>
                  </w14:solidFill>
                </w14:textFill>
              </w:rPr>
              <w:t>设</w:t>
            </w:r>
            <w:r>
              <w:rPr>
                <w:rFonts w:ascii="Times New Roman" w:hAnsi="Times New Roman" w:eastAsia="宋体" w:cs="Times New Roman"/>
                <w:bCs/>
                <w:color w:val="000000" w:themeColor="text1"/>
                <w:szCs w:val="28"/>
                <w14:textFill>
                  <w14:solidFill>
                    <w14:schemeClr w14:val="tx1"/>
                  </w14:solidFill>
                </w14:textFill>
              </w:rPr>
              <w:t>示范创建活动，评选市级综合示范地区(单位)和单项示范项目。优化行政复议资源配置，整合各部门行政复议职责并实现重心下移。</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行政执法能力提升工程。</w:t>
            </w:r>
            <w:r>
              <w:rPr>
                <w:rFonts w:ascii="Times New Roman" w:hAnsi="Times New Roman" w:eastAsia="宋体" w:cs="Times New Roman"/>
                <w:bCs/>
                <w:color w:val="000000" w:themeColor="text1"/>
                <w:szCs w:val="28"/>
                <w14:textFill>
                  <w14:solidFill>
                    <w14:schemeClr w14:val="tx1"/>
                  </w14:solidFill>
                </w14:textFill>
              </w:rPr>
              <w:t>推进相对集中行政许可权、相对集中行政处罚权改革;全面推行行政执法三项制度。健全并全面推广证明事项告知承诺制制度。</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普法宣传教育能力提升工程。</w:t>
            </w:r>
            <w:r>
              <w:rPr>
                <w:rFonts w:ascii="Times New Roman" w:hAnsi="Times New Roman" w:eastAsia="宋体" w:cs="Times New Roman"/>
                <w:bCs/>
                <w:color w:val="000000" w:themeColor="text1"/>
                <w:szCs w:val="28"/>
                <w14:textFill>
                  <w14:solidFill>
                    <w14:schemeClr w14:val="tx1"/>
                  </w14:solidFill>
                </w14:textFill>
              </w:rPr>
              <w:t>持续推进宪法学习宣传教育。深化青少年</w:t>
            </w:r>
            <w:r>
              <w:rPr>
                <w:rFonts w:hint="eastAsia" w:ascii="Times New Roman" w:hAnsi="Times New Roman" w:eastAsia="宋体" w:cs="Times New Roman"/>
                <w:bCs/>
                <w:color w:val="000000" w:themeColor="text1"/>
                <w:szCs w:val="28"/>
                <w14:textFill>
                  <w14:solidFill>
                    <w14:schemeClr w14:val="tx1"/>
                  </w14:solidFill>
                </w14:textFill>
              </w:rPr>
              <w:t>法制</w:t>
            </w:r>
            <w:r>
              <w:rPr>
                <w:rFonts w:ascii="Times New Roman" w:hAnsi="Times New Roman" w:eastAsia="宋体" w:cs="Times New Roman"/>
                <w:bCs/>
                <w:color w:val="000000" w:themeColor="text1"/>
                <w:szCs w:val="28"/>
                <w14:textFill>
                  <w14:solidFill>
                    <w14:schemeClr w14:val="tx1"/>
                  </w14:solidFill>
                </w14:textFill>
              </w:rPr>
              <w:t>教育。实行普法责任清单制度，建立完善履责评议报告制度，探索落实</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谁执法谁普法</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第三方评估。全面落实媒体公益普法制度，深化基层法治创建活动。</w:t>
            </w:r>
          </w:p>
          <w:p>
            <w:pPr>
              <w:spacing w:before="0" w:after="0" w:line="540" w:lineRule="exact"/>
              <w:ind w:firstLine="562" w:firstLineChars="200"/>
              <w:jc w:val="both"/>
              <w:textAlignment w:val="center"/>
              <w:rPr>
                <w:rFonts w:ascii="Times New Roman" w:hAnsi="Times New Roman" w:eastAsia="宋体" w:cs="Times New Roman"/>
                <w:b/>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公共法律服务全覆盖工程。</w:t>
            </w:r>
            <w:r>
              <w:rPr>
                <w:rFonts w:ascii="Times New Roman" w:hAnsi="Times New Roman" w:eastAsia="宋体" w:cs="Times New Roman"/>
                <w:bCs/>
                <w:color w:val="000000" w:themeColor="text1"/>
                <w:szCs w:val="28"/>
                <w14:textFill>
                  <w14:solidFill>
                    <w14:schemeClr w14:val="tx1"/>
                  </w14:solidFill>
                </w14:textFill>
              </w:rPr>
              <w:t>以县为基本单位，落实基本公共法律服务实施标准。落实公共法律服务政府购买制度。推进公共法律服务网络平台、实体平台、热线平台融合发展，完善</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互联网+公共法律服务</w:t>
            </w:r>
            <w:r>
              <w:rPr>
                <w:rFonts w:hint="eastAsia" w:ascii="仿宋" w:hAnsi="仿宋" w:cs="Times New Roman"/>
                <w:bCs/>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。加强法律援助工作。加强村(社区)法律顾问工作，推进律师行业党建工作，培育50名律师领军人才。</w:t>
            </w:r>
          </w:p>
        </w:tc>
      </w:tr>
      <w:bookmarkEnd w:id="2784"/>
    </w:tbl>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785" w:name="_Toc56528247"/>
      <w:bookmarkStart w:id="2786" w:name="_Toc32372"/>
      <w:bookmarkStart w:id="2787" w:name="_Toc16965"/>
      <w:bookmarkStart w:id="2788" w:name="_Toc25352"/>
      <w:bookmarkStart w:id="2789" w:name="_Toc1012"/>
      <w:bookmarkStart w:id="2790" w:name="_Toc4124"/>
      <w:bookmarkStart w:id="2791" w:name="_Toc133"/>
      <w:bookmarkStart w:id="2792" w:name="_Toc23051"/>
      <w:bookmarkStart w:id="2793" w:name="_Toc30892"/>
      <w:bookmarkStart w:id="2794" w:name="_Toc6683"/>
      <w:bookmarkStart w:id="2795" w:name="_Toc16726"/>
      <w:bookmarkStart w:id="2796" w:name="_Toc10148"/>
      <w:bookmarkStart w:id="2797" w:name="_Toc29409"/>
      <w:bookmarkStart w:id="2798" w:name="_Toc20384"/>
      <w:bookmarkStart w:id="2799" w:name="_Toc28507"/>
      <w:bookmarkStart w:id="2800" w:name="_Toc5433"/>
      <w:bookmarkStart w:id="2801" w:name="_Toc14320"/>
      <w:bookmarkStart w:id="2802" w:name="_Toc1812"/>
      <w:bookmarkStart w:id="2803" w:name="_Toc30525"/>
      <w:bookmarkStart w:id="2804" w:name="_Toc15887"/>
      <w:bookmarkStart w:id="2805" w:name="_Toc2670"/>
      <w:bookmarkStart w:id="2806" w:name="_Toc18474"/>
      <w:bookmarkStart w:id="2807" w:name="_Toc10211"/>
      <w:bookmarkStart w:id="2808" w:name="_Toc21948"/>
      <w:bookmarkStart w:id="2809" w:name="_Toc12380"/>
      <w:bookmarkStart w:id="2810" w:name="_Toc18311"/>
      <w:bookmarkStart w:id="2811" w:name="_Toc27102"/>
      <w:bookmarkStart w:id="2812" w:name="_Toc30495"/>
      <w:bookmarkStart w:id="2813" w:name="_Toc1249"/>
      <w:bookmarkStart w:id="2814" w:name="_Toc10545"/>
      <w:bookmarkStart w:id="2815" w:name="_Toc15697"/>
      <w:bookmarkStart w:id="2816" w:name="_Toc32642"/>
      <w:bookmarkStart w:id="2817" w:name="_Toc22257"/>
      <w:bookmarkStart w:id="2818" w:name="_Toc14226"/>
      <w:bookmarkStart w:id="2819" w:name="_Toc16670"/>
      <w:bookmarkStart w:id="2820" w:name="_Toc2701"/>
      <w:bookmarkStart w:id="2821" w:name="_Toc19696"/>
      <w:bookmarkStart w:id="2822" w:name="_Toc292"/>
      <w:r>
        <w:rPr>
          <w:rFonts w:ascii="Times New Roman" w:hAnsi="Times New Roman" w:cs="Times New Roman"/>
          <w:color w:val="000000" w:themeColor="text1"/>
          <w:szCs w:val="32"/>
          <w14:textFill>
            <w14:solidFill>
              <w14:schemeClr w14:val="tx1"/>
            </w14:solidFill>
          </w14:textFill>
        </w:rPr>
        <w:t xml:space="preserve">第二节 </w:t>
      </w:r>
      <w:bookmarkEnd w:id="2785"/>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完善社会治理</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推进全国第一期市域社会治理现代化试点地区建设，完善治理体系，转变治理方式，建立可控、合法和制度化的机制，保障人民安居乐业、社会安定有序。健全社会信用体系建设推进机制，创建国家信用示范城市。</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健全现代社会治理格局。</w:t>
      </w:r>
      <w:r>
        <w:rPr>
          <w:rFonts w:hint="eastAsia" w:ascii="仿宋_GB2312" w:hAnsi="仿宋_GB2312" w:eastAsia="仿宋_GB2312" w:cs="仿宋_GB2312"/>
          <w:sz w:val="32"/>
          <w:szCs w:val="32"/>
        </w:rPr>
        <w:t>构建党委领导、政府负责、群团助推、社会协同、公众参与的社会共治格局。</w:t>
      </w:r>
      <w:r>
        <w:rPr>
          <w:rFonts w:hint="eastAsia" w:ascii="仿宋_GB2312" w:eastAsia="仿宋_GB2312"/>
          <w:sz w:val="32"/>
          <w:szCs w:val="32"/>
        </w:rPr>
        <w:t>进一步理顺市、县、乡三级在社会治理中的权责关系，构建市级统筹协调、县级组织实施、乡镇(街道)强基固本的工作格局。</w:t>
      </w:r>
      <w:r>
        <w:rPr>
          <w:rFonts w:ascii="Times New Roman" w:hAnsi="Times New Roman" w:eastAsia="仿宋_GB2312" w:cs="Times New Roman"/>
          <w:color w:val="000000" w:themeColor="text1"/>
          <w:sz w:val="32"/>
          <w:szCs w:val="32"/>
          <w14:textFill>
            <w14:solidFill>
              <w14:schemeClr w14:val="tx1"/>
            </w14:solidFill>
          </w14:textFill>
        </w:rPr>
        <w:t>健全党领导下的自治法治德治相结合的基层治理体系，在农村推行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一支部、五创建、八协会</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，在街道创新</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网格化管理、小单元作战</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模式。推进市、县、乡综治中心规范化建设，开展网格化服务管理标准化建设，完善村（社区）综合服务管理平台的社会治理功能，加强实战化平台建设。推进网络空间安全综合管理体系、立体化智能化治安防控体系、毒品治理工作体系、公安为民服务体系等建设，加强公安基础设施建设和公安现代警用装备体系建设。坚持和发展新时代</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枫桥经验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，推动</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一村一辅警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邵阳快警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提质升级。</w:t>
      </w:r>
      <w:r>
        <w:rPr>
          <w:rFonts w:hint="eastAsia" w:ascii="仿宋_GB2312" w:hAnsi="仿宋_GB2312" w:eastAsia="仿宋_GB2312" w:cs="仿宋_GB2312"/>
          <w:sz w:val="32"/>
          <w:szCs w:val="32"/>
        </w:rPr>
        <w:t>加快完成城乡末端感知系统布局</w:t>
      </w:r>
      <w:r>
        <w:rPr>
          <w:rFonts w:ascii="Times New Roman" w:hAnsi="Times New Roman" w:eastAsia="仿宋_GB2312" w:cs="Times New Roman"/>
          <w:color w:val="000000" w:themeColor="text1"/>
          <w:sz w:val="32"/>
          <w:szCs w:val="32"/>
          <w14:textFill>
            <w14:solidFill>
              <w14:schemeClr w14:val="tx1"/>
            </w14:solidFill>
          </w14:textFill>
        </w:rPr>
        <w:t>，探索风险预警闭环处置模式，构建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事前感知预警、事中快速处置、事后追溯还原</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的基层社会治理机制。</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预防和化解社会矛盾。</w:t>
      </w:r>
      <w:r>
        <w:rPr>
          <w:rFonts w:ascii="Times New Roman" w:hAnsi="Times New Roman" w:eastAsia="仿宋_GB2312" w:cs="Times New Roman"/>
          <w:color w:val="000000" w:themeColor="text1"/>
          <w:sz w:val="32"/>
          <w:szCs w:val="32"/>
          <w14:textFill>
            <w14:solidFill>
              <w14:schemeClr w14:val="tx1"/>
            </w14:solidFill>
          </w14:textFill>
        </w:rPr>
        <w:t>深入推进网络问政，充分发挥市民热线、市长信箱等平台作用，拓宽社情民意表达渠道，推动人民满意窗口建设。发挥信访主渠道作用，推进信访积案化解工作，注重民意收集与信息反馈，引导群众以理性合法的形式表达利益诉求。</w:t>
      </w:r>
      <w:r>
        <w:rPr>
          <w:rFonts w:hint="eastAsia" w:ascii="仿宋_GB2312" w:hAnsi="仿宋_GB2312" w:eastAsia="仿宋_GB2312" w:cs="仿宋_GB2312"/>
          <w:sz w:val="32"/>
          <w:szCs w:val="32"/>
        </w:rPr>
        <w:t>完善源头防控、排查梳理、纠纷化解、应急处置的社会矛盾综合治理机制，切实把矛盾化解在基层</w:t>
      </w:r>
      <w:r>
        <w:rPr>
          <w:rFonts w:ascii="Times New Roman" w:hAnsi="Times New Roman" w:eastAsia="仿宋_GB2312" w:cs="Times New Roman"/>
          <w:color w:val="000000" w:themeColor="text1"/>
          <w:spacing w:val="-6"/>
          <w:sz w:val="32"/>
          <w:szCs w:val="32"/>
          <w14:textFill>
            <w14:solidFill>
              <w14:schemeClr w14:val="tx1"/>
            </w14:solidFill>
          </w14:textFill>
        </w:rPr>
        <w:t>。</w:t>
      </w:r>
      <w:r>
        <w:rPr>
          <w:rFonts w:hint="eastAsia" w:ascii="仿宋_GB2312" w:hAnsi="仿宋_GB2312" w:eastAsia="仿宋_GB2312" w:cs="仿宋_GB2312"/>
          <w:sz w:val="32"/>
          <w:szCs w:val="32"/>
        </w:rPr>
        <w:t>健全社会矛盾排查预警机制，落实重大决策社会稳定风险评估制度，着力解决涉军、涉众等利益群体题，化解经济、金融、劳资、生态环境、征地拆迁、交通安全、房地产、城市管理等重点领域矛盾纠纷。创新完善人民调解、行政调解、司法调解协调联动格局，提高仲裁公信力，大力推进民商事案件通过仲裁途径有效解决。依托县(市、区)矛盾纠纷调处中心或在矛盾纠纷多发的乡镇(街道)设立溯源治理工作平台，加强乡镇(街道)、村(社区)人民调解委员会和人民调解员队伍及行业性、专业性调解组织建设，完善调解、仲裁、行政裁决、行政复议、诉讼等多轨并行、有机衔接、相互协调、高效便捷的多元化纠纷解决机制，建立提供“一站式”解纷服务的实体平台和在线平台。将社会心理服务体系建设纳入城乡基本公共服务体系，健全社会心理服务体系和危机干预机制。</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加强基层治理体系建设。</w:t>
      </w:r>
      <w:r>
        <w:rPr>
          <w:rFonts w:ascii="Times New Roman" w:hAnsi="Times New Roman" w:eastAsia="仿宋_GB2312" w:cs="Times New Roman"/>
          <w:color w:val="000000" w:themeColor="text1"/>
          <w:sz w:val="32"/>
          <w:szCs w:val="32"/>
          <w14:textFill>
            <w14:solidFill>
              <w14:schemeClr w14:val="tx1"/>
            </w14:solidFill>
          </w14:textFill>
        </w:rPr>
        <w:t>全面落实省委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1+5</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文件，加大从乡镇（街道）选拔干部和基层遴选优秀干部力度，完善从优秀村（社区）党组织书记中选拔乡镇领导班子成员、招录乡镇公务员、招聘乡镇事业编制人员的长效机制。抓好新一轮村（社区）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班子换届，选优配强</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两委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干部特别是党组织书记，全面落实村党组织书记和村委会主任</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一肩挑</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坚决防止选出涉黑恶问题村干部。加强基层教师、医生、农技等人才培养。建立社区工作者岗位等级序列，加大村（社区）年轻干部和后备干部培养。全面落实乡镇（街道）和村（社区）干部薪酬待遇政策和健康体检、带薪休假、集中疗养等关怀制度，表彰重用担当敬业有为的先进典型。注重发挥基层党代表、人大代表、政协委员和先锋模范人物的示范带头作用。</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做好民族宗教工作。</w:t>
      </w:r>
      <w:r>
        <w:rPr>
          <w:rFonts w:ascii="Times New Roman" w:hAnsi="Times New Roman" w:eastAsia="仿宋_GB2312" w:cs="Times New Roman"/>
          <w:color w:val="000000" w:themeColor="text1"/>
          <w:sz w:val="32"/>
          <w:szCs w:val="32"/>
          <w14:textFill>
            <w14:solidFill>
              <w14:schemeClr w14:val="tx1"/>
            </w14:solidFill>
          </w14:textFill>
        </w:rPr>
        <w:t>铸牢中华民族共同体意识，加强民族团结进步教育，引导各族群众树立正确的祖国观、民族观、文化观、历史观。坚持释放政策动力与激发内生潜力相结合，推动民族地区经济社会发展，建设各具特色的少数民族村寨和民族风情小镇。实施民族团结进步创建行动, 创建全国民族团结进步示范市。坚持</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我国</w:t>
      </w:r>
      <w:r>
        <w:rPr>
          <w:rFonts w:ascii="Times New Roman" w:hAnsi="Times New Roman" w:eastAsia="仿宋_GB2312" w:cs="Times New Roman"/>
          <w:color w:val="000000" w:themeColor="text1"/>
          <w:sz w:val="32"/>
          <w:szCs w:val="32"/>
          <w14:textFill>
            <w14:solidFill>
              <w14:schemeClr w14:val="tx1"/>
            </w14:solidFill>
          </w14:textFill>
        </w:rPr>
        <w:t>宗教中国化方向，依法管理宗教事务，坚决制止非法宗教活动，防范和抵御境外势力利用宗教进行渗透。</w:t>
      </w:r>
    </w:p>
    <w:p>
      <w:pPr>
        <w:widowControl w:val="0"/>
        <w:adjustRightInd/>
        <w:snapToGrid/>
        <w:spacing w:before="0" w:after="193" w:afterLines="5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打造诚实守信社会环境。</w:t>
      </w:r>
      <w:r>
        <w:rPr>
          <w:rFonts w:ascii="Times New Roman" w:hAnsi="Times New Roman" w:eastAsia="仿宋_GB2312" w:cs="Times New Roman"/>
          <w:color w:val="000000" w:themeColor="text1"/>
          <w:sz w:val="32"/>
          <w:szCs w:val="32"/>
          <w14:textFill>
            <w14:solidFill>
              <w14:schemeClr w14:val="tx1"/>
            </w14:solidFill>
          </w14:textFill>
        </w:rPr>
        <w:t>健全社会信用体系建设推进机制，创建国家信用示范城市。强化信用平台建设，加快市公共信用信息平台与政务数据共享平台、政务一张网、市场监管平台等综合性平台对接。进一步完善红黑名单管理制度，全面落实国家和省层面有关红黑名单制度文件，规范红黑名单认定方式，严格按标准和流程开展系列评审认定工作。全面拓宽联合奖惩范围，不断完善联合奖惩措施库和对象库。进一步完善信用修复管理制度，规范信用修复标准和流程，加强失信主体合法权益保护。探索构建智能化信用评分模型，推动评价赋分标准更加科学、合理。加大重点领域政务诚信建设，健全招商引资等领域政务诚信建设管理、监督、评估、考核等制度。支持、引导信用服务机构规范发展，选择有实力的信用服务机构，参与、承担失信案例核查、信用修复培训、行业信用监管等活动。</w:t>
      </w:r>
    </w:p>
    <w:tbl>
      <w:tblPr>
        <w:tblStyle w:val="14"/>
        <w:tblW w:w="5000" w:type="pct"/>
        <w:tblInd w:w="0" w:type="dxa"/>
        <w:tblLayout w:type="autofit"/>
        <w:tblCellMar>
          <w:top w:w="0" w:type="dxa"/>
          <w:left w:w="0" w:type="dxa"/>
          <w:bottom w:w="0" w:type="dxa"/>
          <w:right w:w="0" w:type="dxa"/>
        </w:tblCellMar>
      </w:tblPr>
      <w:tblGrid>
        <w:gridCol w:w="8868"/>
      </w:tblGrid>
      <w:tr>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jc w:val="center"/>
              <w:textAlignment w:val="center"/>
              <w:rPr>
                <w:rFonts w:ascii="Times New Roman" w:hAnsi="Times New Roman" w:eastAsia="宋体" w:cs="Times New Roman"/>
                <w:b/>
                <w:color w:val="000000" w:themeColor="text1"/>
                <w:szCs w:val="28"/>
                <w14:textFill>
                  <w14:solidFill>
                    <w14:schemeClr w14:val="tx1"/>
                  </w14:solidFill>
                </w14:textFill>
              </w:rPr>
            </w:pPr>
            <w:r>
              <w:rPr>
                <w:rFonts w:ascii="Times New Roman" w:hAnsi="Times New Roman" w:eastAsia="黑体" w:cs="Times New Roman"/>
                <w:bCs/>
                <w:color w:val="000000" w:themeColor="text1"/>
                <w:szCs w:val="28"/>
                <w14:textFill>
                  <w14:solidFill>
                    <w14:schemeClr w14:val="tx1"/>
                  </w14:solidFill>
                </w14:textFill>
              </w:rPr>
              <w:t>专栏43：社会治理创新行动</w:t>
            </w:r>
          </w:p>
        </w:tc>
      </w:tr>
      <w:tr>
        <w:tblPrEx>
          <w:tblCellMar>
            <w:top w:w="0" w:type="dxa"/>
            <w:left w:w="0" w:type="dxa"/>
            <w:bottom w:w="0" w:type="dxa"/>
            <w:right w:w="0" w:type="dxa"/>
          </w:tblCellMar>
        </w:tblPrEx>
        <w:tc>
          <w:tcPr>
            <w:tcW w:w="5000" w:type="pc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城乡社区服务体系建设工程。</w:t>
            </w:r>
            <w:r>
              <w:rPr>
                <w:rFonts w:ascii="Times New Roman" w:hAnsi="Times New Roman" w:eastAsia="宋体" w:cs="Times New Roman"/>
                <w:bCs/>
                <w:color w:val="000000" w:themeColor="text1"/>
                <w:szCs w:val="28"/>
                <w14:textFill>
                  <w14:solidFill>
                    <w14:schemeClr w14:val="tx1"/>
                  </w14:solidFill>
                </w14:textFill>
              </w:rPr>
              <w:t>建立健全城乡社区服务标准，建设社区生活服务中心。推进农村社区综合服务设施建设，建设公共服务中心、体育健身中心、文化活动室。建立健全社区服务设施维护运行机制。</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城乡社区基本公共服务(一</w:t>
            </w:r>
            <w:r>
              <w:rPr>
                <w:rFonts w:hint="eastAsia" w:ascii="Times New Roman" w:hAnsi="Times New Roman" w:eastAsia="宋体" w:cs="Times New Roman"/>
                <w:b/>
                <w:color w:val="000000" w:themeColor="text1"/>
                <w:szCs w:val="28"/>
                <w14:textFill>
                  <w14:solidFill>
                    <w14:schemeClr w14:val="tx1"/>
                  </w14:solidFill>
                </w14:textFill>
              </w:rPr>
              <w:t>站</w:t>
            </w:r>
            <w:r>
              <w:rPr>
                <w:rFonts w:ascii="Times New Roman" w:hAnsi="Times New Roman" w:eastAsia="宋体" w:cs="Times New Roman"/>
                <w:b/>
                <w:color w:val="000000" w:themeColor="text1"/>
                <w:szCs w:val="28"/>
                <w14:textFill>
                  <w14:solidFill>
                    <w14:schemeClr w14:val="tx1"/>
                  </w14:solidFill>
                </w14:textFill>
              </w:rPr>
              <w:t>式)全覆盖工程。</w:t>
            </w:r>
            <w:r>
              <w:rPr>
                <w:rFonts w:ascii="Times New Roman" w:hAnsi="Times New Roman" w:eastAsia="宋体" w:cs="Times New Roman"/>
                <w:bCs/>
                <w:color w:val="000000" w:themeColor="text1"/>
                <w:szCs w:val="28"/>
                <w14:textFill>
                  <w14:solidFill>
                    <w14:schemeClr w14:val="tx1"/>
                  </w14:solidFill>
                </w14:textFill>
              </w:rPr>
              <w:t>新建或改造一批社区综合服务站。将互联网+政务服务延伸到社区，建立社区公共服务综合信息平台，受(办)理面向居民的政府公共服务。</w:t>
            </w:r>
          </w:p>
          <w:p>
            <w:pPr>
              <w:spacing w:before="0" w:after="0" w:line="540" w:lineRule="exact"/>
              <w:ind w:firstLine="562" w:firstLineChars="200"/>
              <w:jc w:val="both"/>
              <w:textAlignment w:val="center"/>
              <w:rPr>
                <w:rFonts w:ascii="Times New Roman" w:hAnsi="Times New Roman" w:eastAsia="宋体" w:cs="Times New Roman"/>
                <w:bCs/>
                <w:color w:val="000000" w:themeColor="text1"/>
                <w:szCs w:val="28"/>
                <w14:textFill>
                  <w14:solidFill>
                    <w14:schemeClr w14:val="tx1"/>
                  </w14:solidFill>
                </w14:textFill>
              </w:rPr>
            </w:pPr>
            <w:r>
              <w:rPr>
                <w:rFonts w:ascii="Times New Roman" w:hAnsi="Times New Roman" w:eastAsia="宋体" w:cs="Times New Roman"/>
                <w:b/>
                <w:color w:val="000000" w:themeColor="text1"/>
                <w:szCs w:val="28"/>
                <w14:textFill>
                  <w14:solidFill>
                    <w14:schemeClr w14:val="tx1"/>
                  </w14:solidFill>
                </w14:textFill>
              </w:rPr>
              <w:t>社工和志愿者人才培训工程。</w:t>
            </w:r>
            <w:r>
              <w:rPr>
                <w:rFonts w:ascii="Times New Roman" w:hAnsi="Times New Roman" w:eastAsia="宋体" w:cs="Times New Roman"/>
                <w:bCs/>
                <w:color w:val="000000" w:themeColor="text1"/>
                <w:szCs w:val="28"/>
                <w14:textFill>
                  <w14:solidFill>
                    <w14:schemeClr w14:val="tx1"/>
                  </w14:solidFill>
                </w14:textFill>
              </w:rPr>
              <w:t>大力发展志愿者和义工组织，加强社会工作者和志愿者培训和继续教育，组织1万人次社工和志愿者人才培训，支持乡镇(街道)社工站建设运营。</w:t>
            </w:r>
          </w:p>
          <w:p>
            <w:pPr>
              <w:spacing w:before="0" w:after="0" w:line="540" w:lineRule="exact"/>
              <w:ind w:firstLine="562" w:firstLineChars="200"/>
              <w:jc w:val="both"/>
              <w:textAlignment w:val="center"/>
              <w:rPr>
                <w:rFonts w:ascii="Times New Roman" w:hAnsi="Times New Roman" w:eastAsia="宋体" w:cs="Times New Roman"/>
                <w:b/>
                <w:color w:val="000000" w:themeColor="text1"/>
                <w:szCs w:val="28"/>
                <w14:textFill>
                  <w14:solidFill>
                    <w14:schemeClr w14:val="tx1"/>
                  </w14:solidFill>
                </w14:textFill>
              </w:rPr>
            </w:pPr>
            <w:r>
              <w:rPr>
                <w:rFonts w:hint="eastAsia" w:ascii="Times New Roman" w:hAnsi="Times New Roman" w:eastAsia="宋体" w:cs="Times New Roman"/>
                <w:b/>
                <w:color w:val="000000" w:themeColor="text1"/>
                <w:szCs w:val="28"/>
                <w14:textFill>
                  <w14:solidFill>
                    <w14:schemeClr w14:val="tx1"/>
                  </w14:solidFill>
                </w14:textFill>
              </w:rPr>
              <w:t>市域社会治理创新开放共享总平台建设工程</w:t>
            </w:r>
            <w:r>
              <w:rPr>
                <w:rFonts w:ascii="Times New Roman" w:hAnsi="Times New Roman" w:eastAsia="宋体" w:cs="Times New Roman"/>
                <w:b/>
                <w:color w:val="000000" w:themeColor="text1"/>
                <w:szCs w:val="28"/>
                <w14:textFill>
                  <w14:solidFill>
                    <w14:schemeClr w14:val="tx1"/>
                  </w14:solidFill>
                </w14:textFill>
              </w:rPr>
              <w:t>。</w:t>
            </w:r>
            <w:r>
              <w:rPr>
                <w:rFonts w:ascii="Times New Roman" w:hAnsi="Times New Roman" w:eastAsia="宋体" w:cs="Times New Roman"/>
                <w:bCs/>
                <w:color w:val="000000" w:themeColor="text1"/>
                <w:szCs w:val="28"/>
                <w14:textFill>
                  <w14:solidFill>
                    <w14:schemeClr w14:val="tx1"/>
                  </w14:solidFill>
                </w14:textFill>
              </w:rPr>
              <w:t>依托政务云，围绕</w:t>
            </w:r>
            <w:r>
              <w:rPr>
                <w:rFonts w:hint="eastAsia" w:ascii="Times New Roman" w:hAnsi="Times New Roman" w:eastAsia="宋体" w:cs="Times New Roman"/>
                <w:bCs/>
                <w:color w:val="000000" w:themeColor="text1"/>
                <w:szCs w:val="28"/>
                <w14:textFill>
                  <w14:solidFill>
                    <w14:schemeClr w14:val="tx1"/>
                  </w14:solidFill>
                </w14:textFill>
              </w:rPr>
              <w:t>“人、地、物、事、组织、网格”</w:t>
            </w:r>
            <w:r>
              <w:rPr>
                <w:rFonts w:ascii="Times New Roman" w:hAnsi="Times New Roman" w:eastAsia="宋体" w:cs="Times New Roman"/>
                <w:bCs/>
                <w:color w:val="000000" w:themeColor="text1"/>
                <w:szCs w:val="28"/>
                <w14:textFill>
                  <w14:solidFill>
                    <w14:schemeClr w14:val="tx1"/>
                  </w14:solidFill>
                </w14:textFill>
              </w:rPr>
              <w:t>等社会治理要素，融通政务数据、末端感知数据和其他有关数据资源，开发平安管控、精细化服务等智慧应用，打造数据驱动、人机协同、跨界融合、共创分享的智能化治理新模式。</w:t>
            </w:r>
          </w:p>
        </w:tc>
      </w:tr>
    </w:tbl>
    <w:p>
      <w:pPr>
        <w:pStyle w:val="4"/>
        <w:keepNext w:val="0"/>
        <w:keepLines w:val="0"/>
        <w:widowControl w:val="0"/>
        <w:spacing w:before="386" w:beforeLines="100" w:after="386" w:afterLines="100" w:line="540" w:lineRule="exact"/>
        <w:rPr>
          <w:rFonts w:ascii="Times New Roman" w:hAnsi="Times New Roman" w:cs="Times New Roman"/>
          <w:color w:val="000000" w:themeColor="text1"/>
          <w:szCs w:val="32"/>
          <w14:textFill>
            <w14:solidFill>
              <w14:schemeClr w14:val="tx1"/>
            </w14:solidFill>
          </w14:textFill>
        </w:rPr>
      </w:pPr>
      <w:bookmarkStart w:id="2823" w:name="_Toc23170"/>
      <w:bookmarkStart w:id="2824" w:name="_Toc29260"/>
      <w:bookmarkStart w:id="2825" w:name="_Toc5262"/>
      <w:bookmarkStart w:id="2826" w:name="_Toc28752"/>
      <w:bookmarkStart w:id="2827" w:name="_Toc19238"/>
      <w:bookmarkStart w:id="2828" w:name="_Toc11229"/>
      <w:bookmarkStart w:id="2829" w:name="_Toc6857"/>
      <w:bookmarkStart w:id="2830" w:name="_Toc2275"/>
      <w:bookmarkStart w:id="2831" w:name="_Toc27126"/>
      <w:bookmarkStart w:id="2832" w:name="_Toc22025"/>
      <w:bookmarkStart w:id="2833" w:name="_Toc13189"/>
      <w:bookmarkStart w:id="2834" w:name="_Toc23991"/>
      <w:bookmarkStart w:id="2835" w:name="_Toc29835"/>
      <w:bookmarkStart w:id="2836" w:name="_Toc19338"/>
      <w:bookmarkStart w:id="2837" w:name="_Toc1600"/>
      <w:bookmarkStart w:id="2838" w:name="_Toc21257"/>
      <w:bookmarkStart w:id="2839" w:name="_Toc22541"/>
      <w:bookmarkStart w:id="2840" w:name="_Toc11694"/>
      <w:bookmarkStart w:id="2841" w:name="_Toc19697"/>
      <w:bookmarkStart w:id="2842" w:name="_Toc22250"/>
      <w:bookmarkStart w:id="2843" w:name="_Toc24235"/>
      <w:bookmarkStart w:id="2844" w:name="_Toc32018"/>
      <w:bookmarkStart w:id="2845" w:name="_Toc5206"/>
      <w:bookmarkStart w:id="2846" w:name="_Toc7329"/>
      <w:bookmarkStart w:id="2847" w:name="_Toc2254"/>
      <w:bookmarkStart w:id="2848" w:name="_Toc1004"/>
      <w:bookmarkStart w:id="2849" w:name="_Toc28848"/>
      <w:bookmarkStart w:id="2850" w:name="_Toc32253"/>
      <w:bookmarkStart w:id="2851" w:name="_Toc3703"/>
      <w:bookmarkStart w:id="2852" w:name="_Toc10494"/>
      <w:bookmarkStart w:id="2853" w:name="_Toc20706"/>
      <w:bookmarkStart w:id="2854" w:name="_Toc2033"/>
      <w:bookmarkStart w:id="2855" w:name="_Toc12309"/>
      <w:bookmarkStart w:id="2856" w:name="_Toc17332"/>
      <w:bookmarkStart w:id="2857" w:name="_Toc9936"/>
      <w:bookmarkStart w:id="2858" w:name="_Toc27161"/>
      <w:bookmarkStart w:id="2859" w:name="_Toc16199"/>
      <w:r>
        <w:rPr>
          <w:rFonts w:ascii="Times New Roman" w:hAnsi="Times New Roman" w:cs="Times New Roman"/>
          <w:color w:val="000000" w:themeColor="text1"/>
          <w:szCs w:val="32"/>
          <w14:textFill>
            <w14:solidFill>
              <w14:schemeClr w14:val="tx1"/>
            </w14:solidFill>
          </w14:textFill>
        </w:rPr>
        <w:t>第</w:t>
      </w:r>
      <w:r>
        <w:rPr>
          <w:rFonts w:hint="eastAsia" w:ascii="Times New Roman" w:hAnsi="Times New Roman" w:cs="Times New Roman"/>
          <w:color w:val="000000" w:themeColor="text1"/>
          <w:szCs w:val="32"/>
          <w14:textFill>
            <w14:solidFill>
              <w14:schemeClr w14:val="tx1"/>
            </w14:solidFill>
          </w14:textFill>
        </w:rPr>
        <w:t>三</w:t>
      </w:r>
      <w:r>
        <w:rPr>
          <w:rFonts w:ascii="Times New Roman" w:hAnsi="Times New Roman" w:cs="Times New Roman"/>
          <w:color w:val="000000" w:themeColor="text1"/>
          <w:szCs w:val="32"/>
          <w14:textFill>
            <w14:solidFill>
              <w14:schemeClr w14:val="tx1"/>
            </w14:solidFill>
          </w14:textFill>
        </w:rPr>
        <w:t>节</w:t>
      </w:r>
      <w:bookmarkEnd w:id="2823"/>
      <w:bookmarkStart w:id="2860" w:name="_Toc2304"/>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r>
        <w:rPr>
          <w:rFonts w:hint="eastAsia" w:ascii="Times New Roman" w:hAnsi="Times New Roman" w:cs="Times New Roman"/>
          <w:color w:val="000000" w:themeColor="text1"/>
          <w:szCs w:val="32"/>
          <w14:textFill>
            <w14:solidFill>
              <w14:schemeClr w14:val="tx1"/>
            </w14:solidFill>
          </w14:textFill>
        </w:rPr>
        <w:t>深化平安邵阳建设</w:t>
      </w:r>
    </w:p>
    <w:p>
      <w:pPr>
        <w:spacing w:before="0" w:after="0"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全面提升平安邵阳建设科学化、社会化、法治化、智能化水平，确保政治更安全、社会更安定、人民更安宁、网络更安静</w:t>
      </w:r>
      <w:r>
        <w:rPr>
          <w:rFonts w:hint="eastAsia" w:ascii="Times New Roman" w:hAnsi="Times New Roman" w:eastAsia="仿宋_GB2312" w:cs="Times New Roman"/>
          <w:color w:val="000000" w:themeColor="text1"/>
          <w:sz w:val="32"/>
          <w:szCs w:val="32"/>
          <w14:textFill>
            <w14:solidFill>
              <w14:schemeClr w14:val="tx1"/>
            </w14:solidFill>
          </w14:textFill>
        </w:rPr>
        <w:t>，让人民群众的获得感成色更足、幸福感更可持续、安全感更有保障。</w:t>
      </w:r>
    </w:p>
    <w:p>
      <w:pPr>
        <w:spacing w:before="0" w:after="0" w:line="56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bCs/>
          <w:color w:val="000000" w:themeColor="text1"/>
          <w:sz w:val="32"/>
          <w:szCs w:val="32"/>
          <w14:textFill>
            <w14:solidFill>
              <w14:schemeClr w14:val="tx1"/>
            </w14:solidFill>
          </w14:textFill>
        </w:rPr>
        <w:t>完善平安建设机制。</w:t>
      </w:r>
      <w:r>
        <w:rPr>
          <w:rFonts w:hint="eastAsia" w:ascii="Times New Roman" w:hAnsi="Times New Roman" w:eastAsia="仿宋_GB2312" w:cs="Times New Roman"/>
          <w:color w:val="000000" w:themeColor="text1"/>
          <w:sz w:val="32"/>
          <w:szCs w:val="32"/>
          <w14:textFill>
            <w14:solidFill>
              <w14:schemeClr w14:val="tx1"/>
            </w14:solidFill>
          </w14:textFill>
        </w:rPr>
        <w:t>加强党对平安邵阳建设工作的组织领导和统筹协调，不断创新完善纵横联动、政社互动、专群齐动机制，有效统筹资源力量，提升共</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建</w:t>
      </w:r>
      <w:r>
        <w:rPr>
          <w:rFonts w:hint="eastAsia" w:ascii="Times New Roman" w:hAnsi="Times New Roman" w:eastAsia="仿宋_GB2312" w:cs="Times New Roman"/>
          <w:color w:val="000000" w:themeColor="text1"/>
          <w:sz w:val="32"/>
          <w:szCs w:val="32"/>
          <w14:textFill>
            <w14:solidFill>
              <w14:schemeClr w14:val="tx1"/>
            </w14:solidFill>
          </w14:textFill>
        </w:rPr>
        <w:t>共</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治</w:t>
      </w:r>
      <w:r>
        <w:rPr>
          <w:rFonts w:hint="eastAsia" w:ascii="Times New Roman" w:hAnsi="Times New Roman" w:eastAsia="仿宋_GB2312" w:cs="Times New Roman"/>
          <w:color w:val="000000" w:themeColor="text1"/>
          <w:sz w:val="32"/>
          <w:szCs w:val="32"/>
          <w14:textFill>
            <w14:solidFill>
              <w14:schemeClr w14:val="tx1"/>
            </w14:solidFill>
          </w14:textFill>
        </w:rPr>
        <w:t>共享水平。建立完善平安建设领导责任制和目标管理责任制，压实主体责任和行业监管责任，推动形成环环相扣、一级抓一级的责任链条，完善对群众安全感、满意度等的测评方式。把平安建设成效纳入各级党政领导班子和领导干部政绩考核指标体系，将考核结果作为领导班子和领导干部业绩评价的重要依据，与晋职晋级、评优评先、奖励惩处挂钩。定期对工作扎实、成效显著的按规定予以褒奖，对问题突出的地区和部门依法依规依纪严肃问责。</w:t>
      </w:r>
    </w:p>
    <w:p>
      <w:pPr>
        <w:spacing w:before="0" w:after="0"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color w:val="000000" w:themeColor="text1"/>
          <w:sz w:val="32"/>
          <w:szCs w:val="32"/>
          <w14:textFill>
            <w14:solidFill>
              <w14:schemeClr w14:val="tx1"/>
            </w14:solidFill>
          </w14:textFill>
        </w:rPr>
        <w:t xml:space="preserve"> </w:t>
      </w:r>
      <w:r>
        <w:rPr>
          <w:rFonts w:hint="eastAsia" w:ascii="Times New Roman" w:hAnsi="Times New Roman" w:eastAsia="仿宋_GB2312" w:cs="Times New Roman"/>
          <w:b/>
          <w:bCs/>
          <w:color w:val="000000" w:themeColor="text1"/>
          <w:sz w:val="32"/>
          <w:szCs w:val="32"/>
          <w14:textFill>
            <w14:solidFill>
              <w14:schemeClr w14:val="tx1"/>
            </w14:solidFill>
          </w14:textFill>
        </w:rPr>
        <w:t>坚决维护国家</w:t>
      </w:r>
      <w:r>
        <w:rPr>
          <w:rFonts w:ascii="Times New Roman" w:hAnsi="Times New Roman" w:eastAsia="仿宋_GB2312" w:cs="Times New Roman"/>
          <w:b/>
          <w:bCs/>
          <w:color w:val="000000" w:themeColor="text1"/>
          <w:sz w:val="32"/>
          <w:szCs w:val="32"/>
          <w14:textFill>
            <w14:solidFill>
              <w14:schemeClr w14:val="tx1"/>
            </w14:solidFill>
          </w14:textFill>
        </w:rPr>
        <w:t>安全</w:t>
      </w:r>
      <w:r>
        <w:rPr>
          <w:rFonts w:hint="eastAsia"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深入开展反渗透、反颠覆、反分裂、反邪教、反恐怖、制止非法宗教活动等系列斗争，坚决捍卫党的领导和中国特色社会主义制度。加强意识形态引导和国家安全宣传教育，增强全民国家安全意识，巩固国家安全人民防线建设。构建网络安全防护体系，实施护网工程和网络社会治理能力建设工程，从源头堵塞网络监管漏洞，严密防范打击网络攻击渗透行为，坚决维护意识形态安全。加强网络安全等级保护，健全完善网络与信息安全通报机制和预警体系。</w:t>
      </w:r>
      <w:r>
        <w:rPr>
          <w:rFonts w:ascii="Times New Roman" w:hAnsi="Times New Roman" w:eastAsia="仿宋_GB2312" w:cs="Times New Roman"/>
          <w:color w:val="000000" w:themeColor="text1"/>
          <w:spacing w:val="-6"/>
          <w:sz w:val="32"/>
          <w:szCs w:val="32"/>
          <w14:textFill>
            <w14:solidFill>
              <w14:schemeClr w14:val="tx1"/>
            </w14:solidFill>
          </w14:textFill>
        </w:rPr>
        <w:t>贯彻实施军民融合发展战略，开展国防教育，强化国防观念，推进国防动员建设发展</w:t>
      </w:r>
      <w:r>
        <w:rPr>
          <w:rFonts w:hint="eastAsia" w:ascii="Times New Roman" w:hAnsi="Times New Roman" w:eastAsia="仿宋_GB2312"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bCs/>
          <w:color w:val="000000" w:themeColor="text1"/>
          <w:spacing w:val="-2"/>
          <w:sz w:val="32"/>
          <w:szCs w:val="32"/>
          <w14:textFill>
            <w14:solidFill>
              <w14:schemeClr w14:val="tx1"/>
            </w14:solidFill>
          </w14:textFill>
        </w:rPr>
        <w:t>推动双拥共建工作全面发展</w:t>
      </w:r>
      <w:r>
        <w:rPr>
          <w:rFonts w:hint="eastAsia" w:ascii="Times New Roman" w:hAnsi="Times New Roman" w:eastAsia="仿宋_GB2312" w:cs="Times New Roman"/>
          <w:bCs/>
          <w:color w:val="000000" w:themeColor="text1"/>
          <w:sz w:val="32"/>
          <w:szCs w:val="32"/>
          <w14:textFill>
            <w14:solidFill>
              <w14:schemeClr w14:val="tx1"/>
            </w14:solidFill>
          </w14:textFill>
        </w:rPr>
        <w:t>，</w:t>
      </w:r>
      <w:r>
        <w:rPr>
          <w:rFonts w:ascii="Times New Roman" w:hAnsi="Times New Roman" w:eastAsia="仿宋_GB2312" w:cs="Times New Roman"/>
          <w:sz w:val="32"/>
          <w:szCs w:val="32"/>
        </w:rPr>
        <w:t>巩固全国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双拥</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模范城市建设成果。</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保障人民生命安全。</w:t>
      </w:r>
      <w:r>
        <w:rPr>
          <w:rFonts w:ascii="Times New Roman" w:hAnsi="Times New Roman" w:eastAsia="仿宋_GB2312" w:cs="Times New Roman"/>
          <w:color w:val="000000" w:themeColor="text1"/>
          <w:sz w:val="32"/>
          <w:szCs w:val="32"/>
          <w14:textFill>
            <w14:solidFill>
              <w14:schemeClr w14:val="tx1"/>
            </w14:solidFill>
          </w14:textFill>
        </w:rPr>
        <w:t>牢固树立安全发展理念，坚持人民至上、生命至上，始终把保护人民生命安全摆在首位，全面提高公共安全保障能力。完善和落实安全生产责任制，</w:t>
      </w:r>
      <w:r>
        <w:rPr>
          <w:rFonts w:hint="eastAsia" w:ascii="仿宋_GB2312" w:hAnsi="仿宋_GB2312" w:eastAsia="仿宋_GB2312" w:cs="仿宋_GB2312"/>
          <w:sz w:val="32"/>
          <w:szCs w:val="32"/>
        </w:rPr>
        <w:t>常态化开展扫黑除恶斗争，不断巩固和深化专项斗争成果，推动扫黑除恶常治长效。完善对重点地区、突出问题的常态打击整治机制，深入打击整治涉枪涉爆、电信网络诈骗、盗抢骗、黄赌毒、食药环等违法犯罪。坚持立体化、法治化、专业化、智能化方向，加强社会治安防控体系建设。以“雪亮工程”建设为牵引，不断深化公共安全视频监控建设。紧紧围绕“发案少、秩序好、服务优、群众满意”创建目标，以解决影响安全稳定的突出问题为着力点，以组织和动员广大人民群众积极参与为着眼点，深入开展高标准、宽领域、大范围、多层面的平安创建活动。</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全面保障经济安全</w:t>
      </w:r>
      <w:r>
        <w:rPr>
          <w:rFonts w:hint="eastAsia" w:ascii="Times New Roman" w:hAnsi="Times New Roman" w:eastAsia="仿宋_GB2312" w:cs="Times New Roman"/>
          <w:b/>
          <w:bCs/>
          <w:color w:val="000000" w:themeColor="text1"/>
          <w:sz w:val="32"/>
          <w:szCs w:val="32"/>
          <w14:textFill>
            <w14:solidFill>
              <w14:schemeClr w14:val="tx1"/>
            </w14:solidFill>
          </w14:textFill>
        </w:rPr>
        <w:t>。</w:t>
      </w:r>
      <w:bookmarkStart w:id="2861" w:name="_Toc59787966"/>
      <w:bookmarkStart w:id="2862" w:name="_Toc59779067"/>
      <w:r>
        <w:rPr>
          <w:rFonts w:ascii="Times New Roman" w:hAnsi="Times New Roman" w:eastAsia="仿宋_GB2312" w:cs="Times New Roman"/>
          <w:bCs/>
          <w:color w:val="000000" w:themeColor="text1"/>
          <w:spacing w:val="-2"/>
          <w:sz w:val="32"/>
          <w:szCs w:val="32"/>
          <w14:textFill>
            <w14:solidFill>
              <w14:schemeClr w14:val="tx1"/>
            </w14:solidFill>
          </w14:textFill>
        </w:rPr>
        <w:t>处理好稳增长和防风险的关系，加强经济安全风险预警、防控机制和能力建设，实现重要产业、基础设施、战略资源、重大科技等关键领域安全可控。加强经济运行监测和调节，建立预警和应急机制，维护水利、电力、供水、油气、交通、通信、网络等重要基础设施安全。防范化解金融风险，</w:t>
      </w:r>
      <w:bookmarkEnd w:id="2861"/>
      <w:bookmarkEnd w:id="2862"/>
      <w:r>
        <w:rPr>
          <w:rFonts w:ascii="Times New Roman" w:hAnsi="Times New Roman" w:eastAsia="仿宋_GB2312" w:cs="Times New Roman"/>
          <w:bCs/>
          <w:color w:val="000000" w:themeColor="text1"/>
          <w:spacing w:val="-2"/>
          <w:sz w:val="32"/>
          <w:szCs w:val="32"/>
          <w14:textFill>
            <w14:solidFill>
              <w14:schemeClr w14:val="tx1"/>
            </w14:solidFill>
          </w14:textFill>
        </w:rPr>
        <w:t>守住不发生系统性区域性风险底线。</w:t>
      </w:r>
    </w:p>
    <w:p>
      <w:pPr>
        <w:spacing w:line="560" w:lineRule="exact"/>
        <w:ind w:firstLine="643" w:firstLineChars="200"/>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提升应急管理水平</w:t>
      </w:r>
      <w:r>
        <w:rPr>
          <w:rFonts w:ascii="Times New Roman" w:hAnsi="Times New Roman" w:eastAsia="仿宋_GB2312" w:cs="Times New Roman"/>
          <w:color w:val="000000" w:themeColor="text1"/>
          <w:sz w:val="32"/>
          <w:szCs w:val="32"/>
          <w14:textFill>
            <w14:solidFill>
              <w14:schemeClr w14:val="tx1"/>
            </w14:solidFill>
          </w14:textFill>
        </w:rPr>
        <w:t>。增强识灾防灾减灾能力</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构建“空天地”一体化的感知网络，加快水文、地质、地震等灾害监测网络建设，加强防汛抗旱、防震减灾、地灾防治、森林防火、危房改造、应急避难、公共消防等防灾减灾工程建设，提高学校、医院等人员密集场所安全水平</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提高全民防灾减灾意识，将防灾减灾宣传纳入国民教育计划，提高防灾避险、自救互救能力。提升应急指挥协调能力，建立突发灾害和安全事故应急处置指挥协调机制，健全对反恐维稳、事故灾难、突发环境事件、自然灾害、公共卫生事件、食品药品安全、网络安全、社会安全事件的预防预警和应急处置救援体系。加快红十字事业发展，加强公安、消防、环境、应急处置和救援队伍建设，加强消防基础设施建设，发展智慧消防。建立稳定生产、多元供应、应急储备等机制，切实保障粮食、能源、矿产等战略物资安全。优化完善应急管理机制，推动形成统一指挥、专常兼备、反应灵敏、上下联动、平战结合的指挥体系和应急机制。强化应急管理装备技术支撑，优化整合科技资源，推进应急管理科技自主创新，提高应急管理的科学化、专业化、智能化、精细化水平。</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bCs/>
          <w:color w:val="000000" w:themeColor="text1"/>
          <w:sz w:val="32"/>
          <w:szCs w:val="32"/>
          <w14:textFill>
            <w14:solidFill>
              <w14:schemeClr w14:val="tx1"/>
            </w14:solidFill>
          </w14:textFill>
        </w:rPr>
        <w:t>严格落实</w:t>
      </w:r>
      <w:r>
        <w:rPr>
          <w:rFonts w:ascii="Times New Roman" w:hAnsi="Times New Roman" w:eastAsia="仿宋_GB2312" w:cs="Times New Roman"/>
          <w:b/>
          <w:bCs/>
          <w:color w:val="000000" w:themeColor="text1"/>
          <w:sz w:val="32"/>
          <w:szCs w:val="32"/>
          <w14:textFill>
            <w14:solidFill>
              <w14:schemeClr w14:val="tx1"/>
            </w14:solidFill>
          </w14:textFill>
        </w:rPr>
        <w:t>安全生产</w:t>
      </w:r>
      <w:r>
        <w:rPr>
          <w:rFonts w:hint="eastAsia" w:ascii="Times New Roman" w:hAnsi="Times New Roman" w:eastAsia="仿宋_GB2312" w:cs="Times New Roman"/>
          <w:b/>
          <w:bCs/>
          <w:color w:val="000000" w:themeColor="text1"/>
          <w:sz w:val="32"/>
          <w:szCs w:val="32"/>
          <w14:textFill>
            <w14:solidFill>
              <w14:schemeClr w14:val="tx1"/>
            </w14:solidFill>
          </w14:textFill>
        </w:rPr>
        <w:t>责任。</w:t>
      </w:r>
      <w:r>
        <w:rPr>
          <w:rFonts w:ascii="Times New Roman" w:hAnsi="Times New Roman" w:eastAsia="仿宋_GB2312" w:cs="Times New Roman"/>
          <w:color w:val="000000" w:themeColor="text1"/>
          <w:sz w:val="32"/>
          <w:szCs w:val="32"/>
          <w14:textFill>
            <w14:solidFill>
              <w14:schemeClr w14:val="tx1"/>
            </w14:solidFill>
          </w14:textFill>
        </w:rPr>
        <w:t>落实安全生产党政领导责任、部门监管责任、属地管理责任和企业主体责任，完善重大决策安全风险评估与论证机制。完善矿山、尾矿库、烟花爆竹等高危行业预警系统，建立重点行业、重点区域、重点城市常态化风险排查机制。加强安全生产监管执法，</w:t>
      </w:r>
      <w:r>
        <w:rPr>
          <w:rFonts w:hint="eastAsia" w:ascii="仿宋" w:hAnsi="仿宋"/>
          <w:sz w:val="32"/>
          <w:szCs w:val="32"/>
        </w:rPr>
        <w:t>深入开展危险化学品、矿山、建筑施工、交通等十大行业领域安全专项整治，努力防范各类安全事故，有效遏制较大事故，坚决杜绝重特大事故。</w:t>
      </w:r>
      <w:r>
        <w:rPr>
          <w:rFonts w:ascii="Times New Roman" w:hAnsi="Times New Roman" w:eastAsia="仿宋_GB2312" w:cs="Times New Roman"/>
          <w:color w:val="000000" w:themeColor="text1"/>
          <w:sz w:val="32"/>
          <w:szCs w:val="32"/>
          <w14:textFill>
            <w14:solidFill>
              <w14:schemeClr w14:val="tx1"/>
            </w14:solidFill>
          </w14:textFill>
        </w:rPr>
        <w:t>提升安全生产保障能力，</w:t>
      </w:r>
      <w:r>
        <w:rPr>
          <w:rFonts w:hint="eastAsia" w:ascii="仿宋" w:hAnsi="仿宋"/>
          <w:sz w:val="32"/>
          <w:szCs w:val="32"/>
        </w:rPr>
        <w:t>提高洪涝干旱、地质灾害、地震等自然灾害防御工程、森林草原防火设施建设标准，加快江河控制性工程建设，加快病险水库除险加固，全面推进堤防建设和抗旱应急能力基础建设。</w:t>
      </w:r>
      <w:r>
        <w:rPr>
          <w:rFonts w:ascii="Times New Roman" w:hAnsi="Times New Roman" w:eastAsia="仿宋_GB2312" w:cs="Times New Roman"/>
          <w:color w:val="000000" w:themeColor="text1"/>
          <w:sz w:val="32"/>
          <w:szCs w:val="32"/>
          <w14:textFill>
            <w14:solidFill>
              <w14:schemeClr w14:val="tx1"/>
            </w14:solidFill>
          </w14:textFill>
        </w:rPr>
        <w:t>加大安全知识普及和技能培训力度。</w:t>
      </w:r>
    </w:p>
    <w:p>
      <w:pPr>
        <w:widowControl w:val="0"/>
        <w:adjustRightInd/>
        <w:snapToGrid/>
        <w:spacing w:before="0" w:after="0" w:line="540" w:lineRule="exact"/>
        <w:ind w:firstLine="616" w:firstLineChars="200"/>
        <w:jc w:val="both"/>
        <w:rPr>
          <w:rFonts w:ascii="Times New Roman" w:hAnsi="Times New Roman" w:eastAsia="仿宋_GB2312" w:cs="Times New Roman"/>
          <w:color w:val="000000" w:themeColor="text1"/>
          <w:spacing w:val="-6"/>
          <w:sz w:val="32"/>
          <w:szCs w:val="32"/>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bookmarkStart w:id="2863" w:name="_Toc14672"/>
      <w:bookmarkStart w:id="2864" w:name="_Toc31211"/>
      <w:bookmarkStart w:id="2865" w:name="_Toc8419"/>
      <w:bookmarkStart w:id="2866" w:name="_Toc4527"/>
      <w:bookmarkStart w:id="2867" w:name="_Toc1730"/>
      <w:bookmarkStart w:id="2868" w:name="_Toc23860"/>
      <w:bookmarkStart w:id="2869" w:name="_Toc17614"/>
      <w:bookmarkStart w:id="2870" w:name="_Toc24139"/>
      <w:bookmarkStart w:id="2871" w:name="_Toc5519"/>
      <w:bookmarkStart w:id="2872" w:name="_Toc16580"/>
      <w:bookmarkStart w:id="2873" w:name="_Toc5597"/>
      <w:bookmarkStart w:id="2874" w:name="_Toc1558"/>
      <w:bookmarkStart w:id="2875" w:name="_Toc5818"/>
      <w:bookmarkStart w:id="2876" w:name="_Toc19539"/>
      <w:bookmarkStart w:id="2877" w:name="_Toc17254"/>
      <w:bookmarkStart w:id="2878" w:name="_Toc9765"/>
      <w:bookmarkStart w:id="2879" w:name="_Toc31324"/>
      <w:bookmarkStart w:id="2880" w:name="_Toc23297"/>
      <w:bookmarkStart w:id="2881" w:name="_Toc8026"/>
      <w:bookmarkStart w:id="2882" w:name="_Toc24713"/>
      <w:bookmarkStart w:id="2883" w:name="_Toc15875"/>
      <w:bookmarkStart w:id="2884" w:name="_Toc26230"/>
      <w:bookmarkStart w:id="2885" w:name="_Toc15712"/>
      <w:bookmarkStart w:id="2886" w:name="_Toc523"/>
      <w:bookmarkStart w:id="2887" w:name="_Toc16500"/>
      <w:bookmarkStart w:id="2888" w:name="_Toc4721"/>
      <w:bookmarkStart w:id="2889" w:name="_Toc23197"/>
      <w:bookmarkStart w:id="2890" w:name="_Toc8528"/>
      <w:bookmarkStart w:id="2891" w:name="_Toc19855"/>
      <w:bookmarkStart w:id="2892" w:name="_Toc15693"/>
      <w:bookmarkStart w:id="2893" w:name="_Toc29958"/>
      <w:bookmarkStart w:id="2894" w:name="_Toc15389"/>
      <w:bookmarkStart w:id="2895" w:name="_Toc18837"/>
      <w:bookmarkStart w:id="2896" w:name="_Toc8178"/>
      <w:bookmarkStart w:id="2897" w:name="_Toc27807"/>
      <w:bookmarkStart w:id="2898" w:name="_Toc23068"/>
      <w:r>
        <w:rPr>
          <w:rFonts w:ascii="Times New Roman" w:hAnsi="Times New Roman" w:cs="Times New Roman"/>
          <w:color w:val="000000" w:themeColor="text1"/>
          <w14:textFill>
            <w14:solidFill>
              <w14:schemeClr w14:val="tx1"/>
            </w14:solidFill>
          </w14:textFill>
        </w:rPr>
        <w:br w:type="page"/>
      </w:r>
    </w:p>
    <w:p>
      <w:pPr>
        <w:pStyle w:val="3"/>
        <w:widowControl w:val="0"/>
        <w:spacing w:before="0" w:after="0" w:line="560" w:lineRule="exact"/>
        <w:rPr>
          <w:rFonts w:ascii="Times New Roman" w:hAnsi="Times New Roman" w:cs="Times New Roman"/>
          <w:color w:val="000000" w:themeColor="text1"/>
          <w14:textFill>
            <w14:solidFill>
              <w14:schemeClr w14:val="tx1"/>
            </w14:solidFill>
          </w14:textFill>
        </w:rPr>
      </w:pPr>
      <w:bookmarkStart w:id="2899" w:name="_Toc31046"/>
      <w:r>
        <w:rPr>
          <w:rFonts w:ascii="Times New Roman" w:hAnsi="Times New Roman" w:cs="Times New Roman"/>
          <w:color w:val="000000" w:themeColor="text1"/>
          <w14:textFill>
            <w14:solidFill>
              <w14:schemeClr w14:val="tx1"/>
            </w14:solidFill>
          </w14:textFill>
        </w:rPr>
        <w:t>第十六章 强化保障机制 推进规划组织实施</w:t>
      </w:r>
      <w:bookmarkEnd w:id="2754"/>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p>
    <w:p>
      <w:pPr>
        <w:adjustRightInd/>
        <w:snapToGrid/>
        <w:spacing w:before="0" w:after="0" w:line="560" w:lineRule="exact"/>
        <w:ind w:firstLine="640"/>
        <w:jc w:val="both"/>
        <w:rPr>
          <w:rFonts w:ascii="Times New Roman" w:hAnsi="Times New Roman" w:eastAsia="仿宋_GB2312" w:cs="Times New Roman"/>
          <w:color w:val="000000" w:themeColor="text1"/>
          <w:sz w:val="32"/>
          <w:szCs w:val="32"/>
          <w14:textFill>
            <w14:solidFill>
              <w14:schemeClr w14:val="tx1"/>
            </w14:solidFill>
          </w14:textFill>
        </w:rPr>
      </w:pPr>
      <w:bookmarkStart w:id="2900" w:name="_Toc11176"/>
      <w:bookmarkStart w:id="2901" w:name="_Toc19003"/>
      <w:bookmarkStart w:id="2902" w:name="_Toc4745"/>
      <w:bookmarkStart w:id="2903" w:name="_Toc21667"/>
      <w:bookmarkStart w:id="2904" w:name="_Toc1042"/>
      <w:bookmarkStart w:id="2905" w:name="_Toc20689"/>
      <w:bookmarkStart w:id="2906" w:name="_Toc30580"/>
      <w:bookmarkStart w:id="2907" w:name="_Toc6128"/>
    </w:p>
    <w:p>
      <w:pPr>
        <w:adjustRightInd/>
        <w:snapToGrid/>
        <w:spacing w:before="0" w:after="0" w:line="560" w:lineRule="exact"/>
        <w:ind w:firstLine="64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加强党的领导，凝聚发展合力，强化项目支撑，加强评估考核，保障规划有效实施。</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908" w:name="_Toc32647"/>
      <w:bookmarkStart w:id="2909" w:name="_Toc3782"/>
      <w:bookmarkStart w:id="2910" w:name="_Toc16058"/>
      <w:bookmarkStart w:id="2911" w:name="_Toc3314"/>
      <w:bookmarkStart w:id="2912" w:name="_Toc15783"/>
      <w:bookmarkStart w:id="2913" w:name="_Toc31094"/>
      <w:bookmarkStart w:id="2914" w:name="_Toc20190"/>
      <w:bookmarkStart w:id="2915" w:name="_Toc19470"/>
      <w:bookmarkStart w:id="2916" w:name="_Toc31808"/>
      <w:bookmarkStart w:id="2917" w:name="_Toc20054"/>
      <w:bookmarkStart w:id="2918" w:name="_Toc9438"/>
      <w:bookmarkStart w:id="2919" w:name="_Toc29753"/>
      <w:bookmarkStart w:id="2920" w:name="_Toc17478"/>
      <w:bookmarkStart w:id="2921" w:name="_Toc1361"/>
      <w:bookmarkStart w:id="2922" w:name="_Toc23469"/>
      <w:bookmarkStart w:id="2923" w:name="_Toc23587"/>
      <w:bookmarkStart w:id="2924" w:name="_Toc30663"/>
      <w:bookmarkStart w:id="2925" w:name="_Toc11378"/>
      <w:bookmarkStart w:id="2926" w:name="_Toc23053"/>
      <w:bookmarkStart w:id="2927" w:name="_Toc3240"/>
      <w:bookmarkStart w:id="2928" w:name="_Toc1845"/>
      <w:bookmarkStart w:id="2929" w:name="_Toc26875"/>
      <w:bookmarkStart w:id="2930" w:name="_Toc8383"/>
      <w:bookmarkStart w:id="2931" w:name="_Toc27268"/>
      <w:bookmarkStart w:id="2932" w:name="_Toc25638"/>
      <w:bookmarkStart w:id="2933" w:name="_Toc28493"/>
      <w:bookmarkStart w:id="2934" w:name="_Toc12440"/>
      <w:bookmarkStart w:id="2935" w:name="_Toc30352"/>
      <w:bookmarkStart w:id="2936" w:name="_Toc28885"/>
      <w:r>
        <w:rPr>
          <w:rFonts w:ascii="Times New Roman" w:hAnsi="Times New Roman" w:cs="Times New Roman"/>
          <w:color w:val="000000" w:themeColor="text1"/>
          <w:szCs w:val="32"/>
          <w14:textFill>
            <w14:solidFill>
              <w14:schemeClr w14:val="tx1"/>
            </w14:solidFill>
          </w14:textFill>
        </w:rPr>
        <w:t xml:space="preserve">第一节 </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发挥党的领导核心作用</w:t>
      </w:r>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坚持全面从严治党，加强党的领导，凝聚全市人民的智慧和力量，为谱写中国梦的邵阳篇章提供坚强有力的政治保障。</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加强党对经济社会发展的全面领导。</w:t>
      </w:r>
      <w:r>
        <w:rPr>
          <w:rFonts w:ascii="Times New Roman" w:hAnsi="Times New Roman" w:eastAsia="仿宋_GB2312" w:cs="Times New Roman"/>
          <w:bCs/>
          <w:color w:val="000000" w:themeColor="text1"/>
          <w:sz w:val="32"/>
          <w:szCs w:val="32"/>
          <w14:textFill>
            <w14:solidFill>
              <w14:schemeClr w14:val="tx1"/>
            </w14:solidFill>
          </w14:textFill>
        </w:rPr>
        <w:t>贯彻党把方向、谋大局、定政策、促改革的要求，深入学习贯彻习近平新时代中国特色社会主义思想，增强</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四个意识</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、坚定</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四个自信</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、做到</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两个维护</w:t>
      </w:r>
      <w:r>
        <w:rPr>
          <w:rFonts w:hint="eastAsia" w:ascii="仿宋" w:hAnsi="仿宋"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完善上下贯通、执行有力的组织体系，确保党中央决策部署有效落实。落实全面从严治党主体责任、监督责任，提高党的建设质量。深入总结和学习运用中国共产党的光辉历程和宝贵经验，教育引导广大党员、干部坚持共产主义远大理想和中国特色社会主义共同理想，不忘初心、牢记使命，为党和人民事业不懈奋斗。注重发挥工会、共青团、妇联等群团组织的作用，巩固和发展最广泛的爱国统一战线，全面落实党的知识分子、民族、宗教、侨务等政策，充分发挥民主党派、工商联和无党派人士作用，最大限度凝聚全社会共识和力量，建设省级新的社会阶层人士统战工作实践创新基地，推进改革发展，维护社会和谐稳定。</w:t>
      </w:r>
    </w:p>
    <w:p>
      <w:pPr>
        <w:widowControl w:val="0"/>
        <w:adjustRightInd/>
        <w:snapToGrid/>
        <w:spacing w:before="0" w:after="0" w:line="560" w:lineRule="exact"/>
        <w:ind w:firstLine="643" w:firstLineChars="200"/>
        <w:jc w:val="both"/>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加强干部队伍和基层组织建设。</w:t>
      </w:r>
      <w:r>
        <w:rPr>
          <w:rFonts w:ascii="Times New Roman" w:hAnsi="Times New Roman" w:eastAsia="仿宋_GB2312" w:cs="Times New Roman"/>
          <w:bCs/>
          <w:color w:val="000000" w:themeColor="text1"/>
          <w:sz w:val="32"/>
          <w:szCs w:val="32"/>
          <w14:textFill>
            <w14:solidFill>
              <w14:schemeClr w14:val="tx1"/>
            </w14:solidFill>
          </w14:textFill>
        </w:rPr>
        <w:t>全面贯彻新时代党的组织路线，加强干部队伍建设，落实好干部标准，提高各级领导班子和干部适应新时代新要求抓改革、促发展、保稳定水平和专业化能力，加强对敢担当善作为干部的激励保护，以正确选人用人导向引领干事创业导向。完善人才工作体系，培养造就大批德才兼备的高素质人才。强化农村和社区党组织建设，加大非公有制经济组织、社会组织党建工作力度，充分发挥基层党组织和广大共产党员的战斗堡垒和先锋模范作用，团结带领全市人民全面向社会主义现代化迈进。</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充分发挥各方力量</w:t>
      </w:r>
      <w:r>
        <w:rPr>
          <w:rFonts w:hint="eastAsia"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全面落实党的民族、宗教、侨务等政策，切实加强与民主党派、工商联和无党派人士团结协作，巩固和发展最广泛的爱国统一战线。注重发挥工会、共青团、妇联、科协等群团组织的作用，尊重群众首创精神，最大限度凝聚全社会共识、智慧和力量，充分调动各行各业及全</w:t>
      </w:r>
      <w:r>
        <w:rPr>
          <w:rFonts w:hint="eastAsia" w:ascii="Times New Roman" w:hAnsi="Times New Roman" w:eastAsia="仿宋_GB2312" w:cs="Times New Roman"/>
          <w:color w:val="000000" w:themeColor="text1"/>
          <w:sz w:val="32"/>
          <w:szCs w:val="32"/>
          <w14:textFill>
            <w14:solidFill>
              <w14:schemeClr w14:val="tx1"/>
            </w14:solidFill>
          </w14:textFill>
        </w:rPr>
        <w:t>市</w:t>
      </w:r>
      <w:r>
        <w:rPr>
          <w:rFonts w:ascii="Times New Roman" w:hAnsi="Times New Roman" w:eastAsia="仿宋_GB2312" w:cs="Times New Roman"/>
          <w:color w:val="000000" w:themeColor="text1"/>
          <w:sz w:val="32"/>
          <w:szCs w:val="32"/>
          <w14:textFill>
            <w14:solidFill>
              <w14:schemeClr w14:val="tx1"/>
            </w14:solidFill>
          </w14:textFill>
        </w:rPr>
        <w:t>人民的积极性、主动性和创造性。加强邵阳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发展总目标、总战略宣传，凝聚全市人民发展共识。加强经济社会发展重大问题和涉及群众切身利益问题的协调，依法保障人民各项权益，加强思想政治工作，创新群众工作体制机制和方式方法，增强全市人民建设美好邵阳的主人翁意识。总结群众创造的新鲜经验，不断提高工作水平，促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经济社会全面发展。</w:t>
      </w:r>
    </w:p>
    <w:p>
      <w:pPr>
        <w:pStyle w:val="2"/>
        <w:rPr>
          <w:rFonts w:ascii="Times New Roman" w:hAnsi="Times New Roman" w:eastAsia="仿宋_GB2312" w:cs="Times New Roman"/>
          <w:color w:val="000000" w:themeColor="text1"/>
          <w:sz w:val="32"/>
          <w:szCs w:val="32"/>
          <w14:textFill>
            <w14:solidFill>
              <w14:schemeClr w14:val="tx1"/>
            </w14:solidFill>
          </w14:textFill>
        </w:rPr>
      </w:pP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r>
        <w:rPr>
          <w:rFonts w:hint="eastAsia" w:ascii="Times New Roman" w:hAnsi="Times New Roman" w:cs="Times New Roman"/>
          <w:color w:val="000000" w:themeColor="text1"/>
          <w:szCs w:val="32"/>
          <w14:textFill>
            <w14:solidFill>
              <w14:schemeClr w14:val="tx1"/>
            </w14:solidFill>
          </w14:textFill>
        </w:rPr>
        <w:t>第二节  推进清廉邵阳建设</w:t>
      </w:r>
    </w:p>
    <w:p>
      <w:pPr>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以清廉邵阳建设为统揽，深入推进全面从严治党向纵深发展，强化党委主体责任和纪委监督责任，营造干部清正、政府清廉、政治清明、社会清朗的政治生态和良好发展环境。健全党统一领导、全面覆盖、权威高效的监督体系，形成决策科学、执行坚决、监督有力的权力运行机制。加强作风建设，加强对“一把手”和领导班子的监督，完善权力配置和运行制约机制，推进党风廉政建设和反腐败斗争，树立重实干、重实绩的用人导向，建立容错纠错机制，营造想干事、</w:t>
      </w:r>
      <w:r>
        <w:rPr>
          <w:rFonts w:hint="eastAsia" w:ascii="Times New Roman" w:hAnsi="Times New Roman" w:eastAsia="仿宋_GB2312" w:cs="Times New Roman"/>
          <w:color w:val="000000" w:themeColor="text1"/>
          <w:sz w:val="32"/>
          <w:szCs w:val="32"/>
          <w14:textFill>
            <w14:solidFill>
              <w14:schemeClr w14:val="tx1"/>
            </w14:solidFill>
          </w14:textFill>
        </w:rPr>
        <w:t>能干事、依法依规干事的政治生态。</w:t>
      </w:r>
      <w:bookmarkStart w:id="2937" w:name="_Toc15114"/>
      <w:bookmarkStart w:id="2938" w:name="_Toc5278"/>
      <w:bookmarkStart w:id="2939" w:name="_Toc26491"/>
      <w:bookmarkStart w:id="2940" w:name="_Toc23495"/>
      <w:bookmarkStart w:id="2941" w:name="_Toc22825"/>
      <w:bookmarkStart w:id="2942" w:name="_Toc21119"/>
      <w:bookmarkStart w:id="2943" w:name="_Toc10021"/>
      <w:bookmarkStart w:id="2944" w:name="_Toc19422"/>
      <w:bookmarkStart w:id="2945" w:name="_Toc6368"/>
      <w:bookmarkStart w:id="2946" w:name="_Toc19188"/>
      <w:bookmarkStart w:id="2947" w:name="_Toc3477"/>
      <w:bookmarkStart w:id="2948" w:name="_Toc26723"/>
      <w:bookmarkStart w:id="2949" w:name="_Toc18975"/>
      <w:bookmarkStart w:id="2950" w:name="_Toc8955"/>
      <w:bookmarkStart w:id="2951" w:name="_Toc6029"/>
      <w:bookmarkStart w:id="2952" w:name="_Toc23918"/>
      <w:bookmarkStart w:id="2953" w:name="_Toc28385"/>
      <w:bookmarkStart w:id="2954" w:name="_Toc5952"/>
      <w:bookmarkStart w:id="2955" w:name="_Toc6240"/>
      <w:bookmarkStart w:id="2956" w:name="_Toc22448"/>
      <w:bookmarkStart w:id="2957" w:name="_Toc8676"/>
      <w:bookmarkStart w:id="2958" w:name="_Toc5223"/>
      <w:bookmarkStart w:id="2959" w:name="_Toc22223"/>
      <w:bookmarkStart w:id="2960" w:name="_Toc16020"/>
      <w:bookmarkStart w:id="2961" w:name="_Toc12341"/>
      <w:bookmarkStart w:id="2962" w:name="_Toc29287"/>
      <w:bookmarkStart w:id="2963" w:name="_Toc18696"/>
      <w:bookmarkStart w:id="2964" w:name="_Toc17002"/>
      <w:bookmarkStart w:id="2965" w:name="_Toc7934"/>
      <w:bookmarkStart w:id="2966" w:name="_Toc32621"/>
      <w:bookmarkStart w:id="2967" w:name="_Toc9117"/>
      <w:bookmarkStart w:id="2968" w:name="_Toc16732"/>
      <w:bookmarkStart w:id="2969" w:name="_Toc21898"/>
      <w:bookmarkStart w:id="2970" w:name="_Toc15601"/>
      <w:bookmarkStart w:id="2971" w:name="_Toc11515"/>
      <w:bookmarkStart w:id="2972" w:name="_Toc32249"/>
      <w:bookmarkStart w:id="2973" w:name="_Toc25202"/>
    </w:p>
    <w:p>
      <w:pPr>
        <w:jc w:val="center"/>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第</w:t>
      </w:r>
      <w:r>
        <w:rPr>
          <w:rFonts w:hint="eastAsia" w:ascii="Times New Roman" w:hAnsi="Times New Roman" w:eastAsia="楷体_GB2312" w:cs="Times New Roman"/>
          <w:color w:val="000000" w:themeColor="text1"/>
          <w:sz w:val="32"/>
          <w:szCs w:val="32"/>
          <w14:textFill>
            <w14:solidFill>
              <w14:schemeClr w14:val="tx1"/>
            </w14:solidFill>
          </w14:textFill>
        </w:rPr>
        <w:t>三</w:t>
      </w:r>
      <w:r>
        <w:rPr>
          <w:rFonts w:ascii="Times New Roman" w:hAnsi="Times New Roman" w:eastAsia="楷体_GB2312" w:cs="Times New Roman"/>
          <w:color w:val="000000" w:themeColor="text1"/>
          <w:sz w:val="32"/>
          <w:szCs w:val="32"/>
          <w14:textFill>
            <w14:solidFill>
              <w14:schemeClr w14:val="tx1"/>
            </w14:solidFill>
          </w14:textFill>
        </w:rPr>
        <w:t xml:space="preserve">节 </w:t>
      </w:r>
      <w:r>
        <w:rPr>
          <w:rFonts w:hint="eastAsia" w:ascii="Times New Roman" w:hAnsi="Times New Roman" w:eastAsia="楷体_GB2312" w:cs="Times New Roman"/>
          <w:color w:val="000000" w:themeColor="text1"/>
          <w:sz w:val="32"/>
          <w:szCs w:val="32"/>
          <w14:textFill>
            <w14:solidFill>
              <w14:schemeClr w14:val="tx1"/>
            </w14:solidFill>
          </w14:textFill>
        </w:rPr>
        <w:t xml:space="preserve"> </w:t>
      </w:r>
      <w:r>
        <w:rPr>
          <w:rFonts w:ascii="Times New Roman" w:hAnsi="Times New Roman" w:eastAsia="楷体_GB2312" w:cs="Times New Roman"/>
          <w:color w:val="000000" w:themeColor="text1"/>
          <w:sz w:val="32"/>
          <w:szCs w:val="32"/>
          <w14:textFill>
            <w14:solidFill>
              <w14:schemeClr w14:val="tx1"/>
            </w14:solidFill>
          </w14:textFill>
        </w:rPr>
        <w:t>加强组织实施</w:t>
      </w:r>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明确政府主体责任，强化政策统筹协调，科学配置公共资源，广泛动员各方面力量，推进规划实施。</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强化政府履责。</w:t>
      </w:r>
      <w:r>
        <w:rPr>
          <w:rFonts w:ascii="Times New Roman" w:hAnsi="Times New Roman" w:eastAsia="仿宋_GB2312" w:cs="Times New Roman"/>
          <w:color w:val="000000" w:themeColor="text1"/>
          <w:spacing w:val="-6"/>
          <w:sz w:val="32"/>
          <w:szCs w:val="32"/>
          <w14:textFill>
            <w14:solidFill>
              <w14:schemeClr w14:val="tx1"/>
            </w14:solidFill>
          </w14:textFill>
        </w:rPr>
        <w:t>县市区、各部门要加强规划实施的组织、协调和督导，落实总体规划涉及本县市区、本领域的目标和任务。完善财税、金融、产业、环境等政策体系，加强各项政策协调配合，形成政策合力。实行规划目标责任制，规划确定的约束性指标和重点任务、重大项目要明确责任主体和实施进度要求，分解明确年度目标、工作指标和推进措施，确保如期完成。</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强化财政保障。</w:t>
      </w:r>
      <w:r>
        <w:rPr>
          <w:rFonts w:ascii="Times New Roman" w:hAnsi="Times New Roman" w:eastAsia="仿宋_GB2312" w:cs="Times New Roman"/>
          <w:color w:val="000000" w:themeColor="text1"/>
          <w:sz w:val="32"/>
          <w:szCs w:val="32"/>
          <w14:textFill>
            <w14:solidFill>
              <w14:schemeClr w14:val="tx1"/>
            </w14:solidFill>
          </w14:textFill>
        </w:rPr>
        <w:t>财政预算要与规划实施衔接协调。财政规划、年度预算安排要根据本规划的目标任务，安排支出规模和结构。加大资金整合力度，优化配置，确保投向关键领域和薄弱环节。加强财政监督管理，最大限度发挥财政资金的使用效益。运用财政杠杆，创新方式，发挥财政资金对社会资金的引导和放大作用。</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强化市场作用。</w:t>
      </w:r>
      <w:r>
        <w:rPr>
          <w:rFonts w:ascii="Times New Roman" w:hAnsi="Times New Roman" w:eastAsia="仿宋_GB2312" w:cs="Times New Roman"/>
          <w:color w:val="000000" w:themeColor="text1"/>
          <w:sz w:val="32"/>
          <w:szCs w:val="32"/>
          <w14:textFill>
            <w14:solidFill>
              <w14:schemeClr w14:val="tx1"/>
            </w14:solidFill>
          </w14:textFill>
        </w:rPr>
        <w:t>本规划提出的预期性指标和产业发展、结构调整等任务，主要依靠市场主体和自主行为实现。发挥市场对资源配置的决定性作用，最大限度激发各类市场主体创业、创新活力，充分发挥社会各界参与规划实施的主动性和创造性，让一切劳动、知识、技术、管理、资本的活力竞相迸发。</w:t>
      </w:r>
    </w:p>
    <w:p>
      <w:pPr>
        <w:pStyle w:val="4"/>
        <w:keepNext w:val="0"/>
        <w:keepLines w:val="0"/>
        <w:widowControl w:val="0"/>
        <w:spacing w:before="386" w:beforeLines="100" w:after="386" w:afterLines="100" w:line="560" w:lineRule="exact"/>
        <w:rPr>
          <w:rFonts w:ascii="Times New Roman" w:hAnsi="Times New Roman" w:cs="Times New Roman"/>
          <w:color w:val="000000" w:themeColor="text1"/>
          <w:szCs w:val="32"/>
          <w14:textFill>
            <w14:solidFill>
              <w14:schemeClr w14:val="tx1"/>
            </w14:solidFill>
          </w14:textFill>
        </w:rPr>
      </w:pPr>
      <w:bookmarkStart w:id="2974" w:name="_Toc11629"/>
      <w:bookmarkStart w:id="2975" w:name="_Toc1369"/>
      <w:bookmarkStart w:id="2976" w:name="_Toc28080"/>
      <w:bookmarkStart w:id="2977" w:name="_Toc2370"/>
      <w:bookmarkStart w:id="2978" w:name="_Toc12882"/>
      <w:bookmarkStart w:id="2979" w:name="_Toc24581"/>
      <w:bookmarkStart w:id="2980" w:name="_Toc14125"/>
      <w:bookmarkStart w:id="2981" w:name="_Toc32538"/>
      <w:bookmarkStart w:id="2982" w:name="_Toc32220"/>
      <w:bookmarkStart w:id="2983" w:name="_Toc28266"/>
      <w:bookmarkStart w:id="2984" w:name="_Toc13929"/>
      <w:bookmarkStart w:id="2985" w:name="_Toc6519"/>
      <w:bookmarkStart w:id="2986" w:name="_Toc21634"/>
      <w:bookmarkStart w:id="2987" w:name="_Toc2916"/>
      <w:bookmarkStart w:id="2988" w:name="_Toc6642"/>
      <w:bookmarkStart w:id="2989" w:name="_Toc8359"/>
      <w:bookmarkStart w:id="2990" w:name="_Toc16033"/>
      <w:bookmarkStart w:id="2991" w:name="_Toc12626"/>
      <w:bookmarkStart w:id="2992" w:name="_Toc8656"/>
      <w:bookmarkStart w:id="2993" w:name="_Toc19801"/>
      <w:bookmarkStart w:id="2994" w:name="_Toc17919"/>
      <w:bookmarkStart w:id="2995" w:name="_Toc713"/>
      <w:bookmarkStart w:id="2996" w:name="_Toc27973"/>
      <w:bookmarkStart w:id="2997" w:name="_Toc5251"/>
      <w:bookmarkStart w:id="2998" w:name="_Toc25096"/>
      <w:bookmarkStart w:id="2999" w:name="_Toc23063"/>
      <w:bookmarkStart w:id="3000" w:name="_Toc2929"/>
      <w:bookmarkStart w:id="3001" w:name="_Toc2026"/>
      <w:bookmarkStart w:id="3002" w:name="_Toc25778"/>
      <w:bookmarkStart w:id="3003" w:name="_Toc24270"/>
      <w:bookmarkStart w:id="3004" w:name="_Toc27221"/>
      <w:bookmarkStart w:id="3005" w:name="_Toc29565"/>
      <w:bookmarkStart w:id="3006" w:name="_Toc27078"/>
      <w:bookmarkStart w:id="3007" w:name="_Toc31688"/>
      <w:bookmarkStart w:id="3008" w:name="_Toc5377"/>
      <w:bookmarkStart w:id="3009" w:name="_Toc4497"/>
      <w:bookmarkStart w:id="3010" w:name="_Toc15208"/>
      <w:r>
        <w:rPr>
          <w:rFonts w:ascii="Times New Roman" w:hAnsi="Times New Roman" w:cs="Times New Roman"/>
          <w:color w:val="000000" w:themeColor="text1"/>
          <w:szCs w:val="32"/>
          <w14:textFill>
            <w14:solidFill>
              <w14:schemeClr w14:val="tx1"/>
            </w14:solidFill>
          </w14:textFill>
        </w:rPr>
        <w:t>第</w:t>
      </w:r>
      <w:r>
        <w:rPr>
          <w:rFonts w:hint="eastAsia" w:ascii="Times New Roman" w:hAnsi="Times New Roman" w:cs="Times New Roman"/>
          <w:color w:val="000000" w:themeColor="text1"/>
          <w:szCs w:val="32"/>
          <w14:textFill>
            <w14:solidFill>
              <w14:schemeClr w14:val="tx1"/>
            </w14:solidFill>
          </w14:textFill>
        </w:rPr>
        <w:t>四</w:t>
      </w:r>
      <w:r>
        <w:rPr>
          <w:rFonts w:ascii="Times New Roman" w:hAnsi="Times New Roman" w:cs="Times New Roman"/>
          <w:color w:val="000000" w:themeColor="text1"/>
          <w:szCs w:val="32"/>
          <w14:textFill>
            <w14:solidFill>
              <w14:schemeClr w14:val="tx1"/>
            </w14:solidFill>
          </w14:textFill>
        </w:rPr>
        <w:t>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强化项目支撑</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p>
    <w:p>
      <w:pPr>
        <w:widowControl w:val="0"/>
        <w:adjustRightInd/>
        <w:snapToGrid/>
        <w:spacing w:before="0" w:after="0" w:line="56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围绕</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 xml:space="preserve">发展目标和任务，集中力量实施一批事关全局和长远发展的重点建设工程，充分发挥重大项目对经济社会发展的支撑和带动作用。 </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强化融资创新。</w:t>
      </w:r>
      <w:r>
        <w:rPr>
          <w:rFonts w:ascii="Times New Roman" w:hAnsi="Times New Roman" w:eastAsia="仿宋_GB2312" w:cs="Times New Roman"/>
          <w:color w:val="000000" w:themeColor="text1"/>
          <w:sz w:val="32"/>
          <w:szCs w:val="32"/>
          <w14:textFill>
            <w14:solidFill>
              <w14:schemeClr w14:val="tx1"/>
            </w14:solidFill>
          </w14:textFill>
        </w:rPr>
        <w:t xml:space="preserve">加强银政合作和银企合作。创新投融资机制，充分发挥社会资本的积极作用，推广政府和社会资本合作（PPP）模式。 </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强化项目管理。</w:t>
      </w:r>
      <w:r>
        <w:rPr>
          <w:rFonts w:ascii="Times New Roman" w:hAnsi="Times New Roman" w:eastAsia="仿宋_GB2312" w:cs="Times New Roman"/>
          <w:color w:val="000000" w:themeColor="text1"/>
          <w:sz w:val="32"/>
          <w:szCs w:val="32"/>
          <w14:textFill>
            <w14:solidFill>
              <w14:schemeClr w14:val="tx1"/>
            </w14:solidFill>
          </w14:textFill>
        </w:rPr>
        <w:t>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储备一批、建设一批、投产一批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的滚动发展思路，加强项目前期准备工作，加大项目前期工作经费投入，形成项目前期工作经费逐年增加的保障机制。切实抓好项目库建设，推进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5511</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 xml:space="preserve">工程，即围绕科技创新、产业发展、基础设施、生态环保、社会民生等5大领域，推进50大工程，推动1000个、总投资1万亿元以上的重大项目建设，做好年度实施计划，加快推进项目建设进度。提高项目协调服务水平，确保项目顺利实施。 </w:t>
      </w:r>
    </w:p>
    <w:p>
      <w:pPr>
        <w:widowControl w:val="0"/>
        <w:adjustRightInd/>
        <w:snapToGrid/>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强化跟踪服务。</w:t>
      </w:r>
      <w:r>
        <w:rPr>
          <w:rFonts w:ascii="Times New Roman" w:hAnsi="Times New Roman" w:eastAsia="仿宋_GB2312" w:cs="Times New Roman"/>
          <w:color w:val="000000" w:themeColor="text1"/>
          <w:sz w:val="32"/>
          <w:szCs w:val="32"/>
          <w14:textFill>
            <w14:solidFill>
              <w14:schemeClr w14:val="tx1"/>
            </w14:solidFill>
          </w14:textFill>
        </w:rPr>
        <w:t>建立和完善后评价制度，按照</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开工一批、建成一批、发挥高效益一批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的工作要求，强化建成投产项目跟踪服务，及时帮助企业解决项目投产、达产、达效过程中存在的困难和问题。创造优质廉洁高效的政务环境，强化各级各部门责任，规范办事流程，主动开展工作。营造良好施工环境，严厉打击破坏重点工程建设的违法行为，确保工程建设顺利进行。规范市场秩序，打击违法经营，创造公开、公平、公正的市场环境。</w:t>
      </w:r>
    </w:p>
    <w:tbl>
      <w:tblPr>
        <w:tblStyle w:val="14"/>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569"/>
        <w:gridCol w:w="5784"/>
        <w:gridCol w:w="15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8" w:hRule="atLeast"/>
        </w:trPr>
        <w:tc>
          <w:tcPr>
            <w:tcW w:w="5000" w:type="pct"/>
            <w:gridSpan w:val="3"/>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cs="Times New Roman" w:eastAsiaTheme="minorEastAsia"/>
                <w:b/>
                <w:bCs/>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专栏44：</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十四五</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重大项目</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5511</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黑体" w:cs="Times New Roman"/>
                <w:color w:val="000000" w:themeColor="text1"/>
                <w:sz w:val="32"/>
                <w:szCs w:val="32"/>
                <w14:textFill>
                  <w14:solidFill>
                    <w14:schemeClr w14:val="tx1"/>
                  </w14:solidFill>
                </w14:textFill>
              </w:rPr>
              <w:t>工程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85" w:type="pct"/>
            <w:vMerge w:val="restar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重点领域</w:t>
            </w:r>
          </w:p>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（5大</w:t>
            </w:r>
          </w:p>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领域）</w:t>
            </w:r>
          </w:p>
        </w:tc>
        <w:tc>
          <w:tcPr>
            <w:tcW w:w="3261" w:type="pct"/>
            <w:vMerge w:val="restar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重点工程</w:t>
            </w:r>
          </w:p>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（50大工程，1000个项目）</w:t>
            </w:r>
          </w:p>
        </w:tc>
        <w:tc>
          <w:tcPr>
            <w:tcW w:w="853" w:type="pct"/>
            <w:vMerge w:val="restar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总投资</w:t>
            </w:r>
          </w:p>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（1.2万</w:t>
            </w:r>
          </w:p>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亿元）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1" w:hRule="atLeast"/>
        </w:trPr>
        <w:tc>
          <w:tcPr>
            <w:tcW w:w="885" w:type="pct"/>
            <w:vMerge w:val="continue"/>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p>
        </w:tc>
        <w:tc>
          <w:tcPr>
            <w:tcW w:w="3261" w:type="pct"/>
            <w:vMerge w:val="continue"/>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p>
        </w:tc>
        <w:tc>
          <w:tcPr>
            <w:tcW w:w="853" w:type="pct"/>
            <w:vMerge w:val="continue"/>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85"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科技创新</w:t>
            </w:r>
          </w:p>
        </w:tc>
        <w:tc>
          <w:tcPr>
            <w:tcW w:w="3261" w:type="pct"/>
            <w:tcBorders>
              <w:tl2br w:val="nil"/>
              <w:tr2bl w:val="nil"/>
            </w:tcBorders>
            <w:shd w:val="clear" w:color="auto" w:fill="auto"/>
            <w:tcMar>
              <w:top w:w="12" w:type="dxa"/>
              <w:left w:w="12" w:type="dxa"/>
              <w:right w:w="12" w:type="dxa"/>
            </w:tcMar>
            <w:vAlign w:val="center"/>
          </w:tcPr>
          <w:p>
            <w:pPr>
              <w:spacing w:before="0" w:after="0" w:line="500" w:lineRule="exact"/>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军民融合创新工程、重大科技项目建设工程、重大科技基础设施工程、重大创新平台工程</w:t>
            </w:r>
          </w:p>
        </w:tc>
        <w:tc>
          <w:tcPr>
            <w:tcW w:w="853"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330亿元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85"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产业发展</w:t>
            </w:r>
          </w:p>
        </w:tc>
        <w:tc>
          <w:tcPr>
            <w:tcW w:w="3261" w:type="pct"/>
            <w:tcBorders>
              <w:tl2br w:val="nil"/>
              <w:tr2bl w:val="nil"/>
            </w:tcBorders>
            <w:shd w:val="clear" w:color="auto" w:fill="auto"/>
            <w:tcMar>
              <w:top w:w="12" w:type="dxa"/>
              <w:left w:w="12" w:type="dxa"/>
              <w:right w:w="12" w:type="dxa"/>
            </w:tcMar>
            <w:vAlign w:val="center"/>
          </w:tcPr>
          <w:p>
            <w:pPr>
              <w:spacing w:before="0" w:after="0" w:line="480" w:lineRule="exact"/>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高端装备制造工程、工程汽车产业工程、农产品加工工程、电子信息工程、消费品工业工程、科技信息商务服务工程、新材料工程、生物医药工程、特色轻工产业工程、种植业工程、养殖业工程、文化旅游工程、农村一二三产业融合发展工程、粮食仓储和农业品物流设施工程、商贸服务业提升工程、现代物流建设工程、智能家居家电工程、现代金融工程</w:t>
            </w:r>
          </w:p>
        </w:tc>
        <w:tc>
          <w:tcPr>
            <w:tcW w:w="853"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4655亿元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85"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 xml:space="preserve"> 基础设施</w:t>
            </w:r>
          </w:p>
        </w:tc>
        <w:tc>
          <w:tcPr>
            <w:tcW w:w="3261" w:type="pct"/>
            <w:tcBorders>
              <w:tl2br w:val="nil"/>
              <w:tr2bl w:val="nil"/>
            </w:tcBorders>
            <w:shd w:val="clear" w:color="auto" w:fill="auto"/>
            <w:tcMar>
              <w:top w:w="12" w:type="dxa"/>
              <w:left w:w="12" w:type="dxa"/>
              <w:right w:w="12" w:type="dxa"/>
            </w:tcMar>
            <w:vAlign w:val="center"/>
          </w:tcPr>
          <w:p>
            <w:pPr>
              <w:spacing w:before="0" w:after="0" w:line="480" w:lineRule="exact"/>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铁路网建设工程、高速公路成网工程、国省干道及农村公路工程、内河航道畅通工程、支线机场建设工程、重大水利工程、工业互联网工程、5G建设工程、大数据工程、气化邵阳工程、城乡电网改造工程、城乡供水工程、城市基础设施工程、特色园区改造升级工程</w:t>
            </w:r>
          </w:p>
        </w:tc>
        <w:tc>
          <w:tcPr>
            <w:tcW w:w="853"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5454亿元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85"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生态环保</w:t>
            </w:r>
          </w:p>
        </w:tc>
        <w:tc>
          <w:tcPr>
            <w:tcW w:w="3261" w:type="pct"/>
            <w:tcBorders>
              <w:tl2br w:val="nil"/>
              <w:tr2bl w:val="nil"/>
            </w:tcBorders>
            <w:shd w:val="clear" w:color="auto" w:fill="auto"/>
            <w:tcMar>
              <w:top w:w="12" w:type="dxa"/>
              <w:left w:w="12" w:type="dxa"/>
              <w:right w:w="12" w:type="dxa"/>
            </w:tcMar>
            <w:vAlign w:val="center"/>
          </w:tcPr>
          <w:p>
            <w:pPr>
              <w:spacing w:before="0" w:after="0" w:line="500" w:lineRule="exact"/>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生态环境保护修复工程、土壤污染防治工程、大气污染防治工程、垃圾污水处理工程、城乡环境基础设施工程</w:t>
            </w:r>
          </w:p>
        </w:tc>
        <w:tc>
          <w:tcPr>
            <w:tcW w:w="853"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258亿元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85"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b/>
                <w:bCs/>
                <w:color w:val="000000" w:themeColor="text1"/>
                <w:szCs w:val="28"/>
                <w14:textFill>
                  <w14:solidFill>
                    <w14:schemeClr w14:val="tx1"/>
                  </w14:solidFill>
                </w14:textFill>
              </w:rPr>
            </w:pPr>
            <w:r>
              <w:rPr>
                <w:rFonts w:ascii="Times New Roman" w:hAnsi="Times New Roman" w:eastAsia="宋体" w:cs="Times New Roman"/>
                <w:b/>
                <w:bCs/>
                <w:color w:val="000000" w:themeColor="text1"/>
                <w:szCs w:val="28"/>
                <w14:textFill>
                  <w14:solidFill>
                    <w14:schemeClr w14:val="tx1"/>
                  </w14:solidFill>
                </w14:textFill>
              </w:rPr>
              <w:t>社会民生</w:t>
            </w:r>
          </w:p>
        </w:tc>
        <w:tc>
          <w:tcPr>
            <w:tcW w:w="3261" w:type="pct"/>
            <w:tcBorders>
              <w:tl2br w:val="nil"/>
              <w:tr2bl w:val="nil"/>
            </w:tcBorders>
            <w:shd w:val="clear" w:color="auto" w:fill="auto"/>
            <w:tcMar>
              <w:top w:w="12" w:type="dxa"/>
              <w:left w:w="12" w:type="dxa"/>
              <w:right w:w="12" w:type="dxa"/>
            </w:tcMar>
            <w:vAlign w:val="center"/>
          </w:tcPr>
          <w:p>
            <w:pPr>
              <w:spacing w:before="0" w:after="0" w:line="500" w:lineRule="exact"/>
              <w:jc w:val="both"/>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保障性住房安居工程、教育优先发展工程、健康邵阳建设工程、养老服务体系建设工程、文化体育设施建设工程、特色小镇</w:t>
            </w:r>
            <w:r>
              <w:rPr>
                <w:rFonts w:hint="eastAsia" w:ascii="Times New Roman" w:hAnsi="Times New Roman" w:eastAsia="宋体" w:cs="Times New Roman"/>
                <w:color w:val="000000" w:themeColor="text1"/>
                <w:szCs w:val="28"/>
                <w14:textFill>
                  <w14:solidFill>
                    <w14:schemeClr w14:val="tx1"/>
                  </w14:solidFill>
                </w14:textFill>
              </w:rPr>
              <w:t>培育</w:t>
            </w:r>
            <w:r>
              <w:rPr>
                <w:rFonts w:ascii="Times New Roman" w:hAnsi="Times New Roman" w:eastAsia="宋体" w:cs="Times New Roman"/>
                <w:color w:val="000000" w:themeColor="text1"/>
                <w:szCs w:val="28"/>
                <w14:textFill>
                  <w14:solidFill>
                    <w14:schemeClr w14:val="tx1"/>
                  </w14:solidFill>
                </w14:textFill>
              </w:rPr>
              <w:t>工程、就业保障工程、社会治安防治工程、应急储备工程</w:t>
            </w:r>
          </w:p>
        </w:tc>
        <w:tc>
          <w:tcPr>
            <w:tcW w:w="853" w:type="pct"/>
            <w:tcBorders>
              <w:tl2br w:val="nil"/>
              <w:tr2bl w:val="nil"/>
            </w:tcBorders>
            <w:shd w:val="clear" w:color="auto" w:fill="auto"/>
            <w:tcMar>
              <w:top w:w="12" w:type="dxa"/>
              <w:left w:w="12" w:type="dxa"/>
              <w:right w:w="12" w:type="dxa"/>
            </w:tcMar>
            <w:vAlign w:val="center"/>
          </w:tcPr>
          <w:p>
            <w:pPr>
              <w:spacing w:before="0" w:after="0" w:line="500" w:lineRule="exact"/>
              <w:jc w:val="center"/>
              <w:rPr>
                <w:rFonts w:ascii="Times New Roman" w:hAnsi="Times New Roman" w:eastAsia="宋体" w:cs="Times New Roman"/>
                <w:color w:val="000000" w:themeColor="text1"/>
                <w:szCs w:val="28"/>
                <w14:textFill>
                  <w14:solidFill>
                    <w14:schemeClr w14:val="tx1"/>
                  </w14:solidFill>
                </w14:textFill>
              </w:rPr>
            </w:pPr>
            <w:r>
              <w:rPr>
                <w:rFonts w:ascii="Times New Roman" w:hAnsi="Times New Roman" w:eastAsia="宋体" w:cs="Times New Roman"/>
                <w:color w:val="000000" w:themeColor="text1"/>
                <w:szCs w:val="28"/>
                <w14:textFill>
                  <w14:solidFill>
                    <w14:schemeClr w14:val="tx1"/>
                  </w14:solidFill>
                </w14:textFill>
              </w:rPr>
              <w:t>1665亿元</w:t>
            </w:r>
          </w:p>
        </w:tc>
      </w:tr>
    </w:tbl>
    <w:p>
      <w:pPr>
        <w:pStyle w:val="4"/>
        <w:keepNext w:val="0"/>
        <w:keepLines w:val="0"/>
        <w:widowControl w:val="0"/>
        <w:spacing w:before="386" w:beforeLines="100" w:after="386" w:afterLines="100" w:line="240" w:lineRule="auto"/>
        <w:rPr>
          <w:rFonts w:ascii="Times New Roman" w:hAnsi="Times New Roman" w:cs="Times New Roman"/>
          <w:color w:val="000000" w:themeColor="text1"/>
          <w:szCs w:val="32"/>
          <w14:textFill>
            <w14:solidFill>
              <w14:schemeClr w14:val="tx1"/>
            </w14:solidFill>
          </w14:textFill>
        </w:rPr>
      </w:pPr>
      <w:bookmarkStart w:id="3011" w:name="_Toc21518"/>
      <w:bookmarkStart w:id="3012" w:name="_Toc22216"/>
      <w:bookmarkStart w:id="3013" w:name="_Toc18833"/>
      <w:bookmarkStart w:id="3014" w:name="_Toc16271"/>
      <w:bookmarkStart w:id="3015" w:name="_Toc17778"/>
      <w:bookmarkStart w:id="3016" w:name="_Toc27033"/>
      <w:bookmarkStart w:id="3017" w:name="_Toc1573"/>
      <w:bookmarkStart w:id="3018" w:name="_Toc24516"/>
      <w:bookmarkStart w:id="3019" w:name="_Toc13905"/>
      <w:bookmarkStart w:id="3020" w:name="_Toc12837"/>
      <w:bookmarkStart w:id="3021" w:name="_Toc9461"/>
      <w:bookmarkStart w:id="3022" w:name="_Toc24990"/>
      <w:bookmarkStart w:id="3023" w:name="_Toc29808"/>
      <w:bookmarkStart w:id="3024" w:name="_Toc7350"/>
      <w:bookmarkStart w:id="3025" w:name="_Toc79"/>
      <w:bookmarkStart w:id="3026" w:name="_Toc25145"/>
      <w:bookmarkStart w:id="3027" w:name="_Toc438"/>
      <w:bookmarkStart w:id="3028" w:name="_Toc11418"/>
      <w:bookmarkStart w:id="3029" w:name="_Toc28216"/>
      <w:bookmarkStart w:id="3030" w:name="_Toc22031"/>
      <w:bookmarkStart w:id="3031" w:name="_Toc16231"/>
      <w:bookmarkStart w:id="3032" w:name="_Toc20313"/>
      <w:bookmarkStart w:id="3033" w:name="_Toc9660"/>
      <w:bookmarkStart w:id="3034" w:name="_Toc2404"/>
      <w:bookmarkStart w:id="3035" w:name="_Toc28838"/>
      <w:bookmarkStart w:id="3036" w:name="_Toc18103"/>
      <w:bookmarkStart w:id="3037" w:name="_Toc8484"/>
      <w:bookmarkStart w:id="3038" w:name="_Toc12724"/>
      <w:bookmarkStart w:id="3039" w:name="_Toc943"/>
      <w:bookmarkStart w:id="3040" w:name="_Toc4160"/>
      <w:bookmarkStart w:id="3041" w:name="_Toc9076"/>
      <w:bookmarkStart w:id="3042" w:name="_Toc29826"/>
      <w:bookmarkStart w:id="3043" w:name="_Toc32106"/>
      <w:bookmarkStart w:id="3044" w:name="_Toc17359"/>
      <w:bookmarkStart w:id="3045" w:name="_Toc4861"/>
      <w:bookmarkStart w:id="3046" w:name="_Toc11837"/>
      <w:bookmarkStart w:id="3047" w:name="_Toc27770"/>
      <w:r>
        <w:rPr>
          <w:rFonts w:ascii="Times New Roman" w:hAnsi="Times New Roman" w:cs="Times New Roman"/>
          <w:color w:val="000000" w:themeColor="text1"/>
          <w:szCs w:val="32"/>
          <w14:textFill>
            <w14:solidFill>
              <w14:schemeClr w14:val="tx1"/>
            </w14:solidFill>
          </w14:textFill>
        </w:rPr>
        <w:t>第</w:t>
      </w:r>
      <w:r>
        <w:rPr>
          <w:rFonts w:hint="eastAsia" w:ascii="Times New Roman" w:hAnsi="Times New Roman" w:cs="Times New Roman"/>
          <w:color w:val="000000" w:themeColor="text1"/>
          <w:szCs w:val="32"/>
          <w14:textFill>
            <w14:solidFill>
              <w14:schemeClr w14:val="tx1"/>
            </w14:solidFill>
          </w14:textFill>
        </w:rPr>
        <w:t>五</w:t>
      </w:r>
      <w:r>
        <w:rPr>
          <w:rFonts w:ascii="Times New Roman" w:hAnsi="Times New Roman" w:cs="Times New Roman"/>
          <w:color w:val="000000" w:themeColor="text1"/>
          <w:szCs w:val="32"/>
          <w14:textFill>
            <w14:solidFill>
              <w14:schemeClr w14:val="tx1"/>
            </w14:solidFill>
          </w14:textFill>
        </w:rPr>
        <w:t>节</w:t>
      </w:r>
      <w:r>
        <w:rPr>
          <w:rFonts w:hint="eastAsia" w:ascii="Times New Roman" w:hAnsi="Times New Roman" w:cs="Times New Roman"/>
          <w:color w:val="000000" w:themeColor="text1"/>
          <w:szCs w:val="32"/>
          <w14:textFill>
            <w14:solidFill>
              <w14:schemeClr w14:val="tx1"/>
            </w14:solidFill>
          </w14:textFill>
        </w:rPr>
        <w:t xml:space="preserve"> </w:t>
      </w:r>
      <w:r>
        <w:rPr>
          <w:rFonts w:ascii="Times New Roman" w:hAnsi="Times New Roman" w:cs="Times New Roman"/>
          <w:color w:val="000000" w:themeColor="text1"/>
          <w:szCs w:val="32"/>
          <w14:textFill>
            <w14:solidFill>
              <w14:schemeClr w14:val="tx1"/>
            </w14:solidFill>
          </w14:textFill>
        </w:rPr>
        <w:t xml:space="preserve"> 严格监督评估</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pPr>
        <w:widowControl w:val="0"/>
        <w:adjustRightInd/>
        <w:snapToGrid/>
        <w:spacing w:before="0" w:after="0" w:line="579"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完善监督评估制度，强化组织实施，扩大公众参与，形成落实规划目标任务的合力。 </w:t>
      </w:r>
    </w:p>
    <w:p>
      <w:pPr>
        <w:widowControl w:val="0"/>
        <w:adjustRightInd/>
        <w:snapToGrid/>
        <w:spacing w:before="0" w:after="0" w:line="579"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强化规划约束。</w:t>
      </w:r>
      <w:r>
        <w:rPr>
          <w:rFonts w:ascii="Times New Roman" w:hAnsi="Times New Roman" w:eastAsia="仿宋_GB2312" w:cs="Times New Roman"/>
          <w:color w:val="000000" w:themeColor="text1"/>
          <w:sz w:val="32"/>
          <w:szCs w:val="32"/>
          <w14:textFill>
            <w14:solidFill>
              <w14:schemeClr w14:val="tx1"/>
            </w14:solidFill>
          </w14:textFill>
        </w:rPr>
        <w:t xml:space="preserve">本规划由市人民代表大会批准，由市人民政府组织实施。本规划确定的约束性指标要纳入各县（市、区）、各部门单位和园区发展综合评价和绩效考核，实施规划落实责任制，确保认识到位、组织到位、措施到位。 </w:t>
      </w:r>
    </w:p>
    <w:p>
      <w:pPr>
        <w:widowControl w:val="0"/>
        <w:adjustRightInd/>
        <w:snapToGrid/>
        <w:spacing w:before="0" w:after="0" w:line="579"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强化评估考核。</w:t>
      </w:r>
      <w:r>
        <w:rPr>
          <w:rFonts w:ascii="Times New Roman" w:hAnsi="Times New Roman" w:eastAsia="仿宋_GB2312" w:cs="Times New Roman"/>
          <w:color w:val="000000" w:themeColor="text1"/>
          <w:sz w:val="32"/>
          <w:szCs w:val="32"/>
          <w14:textFill>
            <w14:solidFill>
              <w14:schemeClr w14:val="tx1"/>
            </w14:solidFill>
          </w14:textFill>
        </w:rPr>
        <w:t>加强监测评估能力建设，跟踪分析规划实施过程，定期分析规划执行情况，完善规划年度考核制度，进行期中和期末评估，并将评估结果向市人大报告。建立科学合理的各级政府考核机制，考核结果作为各级政府领导班子调整和领导干部选拔任用、奖励惩戒的重要依据。</w:t>
      </w:r>
    </w:p>
    <w:p>
      <w:pPr>
        <w:widowControl w:val="0"/>
        <w:adjustRightInd/>
        <w:snapToGrid/>
        <w:spacing w:before="0" w:after="0" w:line="579"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强化宣传监督。</w:t>
      </w:r>
      <w:r>
        <w:rPr>
          <w:rFonts w:ascii="Times New Roman" w:hAnsi="Times New Roman" w:eastAsia="仿宋_GB2312" w:cs="Times New Roman"/>
          <w:color w:val="000000" w:themeColor="text1"/>
          <w:sz w:val="32"/>
          <w:szCs w:val="32"/>
          <w14:textFill>
            <w14:solidFill>
              <w14:schemeClr w14:val="tx1"/>
            </w14:solidFill>
          </w14:textFill>
        </w:rPr>
        <w:t>拓宽规划实施监督渠道，发挥监察、审计、统计等部门对发展规划实施的监督作用，完善政府重大决策事项向人大报告和向政协通报制度。加强规划实施的社会监督，开展规划宣传和展示工作，及时公布规划实施进展情况，让社会公众通过法定程序和渠道参与规划的实施和监督，营造全社会共同参与和支持规划纲要实施的氛围。</w:t>
      </w:r>
    </w:p>
    <w:p>
      <w:pPr>
        <w:widowControl w:val="0"/>
        <w:adjustRightInd/>
        <w:snapToGrid/>
        <w:spacing w:before="0" w:after="0" w:line="579"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全市人民要更加紧密</w:t>
      </w:r>
      <w:r>
        <w:rPr>
          <w:rFonts w:hint="eastAsia" w:ascii="Times New Roman" w:hAnsi="Times New Roman" w:eastAsia="仿宋_GB2312" w:cs="Times New Roman"/>
          <w:color w:val="000000" w:themeColor="text1"/>
          <w:sz w:val="32"/>
          <w:szCs w:val="32"/>
          <w14:textFill>
            <w14:solidFill>
              <w14:schemeClr w14:val="tx1"/>
            </w14:solidFill>
          </w14:textFill>
        </w:rPr>
        <w:t>地</w:t>
      </w:r>
      <w:r>
        <w:rPr>
          <w:rFonts w:ascii="Times New Roman" w:hAnsi="Times New Roman" w:eastAsia="仿宋_GB2312" w:cs="Times New Roman"/>
          <w:color w:val="000000" w:themeColor="text1"/>
          <w:sz w:val="32"/>
          <w:szCs w:val="32"/>
          <w14:textFill>
            <w14:solidFill>
              <w14:schemeClr w14:val="tx1"/>
            </w14:solidFill>
          </w14:textFill>
        </w:rPr>
        <w:t>团结在以习近平同志为核心的党中央周围，深入贯彻习近平新时代中国特色社会主义思想，坚定信心、乘势而上、锐意进取、真抓实干，努力完成本规划确定的各项目标任务，不断在建设现代化新邵阳的征程上取得新成就，奋力谱写新时代坚持和发展中国特色社会主义的邵阳新篇章！</w:t>
      </w:r>
    </w:p>
    <w:p>
      <w:pPr>
        <w:pStyle w:val="2"/>
      </w:pPr>
    </w:p>
    <w:p>
      <w:pPr>
        <w:rPr>
          <w:rFonts w:ascii="Times New Roman" w:hAnsi="Times New Roman" w:eastAsia="黑体" w:cs="Times New Roman"/>
          <w:color w:val="000000" w:themeColor="text1"/>
          <w:sz w:val="36"/>
          <w:szCs w:val="36"/>
          <w14:textFill>
            <w14:solidFill>
              <w14:schemeClr w14:val="tx1"/>
            </w14:solidFill>
          </w14:textFill>
        </w:rPr>
      </w:pPr>
      <w:r>
        <w:rPr>
          <w:rFonts w:ascii="Times New Roman" w:hAnsi="Times New Roman" w:eastAsia="黑体" w:cs="Times New Roman"/>
          <w:color w:val="000000" w:themeColor="text1"/>
          <w:sz w:val="36"/>
          <w:szCs w:val="36"/>
          <w14:textFill>
            <w14:solidFill>
              <w14:schemeClr w14:val="tx1"/>
            </w14:solidFill>
          </w14:textFill>
        </w:rPr>
        <w:br w:type="page"/>
      </w:r>
    </w:p>
    <w:p>
      <w:pPr>
        <w:pStyle w:val="2"/>
        <w:jc w:val="center"/>
        <w:rPr>
          <w:rFonts w:ascii="Times New Roman" w:hAnsi="Times New Roman" w:eastAsia="黑体" w:cs="Times New Roman"/>
          <w:color w:val="000000" w:themeColor="text1"/>
          <w:sz w:val="36"/>
          <w:szCs w:val="36"/>
          <w14:textFill>
            <w14:solidFill>
              <w14:schemeClr w14:val="tx1"/>
            </w14:solidFill>
          </w14:textFill>
        </w:rPr>
      </w:pPr>
      <w:r>
        <w:rPr>
          <w:rFonts w:ascii="Times New Roman" w:hAnsi="Times New Roman" w:eastAsia="黑体" w:cs="Times New Roman"/>
          <w:color w:val="000000" w:themeColor="text1"/>
          <w:sz w:val="36"/>
          <w:szCs w:val="36"/>
          <w14:textFill>
            <w14:solidFill>
              <w14:schemeClr w14:val="tx1"/>
            </w14:solidFill>
          </w14:textFill>
        </w:rPr>
        <w:t>名</w:t>
      </w:r>
      <w:r>
        <w:rPr>
          <w:rFonts w:hint="eastAsia" w:ascii="Times New Roman" w:hAnsi="Times New Roman" w:eastAsia="黑体" w:cs="Times New Roman"/>
          <w:color w:val="000000" w:themeColor="text1"/>
          <w:sz w:val="36"/>
          <w:szCs w:val="36"/>
          <w14:textFill>
            <w14:solidFill>
              <w14:schemeClr w14:val="tx1"/>
            </w14:solidFill>
          </w14:textFill>
        </w:rPr>
        <w:t xml:space="preserve"> </w:t>
      </w:r>
      <w:r>
        <w:rPr>
          <w:rFonts w:ascii="Times New Roman" w:hAnsi="Times New Roman" w:eastAsia="黑体" w:cs="Times New Roman"/>
          <w:color w:val="000000" w:themeColor="text1"/>
          <w:sz w:val="36"/>
          <w:szCs w:val="36"/>
          <w14:textFill>
            <w14:solidFill>
              <w14:schemeClr w14:val="tx1"/>
            </w14:solidFill>
          </w14:textFill>
        </w:rPr>
        <w:t>词</w:t>
      </w:r>
      <w:r>
        <w:rPr>
          <w:rFonts w:hint="eastAsia" w:ascii="Times New Roman" w:hAnsi="Times New Roman" w:eastAsia="黑体" w:cs="Times New Roman"/>
          <w:color w:val="000000" w:themeColor="text1"/>
          <w:sz w:val="36"/>
          <w:szCs w:val="36"/>
          <w14:textFill>
            <w14:solidFill>
              <w14:schemeClr w14:val="tx1"/>
            </w14:solidFill>
          </w14:textFill>
        </w:rPr>
        <w:t xml:space="preserve"> </w:t>
      </w:r>
      <w:r>
        <w:rPr>
          <w:rFonts w:ascii="Times New Roman" w:hAnsi="Times New Roman" w:eastAsia="黑体" w:cs="Times New Roman"/>
          <w:color w:val="000000" w:themeColor="text1"/>
          <w:sz w:val="36"/>
          <w:szCs w:val="36"/>
          <w14:textFill>
            <w14:solidFill>
              <w14:schemeClr w14:val="tx1"/>
            </w14:solidFill>
          </w14:textFill>
        </w:rPr>
        <w:t>解</w:t>
      </w:r>
      <w:r>
        <w:rPr>
          <w:rFonts w:hint="eastAsia" w:ascii="Times New Roman" w:hAnsi="Times New Roman" w:eastAsia="黑体" w:cs="Times New Roman"/>
          <w:color w:val="000000" w:themeColor="text1"/>
          <w:sz w:val="36"/>
          <w:szCs w:val="36"/>
          <w14:textFill>
            <w14:solidFill>
              <w14:schemeClr w14:val="tx1"/>
            </w14:solidFill>
          </w14:textFill>
        </w:rPr>
        <w:t xml:space="preserve"> </w:t>
      </w:r>
      <w:r>
        <w:rPr>
          <w:rFonts w:ascii="Times New Roman" w:hAnsi="Times New Roman" w:eastAsia="黑体" w:cs="Times New Roman"/>
          <w:color w:val="000000" w:themeColor="text1"/>
          <w:sz w:val="36"/>
          <w:szCs w:val="36"/>
          <w14:textFill>
            <w14:solidFill>
              <w14:schemeClr w14:val="tx1"/>
            </w14:solidFill>
          </w14:textFill>
        </w:rPr>
        <w:t>释</w:t>
      </w:r>
    </w:p>
    <w:p>
      <w:pPr>
        <w:widowControl w:val="0"/>
        <w:adjustRightInd/>
        <w:snapToGrid/>
        <w:spacing w:before="0" w:after="0" w:line="579" w:lineRule="exact"/>
        <w:ind w:firstLine="643" w:firstLineChars="200"/>
        <w:jc w:val="both"/>
        <w:rPr>
          <w:rFonts w:ascii="Times New Roman" w:hAnsi="Times New Roman" w:eastAsia="仿宋_GB2312" w:cs="Times New Roman"/>
          <w:b/>
          <w:bCs/>
          <w:color w:val="000000" w:themeColor="text1"/>
          <w:sz w:val="32"/>
          <w:szCs w:val="32"/>
          <w14:textFill>
            <w14:solidFill>
              <w14:schemeClr w14:val="tx1"/>
            </w14:solidFill>
          </w14:textFill>
        </w:rPr>
      </w:pPr>
    </w:p>
    <w:p>
      <w:pPr>
        <w:widowControl w:val="0"/>
        <w:adjustRightInd/>
        <w:snapToGrid/>
        <w:spacing w:before="0" w:after="0" w:line="579"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两个</w:t>
      </w:r>
      <w:r>
        <w:rPr>
          <w:rFonts w:hint="eastAsia" w:ascii="Times New Roman" w:hAnsi="Times New Roman" w:eastAsia="仿宋_GB2312" w:cs="Times New Roman"/>
          <w:b/>
          <w:bCs/>
          <w:color w:val="000000" w:themeColor="text1"/>
          <w:sz w:val="32"/>
          <w:szCs w:val="32"/>
          <w14:textFill>
            <w14:solidFill>
              <w14:schemeClr w14:val="tx1"/>
            </w14:solidFill>
          </w14:textFill>
        </w:rPr>
        <w:t>一</w:t>
      </w:r>
      <w:r>
        <w:rPr>
          <w:rFonts w:ascii="Times New Roman" w:hAnsi="Times New Roman" w:eastAsia="仿宋_GB2312" w:cs="Times New Roman"/>
          <w:b/>
          <w:bCs/>
          <w:color w:val="000000" w:themeColor="text1"/>
          <w:sz w:val="32"/>
          <w:szCs w:val="32"/>
          <w14:textFill>
            <w14:solidFill>
              <w14:schemeClr w14:val="tx1"/>
            </w14:solidFill>
          </w14:textFill>
        </w:rPr>
        <w:t>百年</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奋斗目标：</w:t>
      </w:r>
      <w:r>
        <w:rPr>
          <w:rFonts w:ascii="Times New Roman" w:hAnsi="Times New Roman" w:eastAsia="仿宋_GB2312" w:cs="Times New Roman"/>
          <w:color w:val="000000" w:themeColor="text1"/>
          <w:sz w:val="32"/>
          <w:szCs w:val="32"/>
          <w14:textFill>
            <w14:solidFill>
              <w14:schemeClr w14:val="tx1"/>
            </w14:solidFill>
          </w14:textFill>
        </w:rPr>
        <w:t>到中国共产党成立100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周</w:t>
      </w:r>
      <w:r>
        <w:rPr>
          <w:rFonts w:ascii="Times New Roman" w:hAnsi="Times New Roman" w:eastAsia="仿宋_GB2312" w:cs="Times New Roman"/>
          <w:color w:val="000000" w:themeColor="text1"/>
          <w:sz w:val="32"/>
          <w:szCs w:val="32"/>
          <w14:textFill>
            <w14:solidFill>
              <w14:schemeClr w14:val="tx1"/>
            </w14:solidFill>
          </w14:textFill>
        </w:rPr>
        <w:t>年时（2021年）全面建成小康社会；到新中国成立100年时（2049年）建成富强民主文明和谐美丽的社会主义现代化强国。</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2.湘南湘西承接产业转移示范区：</w:t>
      </w:r>
      <w:r>
        <w:rPr>
          <w:rFonts w:ascii="Times New Roman" w:hAnsi="Times New Roman" w:eastAsia="仿宋_GB2312" w:cs="Times New Roman"/>
          <w:color w:val="000000" w:themeColor="text1"/>
          <w:sz w:val="32"/>
          <w:szCs w:val="32"/>
          <w14:textFill>
            <w14:solidFill>
              <w14:schemeClr w14:val="tx1"/>
            </w14:solidFill>
          </w14:textFill>
        </w:rPr>
        <w:t>2018年11月由国家发改委批复，包括衡阳市、郴州市、永州市、湘西自治州、怀化市和邵阳市，旨在打造中西部地区承接产业转移</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领头雁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、内陆地区开放合作示范区、国家重要先进制造业基地和支撑中部地区崛起重要增长极。</w:t>
      </w:r>
      <w:bookmarkStart w:id="3048" w:name="_GoBack"/>
      <w:bookmarkEnd w:id="3048"/>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3.</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1125</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工程：</w:t>
      </w:r>
      <w:r>
        <w:rPr>
          <w:rFonts w:ascii="Times New Roman" w:hAnsi="Times New Roman" w:eastAsia="仿宋_GB2312" w:cs="Times New Roman"/>
          <w:color w:val="000000" w:themeColor="text1"/>
          <w:sz w:val="32"/>
          <w:szCs w:val="32"/>
          <w14:textFill>
            <w14:solidFill>
              <w14:schemeClr w14:val="tx1"/>
            </w14:solidFill>
          </w14:textFill>
        </w:rPr>
        <w:t>即在2017至2020年，通过采取改革激发活力、重点项目带动、培育领军企业、升级产业园区、引导技术创新、打造标志性品牌、招商引资引智、创新要素保障、特色乡镇建设、产业精准扶贫</w:t>
      </w:r>
      <w:r>
        <w:rPr>
          <w:rFonts w:hint="eastAsia" w:ascii="Times New Roman" w:hAnsi="Times New Roman" w:eastAsia="仿宋_GB2312" w:cs="Times New Roman"/>
          <w:color w:val="000000" w:themeColor="text1"/>
          <w:sz w:val="32"/>
          <w:szCs w:val="32"/>
          <w14:textFill>
            <w14:solidFill>
              <w14:schemeClr w14:val="tx1"/>
            </w14:solidFill>
          </w14:textFill>
        </w:rPr>
        <w:t>十</w:t>
      </w:r>
      <w:r>
        <w:rPr>
          <w:rFonts w:ascii="Times New Roman" w:hAnsi="Times New Roman" w:eastAsia="仿宋_GB2312" w:cs="Times New Roman"/>
          <w:color w:val="000000" w:themeColor="text1"/>
          <w:sz w:val="32"/>
          <w:szCs w:val="32"/>
          <w14:textFill>
            <w14:solidFill>
              <w14:schemeClr w14:val="tx1"/>
            </w14:solidFill>
          </w14:textFill>
        </w:rPr>
        <w:t>大措施，每年实施推进100个重点项目，拉动投资1000亿元，年新增税收20亿元、实现产值500亿元。</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4.七大工业新兴优势产业链：</w:t>
      </w:r>
      <w:r>
        <w:rPr>
          <w:rFonts w:ascii="Times New Roman" w:hAnsi="Times New Roman" w:eastAsia="仿宋_GB2312" w:cs="Times New Roman"/>
          <w:color w:val="000000" w:themeColor="text1"/>
          <w:sz w:val="32"/>
          <w:szCs w:val="32"/>
          <w14:textFill>
            <w14:solidFill>
              <w14:schemeClr w14:val="tx1"/>
            </w14:solidFill>
          </w14:textFill>
        </w:rPr>
        <w:t>我市重点培育和扶持工业新兴优势产业链，分别为先进装备制造、显示功能材料、智能家居家电、时尚用品、循环经济、中医药、互联网七大工业新兴优势产业链。</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5.沪昆百里工业走廊：</w:t>
      </w:r>
      <w:r>
        <w:rPr>
          <w:rFonts w:ascii="Times New Roman" w:hAnsi="Times New Roman" w:eastAsia="仿宋_GB2312" w:cs="Times New Roman"/>
          <w:color w:val="000000" w:themeColor="text1"/>
          <w:sz w:val="32"/>
          <w:szCs w:val="32"/>
          <w14:textFill>
            <w14:solidFill>
              <w14:schemeClr w14:val="tx1"/>
            </w14:solidFill>
          </w14:textFill>
        </w:rPr>
        <w:t>以沪昆高速沿线7个省级工业园区为节点，连线成片。</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6.</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135</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工程：</w:t>
      </w:r>
      <w:r>
        <w:rPr>
          <w:rFonts w:ascii="Times New Roman" w:hAnsi="Times New Roman" w:eastAsia="仿宋_GB2312" w:cs="Times New Roman"/>
          <w:color w:val="000000" w:themeColor="text1"/>
          <w:sz w:val="32"/>
          <w:szCs w:val="32"/>
          <w14:textFill>
            <w14:solidFill>
              <w14:schemeClr w14:val="tx1"/>
            </w14:solidFill>
          </w14:textFill>
        </w:rPr>
        <w:t>即通过三年的努力在全省建设100个创新创业产业园区、建成3000万平方米标准厂房、引进5000家创新创业企业。</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7.</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双百</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城市：</w:t>
      </w:r>
      <w:r>
        <w:rPr>
          <w:rFonts w:ascii="Times New Roman" w:hAnsi="Times New Roman" w:eastAsia="仿宋_GB2312" w:cs="Times New Roman"/>
          <w:color w:val="000000" w:themeColor="text1"/>
          <w:sz w:val="32"/>
          <w:szCs w:val="32"/>
          <w14:textFill>
            <w14:solidFill>
              <w14:schemeClr w14:val="tx1"/>
            </w14:solidFill>
          </w14:textFill>
        </w:rPr>
        <w:t>即主城区人口100万，主城区面积100平方公里。</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8.南山国家公园体制试点区：</w:t>
      </w:r>
      <w:r>
        <w:rPr>
          <w:rFonts w:ascii="Times New Roman" w:hAnsi="Times New Roman" w:eastAsia="仿宋_GB2312" w:cs="Times New Roman"/>
          <w:color w:val="000000" w:themeColor="text1"/>
          <w:sz w:val="32"/>
          <w:szCs w:val="32"/>
          <w14:textFill>
            <w14:solidFill>
              <w14:schemeClr w14:val="tx1"/>
            </w14:solidFill>
          </w14:textFill>
        </w:rPr>
        <w:t>2016年7月经国务院批准、我国首批设立的10个国家公园试点区之一</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9.</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一带一部</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2013年11月，习近平总书记视察湖南时提出，湖南要发挥作为东部沿海地区和中西部地区过渡带、长江开放经济带和沿海开放经济带结合部的区位优势。</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10.</w:t>
      </w:r>
      <w:r>
        <w:rPr>
          <w:rFonts w:ascii="Times New Roman" w:hAnsi="Times New Roman" w:cs="Times New Roman"/>
          <w:b/>
          <w:bCs/>
          <w:color w:val="000000" w:themeColor="text1"/>
          <w14:textFill>
            <w14:solidFill>
              <w14:schemeClr w14:val="tx1"/>
            </w14:solidFill>
          </w14:textFill>
        </w:rPr>
        <w:t xml:space="preserve"> </w:t>
      </w:r>
      <w:r>
        <w:rPr>
          <w:rFonts w:ascii="Times New Roman" w:hAnsi="Times New Roman" w:eastAsia="仿宋_GB2312" w:cs="Times New Roman"/>
          <w:b/>
          <w:bCs/>
          <w:color w:val="000000" w:themeColor="text1"/>
          <w:sz w:val="32"/>
          <w:szCs w:val="32"/>
          <w14:textFill>
            <w14:solidFill>
              <w14:schemeClr w14:val="tx1"/>
            </w14:solidFill>
          </w14:textFill>
        </w:rPr>
        <w:t>粤港澳大湾区：</w:t>
      </w:r>
      <w:r>
        <w:rPr>
          <w:rFonts w:ascii="Times New Roman" w:hAnsi="Times New Roman" w:eastAsia="仿宋_GB2312" w:cs="Times New Roman"/>
          <w:color w:val="000000" w:themeColor="text1"/>
          <w:sz w:val="32"/>
          <w:szCs w:val="32"/>
          <w14:textFill>
            <w14:solidFill>
              <w14:schemeClr w14:val="tx1"/>
            </w14:solidFill>
          </w14:textFill>
        </w:rPr>
        <w:t>包括香港特别行政区、澳门特别行政区和广东省广州市、深圳市、珠海市、佛山市、惠州市、东莞市、中山市、江门市、肇庆市，是我国开放程度最高、经济活力最强的区域之一。</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11.</w:t>
      </w:r>
      <w:r>
        <w:rPr>
          <w:rFonts w:ascii="Times New Roman" w:hAnsi="Times New Roman" w:cs="Times New Roman"/>
          <w:b/>
          <w:bCs/>
          <w:color w:val="000000" w:themeColor="text1"/>
          <w14:textFill>
            <w14:solidFill>
              <w14:schemeClr w14:val="tx1"/>
            </w14:solidFill>
          </w14:textFill>
        </w:rPr>
        <w:t xml:space="preserve"> </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双循环</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新发展格局：</w:t>
      </w:r>
      <w:r>
        <w:rPr>
          <w:rFonts w:ascii="Times New Roman" w:hAnsi="Times New Roman" w:eastAsia="仿宋_GB2312" w:cs="Times New Roman"/>
          <w:color w:val="000000" w:themeColor="text1"/>
          <w:sz w:val="32"/>
          <w:szCs w:val="32"/>
          <w14:textFill>
            <w14:solidFill>
              <w14:schemeClr w14:val="tx1"/>
            </w14:solidFill>
          </w14:textFill>
        </w:rPr>
        <w:t>中央基于国内发展形势、把握国际发展大势作出的重大科学判断和重要战略选择，即逐步形成以国内大循环为主体、国内国际双循环相互促进的新发展格局。</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12.</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一带一路</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丝绸之路经济带</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和</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21世纪海上丝绸之路</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13.长江经济带战略：</w:t>
      </w:r>
      <w:r>
        <w:rPr>
          <w:rFonts w:ascii="Times New Roman" w:hAnsi="Times New Roman" w:eastAsia="仿宋_GB2312" w:cs="Times New Roman"/>
          <w:color w:val="000000" w:themeColor="text1"/>
          <w:sz w:val="32"/>
          <w:szCs w:val="32"/>
          <w14:textFill>
            <w14:solidFill>
              <w14:schemeClr w14:val="tx1"/>
            </w14:solidFill>
          </w14:textFill>
        </w:rPr>
        <w:t>2016年9月，中共中央、国务院印发《长江经济带发展规划纲要》，要求充分发挥长江经济带横跨东中西三大板块的区位优势，以共抓大保护、不搞大开发为导向，以生态优先、绿色发展为引领，依托长江黄金水道，推动长江上中下游地区协调发展和沿江地区高质量发展。</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14.</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三高四新</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战略：</w:t>
      </w:r>
      <w:r>
        <w:rPr>
          <w:rFonts w:ascii="Times New Roman" w:hAnsi="Times New Roman" w:eastAsia="仿宋_GB2312" w:cs="Times New Roman"/>
          <w:color w:val="000000" w:themeColor="text1"/>
          <w:sz w:val="32"/>
          <w:szCs w:val="32"/>
          <w14:textFill>
            <w14:solidFill>
              <w14:schemeClr w14:val="tx1"/>
            </w14:solidFill>
          </w14:textFill>
        </w:rPr>
        <w:t>湖南省委十一届十二次全会提出实施‘三高四新’战略，即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15.五项重点任务：</w:t>
      </w:r>
      <w:r>
        <w:rPr>
          <w:rFonts w:ascii="Times New Roman" w:hAnsi="Times New Roman" w:eastAsia="仿宋_GB2312" w:cs="Times New Roman"/>
          <w:color w:val="000000" w:themeColor="text1"/>
          <w:sz w:val="32"/>
          <w:szCs w:val="32"/>
          <w14:textFill>
            <w14:solidFill>
              <w14:schemeClr w14:val="tx1"/>
            </w14:solidFill>
          </w14:textFill>
        </w:rPr>
        <w:t>2020年9月，习近平总书记在湖南考察调研时，对湖南工作提出包括推动经济高质量发展、推进农业农村现代化、加强生态文明建设、改善民生和维护社会稳定以及从党的光辉历史中汲取砥砺奋进的</w:t>
      </w:r>
      <w:r>
        <w:rPr>
          <w:rFonts w:hint="eastAsia" w:ascii="Times New Roman" w:hAnsi="Times New Roman" w:eastAsia="仿宋_GB2312" w:cs="Times New Roman"/>
          <w:color w:val="000000" w:themeColor="text1"/>
          <w:sz w:val="32"/>
          <w:szCs w:val="32"/>
          <w14:textFill>
            <w14:solidFill>
              <w14:schemeClr w14:val="tx1"/>
            </w14:solidFill>
          </w14:textFill>
        </w:rPr>
        <w:t>精神</w:t>
      </w:r>
      <w:r>
        <w:rPr>
          <w:rFonts w:ascii="Times New Roman" w:hAnsi="Times New Roman" w:eastAsia="仿宋_GB2312" w:cs="Times New Roman"/>
          <w:color w:val="000000" w:themeColor="text1"/>
          <w:sz w:val="32"/>
          <w:szCs w:val="32"/>
          <w14:textFill>
            <w14:solidFill>
              <w14:schemeClr w14:val="tx1"/>
            </w14:solidFill>
          </w14:textFill>
        </w:rPr>
        <w:t>力量在内的五个方面的明确要求。</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16.</w:t>
      </w:r>
      <w:r>
        <w:rPr>
          <w:rFonts w:ascii="Times New Roman" w:hAnsi="Times New Roman" w:cs="Times New Roman"/>
          <w:b/>
          <w:bCs/>
          <w:color w:val="000000" w:themeColor="text1"/>
          <w14:textFill>
            <w14:solidFill>
              <w14:schemeClr w14:val="tx1"/>
            </w14:solidFill>
          </w14:textFill>
        </w:rPr>
        <w:t xml:space="preserve"> </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四横四纵</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包括沪昆通道、怀邵衡通道、沪昆高速扩容通道和兴永郴赣通道四个横向通道及呼南（湘粤）通道、呼北通道、怀邵桂通道和湘桂通道四个纵向通道。</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17.制造强市</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一二三工程</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到2022年，全市累计新增规模工业企业1000家以上，累计完成工业投资2000亿元以上，实现规模工业总产值3000亿元以上。</w:t>
      </w:r>
    </w:p>
    <w:p>
      <w:pPr>
        <w:widowControl w:val="0"/>
        <w:spacing w:before="0" w:after="0" w:line="560" w:lineRule="exact"/>
        <w:ind w:firstLine="643"/>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18.RCEP：</w:t>
      </w:r>
      <w:r>
        <w:rPr>
          <w:rFonts w:ascii="Times New Roman" w:hAnsi="Times New Roman" w:eastAsia="仿宋_GB2312" w:cs="Times New Roman"/>
          <w:color w:val="000000" w:themeColor="text1"/>
          <w:sz w:val="32"/>
          <w:szCs w:val="32"/>
          <w14:textFill>
            <w14:solidFill>
              <w14:schemeClr w14:val="tx1"/>
            </w14:solidFill>
          </w14:textFill>
        </w:rPr>
        <w:t>区域全面经济伙伴关系（Regional Com-prehensive Economic Partnership，RCEP)。2020年11月15日举行，东盟十国以及中国、日本、韩国、澳大利亚、新西兰15个国家，正式签署区域全面经济伙伴关系协定（RCEP），标志着全球规模最大的自由贸易协定正式达成。</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19.飞地经济：</w:t>
      </w:r>
      <w:r>
        <w:rPr>
          <w:rFonts w:ascii="Times New Roman" w:hAnsi="Times New Roman" w:eastAsia="仿宋_GB2312" w:cs="Times New Roman"/>
          <w:color w:val="000000" w:themeColor="text1"/>
          <w:sz w:val="32"/>
          <w:szCs w:val="32"/>
          <w14:textFill>
            <w14:solidFill>
              <w14:schemeClr w14:val="tx1"/>
            </w14:solidFill>
          </w14:textFill>
        </w:rPr>
        <w:t>两个相互独立、经济发展存在落差的行政地区打破原有行政区划限制，通过跨空间的行政管理和经济开发，实现两地资源互补、经济协调发展的一种区域经济合作模式。</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20.全国一张清单管理模式：</w:t>
      </w:r>
      <w:r>
        <w:rPr>
          <w:rFonts w:ascii="Times New Roman" w:hAnsi="Times New Roman" w:eastAsia="仿宋_GB2312" w:cs="Times New Roman"/>
          <w:color w:val="000000" w:themeColor="text1"/>
          <w:sz w:val="32"/>
          <w:szCs w:val="32"/>
          <w14:textFill>
            <w14:solidFill>
              <w14:schemeClr w14:val="tx1"/>
            </w14:solidFill>
          </w14:textFill>
        </w:rPr>
        <w:t>通过清理和精简各地互相冲突和抵触的相关目录，形成全国统一的市场准入负面清单，实现有效规范政府行为。</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21.</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1+7+10</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营商环境工作体系：</w:t>
      </w:r>
      <w:r>
        <w:rPr>
          <w:rFonts w:ascii="Times New Roman" w:hAnsi="Times New Roman" w:eastAsia="仿宋_GB2312" w:cs="Times New Roman"/>
          <w:color w:val="000000" w:themeColor="text1"/>
          <w:sz w:val="32"/>
          <w:szCs w:val="32"/>
          <w14:textFill>
            <w14:solidFill>
              <w14:schemeClr w14:val="tx1"/>
            </w14:solidFill>
          </w14:textFill>
        </w:rPr>
        <w:t>1个顶层设计，即《邵阳市</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优化营商环境提升年</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实施方案》；7项企业关切和群众关注的重点改革举措，分别为深化商事制度改革、推进工程建设项目审批制度改革、不动产登记制度改革、推进政务服务改革、优化纳税营商环境、推进跨境贸易便利化、加强信用监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10</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项围绕营商环境相关的优化措施，包括获得用水用电用气便利度改革、公共资源交易制度改革等方面。</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22.</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放管服</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改革：</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放</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即简政放权，降低准入门槛。</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即创新监管，促进公平竞争。</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服</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即高效服务，营造便利环境。</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23.</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四办</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改革：</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一窗办、一网办、简化办、马上办</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24.</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一件事一次办</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改革：</w:t>
      </w:r>
      <w:r>
        <w:rPr>
          <w:rFonts w:ascii="Times New Roman" w:hAnsi="Times New Roman" w:eastAsia="仿宋_GB2312" w:cs="Times New Roman"/>
          <w:color w:val="000000" w:themeColor="text1"/>
          <w:sz w:val="32"/>
          <w:szCs w:val="32"/>
          <w14:textFill>
            <w14:solidFill>
              <w14:schemeClr w14:val="tx1"/>
            </w14:solidFill>
          </w14:textFill>
        </w:rPr>
        <w:t>对企业群众需办理的一个</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事项</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，一次告知、一次表单、一次联办、一次办好，线上</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一次登录、一网通办</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，线下</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只进一扇门、最多跑一次</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25.</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三类500强</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企业</w:t>
      </w:r>
      <w:r>
        <w:rPr>
          <w:rFonts w:ascii="Times New Roman" w:hAnsi="Times New Roman" w:eastAsia="仿宋_GB2312" w:cs="Times New Roman"/>
          <w:color w:val="000000" w:themeColor="text1"/>
          <w:sz w:val="32"/>
          <w:szCs w:val="32"/>
          <w14:textFill>
            <w14:solidFill>
              <w14:schemeClr w14:val="tx1"/>
            </w14:solidFill>
          </w14:textFill>
        </w:rPr>
        <w:t>：即世界500强、中国500强和民营500强企业。</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26.</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万企闯国际</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行动：</w:t>
      </w:r>
      <w:r>
        <w:rPr>
          <w:rFonts w:ascii="Times New Roman" w:hAnsi="Times New Roman" w:eastAsia="仿宋_GB2312" w:cs="Times New Roman"/>
          <w:color w:val="000000" w:themeColor="text1"/>
          <w:sz w:val="32"/>
          <w:szCs w:val="32"/>
          <w14:textFill>
            <w14:solidFill>
              <w14:schemeClr w14:val="tx1"/>
            </w14:solidFill>
          </w14:textFill>
        </w:rPr>
        <w:t>积极引导1万家以上湖南企业多种渠道开拓国际市场，全面提升湖南企业外向度和国际竞争力。</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27.</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五定</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班列：</w:t>
      </w:r>
      <w:r>
        <w:rPr>
          <w:rFonts w:ascii="Times New Roman" w:hAnsi="Times New Roman" w:eastAsia="仿宋_GB2312" w:cs="Times New Roman"/>
          <w:color w:val="000000" w:themeColor="text1"/>
          <w:sz w:val="32"/>
          <w:szCs w:val="32"/>
          <w14:textFill>
            <w14:solidFill>
              <w14:schemeClr w14:val="tx1"/>
            </w14:solidFill>
          </w14:textFill>
        </w:rPr>
        <w:t>定点(装车地点)、定线(固定运行线)、定车次、定时(固定到发时间)、定价(运输价格)列车。</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28.两新一重：</w:t>
      </w:r>
      <w:r>
        <w:rPr>
          <w:rFonts w:ascii="Times New Roman" w:hAnsi="Times New Roman" w:eastAsia="仿宋_GB2312" w:cs="Times New Roman"/>
          <w:color w:val="000000" w:themeColor="text1"/>
          <w:sz w:val="32"/>
          <w:szCs w:val="32"/>
          <w14:textFill>
            <w14:solidFill>
              <w14:schemeClr w14:val="tx1"/>
            </w14:solidFill>
          </w14:textFill>
        </w:rPr>
        <w:t>新型基础设施、新型城镇化以及交通、水利等重大工程。</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29.</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一县一特</w:t>
      </w:r>
      <w:r>
        <w:rPr>
          <w:rFonts w:hint="eastAsia" w:ascii="仿宋" w:hAnsi="仿宋" w:cs="Times New Roman"/>
          <w:b/>
          <w:bCs/>
          <w:color w:val="000000" w:themeColor="text1"/>
          <w:sz w:val="32"/>
          <w:szCs w:val="32"/>
          <w14:textFill>
            <w14:solidFill>
              <w14:schemeClr w14:val="tx1"/>
            </w14:solidFill>
          </w14:textFill>
        </w:rPr>
        <w:t>”</w:t>
      </w:r>
      <w:r>
        <w:rPr>
          <w:rFonts w:ascii="Times New Roman" w:hAnsi="Times New Roman" w:eastAsia="仿宋_GB2312" w:cs="Times New Roman"/>
          <w:b/>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一个县或一个片区重点扶持一个主导特色产业。</w:t>
      </w:r>
    </w:p>
    <w:p>
      <w:pPr>
        <w:widowControl w:val="0"/>
        <w:spacing w:before="0" w:after="0" w:line="560"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30.两证一追溯：</w:t>
      </w:r>
      <w:r>
        <w:rPr>
          <w:rFonts w:ascii="Times New Roman" w:hAnsi="Times New Roman" w:eastAsia="仿宋_GB2312" w:cs="Times New Roman"/>
          <w:color w:val="000000" w:themeColor="text1"/>
          <w:sz w:val="32"/>
          <w:szCs w:val="32"/>
          <w14:textFill>
            <w14:solidFill>
              <w14:schemeClr w14:val="tx1"/>
            </w14:solidFill>
          </w14:textFill>
        </w:rPr>
        <w:t>食用农产品合格证、农产品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身份证</w:t>
      </w:r>
      <w:r>
        <w:rPr>
          <w:rFonts w:hint="eastAsia" w:ascii="仿宋" w:hAnsi="仿宋"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,农产品质量追溯体系。</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31.</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五型</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电网：</w:t>
      </w:r>
      <w:r>
        <w:rPr>
          <w:rFonts w:ascii="Times New Roman" w:hAnsi="Times New Roman" w:eastAsia="仿宋_GB2312" w:cs="Times New Roman"/>
          <w:color w:val="000000" w:themeColor="text1"/>
          <w:kern w:val="2"/>
          <w:sz w:val="32"/>
          <w:szCs w:val="32"/>
          <w14:textFill>
            <w14:solidFill>
              <w14:schemeClr w14:val="tx1"/>
            </w14:solidFill>
          </w14:textFill>
        </w:rPr>
        <w:t>智能型、开放型、清洁型、服务型、送端型</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32.</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房住不炒</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 xml:space="preserve">即坚持房子是用来住的、不是用来炒的。 </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33.</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六级</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退役军人服务保障体系：</w:t>
      </w:r>
      <w:r>
        <w:rPr>
          <w:rFonts w:ascii="Times New Roman" w:hAnsi="Times New Roman" w:eastAsia="仿宋_GB2312" w:cs="Times New Roman"/>
          <w:color w:val="000000" w:themeColor="text1"/>
          <w:kern w:val="2"/>
          <w:sz w:val="32"/>
          <w:szCs w:val="32"/>
          <w14:textFill>
            <w14:solidFill>
              <w14:schemeClr w14:val="tx1"/>
            </w14:solidFill>
          </w14:textFill>
        </w:rPr>
        <w:t>从中央到村六级都要建立，中央和省市县建立退役军人服务中心，乡镇(街道)、村(社区)两级建立退役军人服务站，要求</w:t>
      </w:r>
      <w:r>
        <w:rPr>
          <w:rFonts w:hint="eastAsia" w:ascii="仿宋" w:hAnsi="仿宋" w:cs="Times New Roman"/>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全覆盖</w:t>
      </w:r>
      <w:r>
        <w:rPr>
          <w:rFonts w:hint="eastAsia" w:ascii="仿宋" w:hAnsi="仿宋" w:cs="Times New Roman"/>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34.</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9+3</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学生：</w:t>
      </w:r>
      <w:r>
        <w:rPr>
          <w:rFonts w:ascii="Times New Roman" w:hAnsi="Times New Roman" w:eastAsia="仿宋_GB2312" w:cs="Times New Roman"/>
          <w:color w:val="000000" w:themeColor="text1"/>
          <w:kern w:val="2"/>
          <w:sz w:val="32"/>
          <w:szCs w:val="32"/>
          <w14:textFill>
            <w14:solidFill>
              <w14:schemeClr w14:val="tx1"/>
            </w14:solidFill>
          </w14:textFill>
        </w:rPr>
        <w:t>即九年义务教育+三年高中或中专职业教育。</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35.</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七个100%</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长效机制：</w:t>
      </w:r>
      <w:r>
        <w:rPr>
          <w:rFonts w:ascii="Times New Roman" w:hAnsi="Times New Roman" w:eastAsia="仿宋_GB2312" w:cs="Times New Roman"/>
          <w:color w:val="000000" w:themeColor="text1"/>
          <w:kern w:val="2"/>
          <w:sz w:val="32"/>
          <w:szCs w:val="32"/>
          <w14:textFill>
            <w14:solidFill>
              <w14:schemeClr w14:val="tx1"/>
            </w14:solidFill>
          </w14:textFill>
        </w:rPr>
        <w:t>即施工现场100%封闭围挡；砂、石100%覆盖；工地路面100%硬化；拆除工程100%洒水；出工地运输车辆100%冲净车轮车身且密闭无洒漏；暂不开发的场地100%绿化；外脚手架安全立网100%张挂。</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36.</w:t>
      </w:r>
      <w:r>
        <w:rPr>
          <w:rFonts w:hint="eastAsia" w:ascii="仿宋" w:hAnsi="仿宋" w:cs="仿宋"/>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双随机、一公开</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在监管过程中随机抽取检查对象，随机选派执法检查人员，抽查情况及查处结果及时向社会公开。</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37.</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1+5</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文件：</w:t>
      </w:r>
      <w:r>
        <w:rPr>
          <w:rFonts w:ascii="Times New Roman" w:hAnsi="Times New Roman" w:eastAsia="仿宋_GB2312" w:cs="Times New Roman"/>
          <w:color w:val="000000" w:themeColor="text1"/>
          <w:kern w:val="2"/>
          <w:sz w:val="32"/>
          <w:szCs w:val="32"/>
          <w14:textFill>
            <w14:solidFill>
              <w14:schemeClr w14:val="tx1"/>
            </w14:solidFill>
          </w14:textFill>
        </w:rPr>
        <w:t>2019年7月，湖南省委出台《关于全面加强基层建设的若干意见》及《规范乡镇（街道）职责权限实施方案》等5个配套文件（简称</w:t>
      </w:r>
      <w:r>
        <w:rPr>
          <w:rFonts w:hint="eastAsia" w:ascii="仿宋" w:hAnsi="仿宋" w:cs="Times New Roman"/>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1+5</w:t>
      </w:r>
      <w:r>
        <w:rPr>
          <w:rFonts w:hint="eastAsia" w:ascii="仿宋" w:hAnsi="仿宋" w:cs="Times New Roman"/>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文件），对全面加强基层建设作出系统部署。</w:t>
      </w:r>
    </w:p>
    <w:p>
      <w:pPr>
        <w:widowControl w:val="0"/>
        <w:spacing w:before="0" w:after="0" w:line="560" w:lineRule="exact"/>
        <w:ind w:firstLine="643" w:firstLineChars="200"/>
        <w:jc w:val="both"/>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38.</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两个坚持、三个转变</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坚持以防为主、防抗救相结合，坚持常态减灾和非常态救灾相统一；从注重灾后救助向注重灾前预防转变，从应对单一灾种向综合减灾转变，从减少灾害损失向减轻灾害风险转变。</w:t>
      </w:r>
    </w:p>
    <w:p>
      <w:pPr>
        <w:ind w:firstLine="643"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b/>
          <w:bCs/>
          <w:color w:val="000000" w:themeColor="text1"/>
          <w:kern w:val="2"/>
          <w:sz w:val="32"/>
          <w:szCs w:val="32"/>
          <w14:textFill>
            <w14:solidFill>
              <w14:schemeClr w14:val="tx1"/>
            </w14:solidFill>
          </w14:textFill>
        </w:rPr>
        <w:t>39.</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天网工程</w:t>
      </w:r>
      <w:r>
        <w:rPr>
          <w:rFonts w:hint="eastAsia" w:ascii="仿宋" w:hAnsi="仿宋"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b/>
          <w:bCs/>
          <w:color w:val="000000" w:themeColor="text1"/>
          <w:kern w:val="2"/>
          <w:sz w:val="32"/>
          <w:szCs w:val="32"/>
          <w14:textFill>
            <w14:solidFill>
              <w14:schemeClr w14:val="tx1"/>
            </w14:solidFill>
          </w14:textFill>
        </w:rPr>
        <w:t>：</w:t>
      </w:r>
      <w:r>
        <w:rPr>
          <w:rFonts w:ascii="Times New Roman" w:hAnsi="Times New Roman" w:eastAsia="仿宋_GB2312" w:cs="Times New Roman"/>
          <w:color w:val="000000" w:themeColor="text1"/>
          <w:kern w:val="2"/>
          <w:sz w:val="32"/>
          <w:szCs w:val="32"/>
          <w14:textFill>
            <w14:solidFill>
              <w14:schemeClr w14:val="tx1"/>
            </w14:solidFill>
          </w14:textFill>
        </w:rPr>
        <w:t>指为满足城市治安防控和城市管理需要，利用图像采集、传输、控制、显示等设备和控制软件组成，对固定区域进行实时监控和信息记录的</w:t>
      </w:r>
      <w:r>
        <w:fldChar w:fldCharType="begin"/>
      </w:r>
      <w:r>
        <w:instrText xml:space="preserve"> HYPERLINK "https://baike.so.com/doc/6739884-6954367.html" \t "https://baike.so.com/doc/_blank" </w:instrText>
      </w:r>
      <w:r>
        <w:fldChar w:fldCharType="separate"/>
      </w:r>
      <w:r>
        <w:rPr>
          <w:rFonts w:ascii="Times New Roman" w:hAnsi="Times New Roman" w:eastAsia="仿宋_GB2312" w:cs="Times New Roman"/>
          <w:color w:val="000000" w:themeColor="text1"/>
          <w:kern w:val="2"/>
          <w:sz w:val="32"/>
          <w:szCs w:val="32"/>
          <w14:textFill>
            <w14:solidFill>
              <w14:schemeClr w14:val="tx1"/>
            </w14:solidFill>
          </w14:textFill>
        </w:rPr>
        <w:t>视频监控系统</w:t>
      </w:r>
      <w:r>
        <w:rPr>
          <w:rFonts w:ascii="Times New Roman" w:hAnsi="Times New Roman" w:eastAsia="仿宋_GB2312" w:cs="Times New Roman"/>
          <w:color w:val="000000" w:themeColor="text1"/>
          <w:kern w:val="2"/>
          <w:sz w:val="32"/>
          <w:szCs w:val="32"/>
          <w14:textFill>
            <w14:solidFill>
              <w14:schemeClr w14:val="tx1"/>
            </w14:solidFill>
          </w14:textFill>
        </w:rPr>
        <w:fldChar w:fldCharType="end"/>
      </w:r>
      <w:r>
        <w:rPr>
          <w:rFonts w:ascii="Times New Roman" w:hAnsi="Times New Roman" w:eastAsia="仿宋_GB2312" w:cs="Times New Roman"/>
          <w:color w:val="000000" w:themeColor="text1"/>
          <w:kern w:val="2"/>
          <w:sz w:val="32"/>
          <w:szCs w:val="32"/>
          <w14:textFill>
            <w14:solidFill>
              <w14:schemeClr w14:val="tx1"/>
            </w14:solidFill>
          </w14:textFill>
        </w:rPr>
        <w:t>。</w:t>
      </w:r>
    </w:p>
    <w:sectPr>
      <w:footerReference r:id="rId6" w:type="default"/>
      <w:pgSz w:w="11906" w:h="16838"/>
      <w:pgMar w:top="2098" w:right="1531" w:bottom="1984" w:left="1531" w:header="708" w:footer="1587" w:gutter="0"/>
      <w:pgNumType w:start="1"/>
      <w:cols w:space="0" w:num="1"/>
      <w:docGrid w:type="lines" w:linePitch="3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楷体">
    <w:panose1 w:val="02010609060101010101"/>
    <w:charset w:val="86"/>
    <w:family w:val="modern"/>
    <w:pitch w:val="default"/>
    <w:sig w:usb0="800002BF" w:usb1="38CF7CFA" w:usb2="00000016" w:usb3="00000000" w:csb0="00040001" w:csb1="00000000"/>
  </w:font>
  <w:font w:name="方正小标宋简体">
    <w:altName w:val="黑体"/>
    <w:panose1 w:val="00000000000000000000"/>
    <w:charset w:val="86"/>
    <w:family w:val="script"/>
    <w:pitch w:val="default"/>
    <w:sig w:usb0="00000000" w:usb1="0000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方正楷体_GB2312">
    <w:altName w:val="宋体"/>
    <w:panose1 w:val="00000000000000000000"/>
    <w:charset w:val="86"/>
    <w:family w:val="auto"/>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rPr>
                              <w:rFonts w:eastAsia="仿宋_GB2312" w:asciiTheme="minorEastAsia" w:hAnsiTheme="minorEastAsia" w:cstheme="minorEastAsia"/>
                              <w:sz w:val="28"/>
                              <w:szCs w:val="28"/>
                            </w:rPr>
                          </w:pPr>
                          <w:r>
                            <w:rPr>
                              <w:rFonts w:hint="eastAsia" w:eastAsia="仿宋_GB2312" w:asciiTheme="minorEastAsia" w:hAnsiTheme="minorEastAsia" w:cstheme="minorEastAsia"/>
                              <w:sz w:val="28"/>
                              <w:szCs w:val="28"/>
                            </w:rPr>
                            <w:t xml:space="preserve">— </w:t>
                          </w:r>
                          <w:r>
                            <w:rPr>
                              <w:rFonts w:hint="eastAsia" w:eastAsia="仿宋_GB2312" w:asciiTheme="minorEastAsia" w:hAnsiTheme="minorEastAsia" w:cstheme="minorEastAsia"/>
                              <w:sz w:val="28"/>
                              <w:szCs w:val="28"/>
                            </w:rPr>
                            <w:fldChar w:fldCharType="begin"/>
                          </w:r>
                          <w:r>
                            <w:rPr>
                              <w:rFonts w:hint="eastAsia" w:eastAsia="仿宋_GB2312" w:asciiTheme="minorEastAsia" w:hAnsiTheme="minorEastAsia" w:cstheme="minorEastAsia"/>
                              <w:sz w:val="28"/>
                              <w:szCs w:val="28"/>
                            </w:rPr>
                            <w:instrText xml:space="preserve"> PAGE  \* MERGEFORMAT </w:instrText>
                          </w:r>
                          <w:r>
                            <w:rPr>
                              <w:rFonts w:hint="eastAsia" w:eastAsia="仿宋_GB2312" w:asciiTheme="minorEastAsia" w:hAnsiTheme="minorEastAsia" w:cstheme="minorEastAsia"/>
                              <w:sz w:val="28"/>
                              <w:szCs w:val="28"/>
                            </w:rPr>
                            <w:fldChar w:fldCharType="separate"/>
                          </w:r>
                          <w:r>
                            <w:rPr>
                              <w:rFonts w:eastAsia="仿宋_GB2312" w:asciiTheme="minorEastAsia" w:hAnsiTheme="minorEastAsia" w:cstheme="minorEastAsia"/>
                              <w:sz w:val="28"/>
                              <w:szCs w:val="28"/>
                            </w:rPr>
                            <w:t>1</w:t>
                          </w:r>
                          <w:r>
                            <w:rPr>
                              <w:rFonts w:hint="eastAsia" w:eastAsia="仿宋_GB2312" w:asciiTheme="minorEastAsia" w:hAnsiTheme="minorEastAsia" w:cstheme="minorEastAsia"/>
                              <w:sz w:val="28"/>
                              <w:szCs w:val="28"/>
                            </w:rPr>
                            <w:fldChar w:fldCharType="end"/>
                          </w:r>
                          <w:r>
                            <w:rPr>
                              <w:rFonts w:hint="eastAsia" w:eastAsia="仿宋_GB2312"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9"/>
                      <w:rPr>
                        <w:rFonts w:eastAsia="仿宋_GB2312" w:asciiTheme="minorEastAsia" w:hAnsiTheme="minorEastAsia" w:cstheme="minorEastAsia"/>
                        <w:sz w:val="28"/>
                        <w:szCs w:val="28"/>
                      </w:rPr>
                    </w:pPr>
                    <w:r>
                      <w:rPr>
                        <w:rFonts w:hint="eastAsia" w:eastAsia="仿宋_GB2312" w:asciiTheme="minorEastAsia" w:hAnsiTheme="minorEastAsia" w:cstheme="minorEastAsia"/>
                        <w:sz w:val="28"/>
                        <w:szCs w:val="28"/>
                      </w:rPr>
                      <w:t xml:space="preserve">— </w:t>
                    </w:r>
                    <w:r>
                      <w:rPr>
                        <w:rFonts w:hint="eastAsia" w:eastAsia="仿宋_GB2312" w:asciiTheme="minorEastAsia" w:hAnsiTheme="minorEastAsia" w:cstheme="minorEastAsia"/>
                        <w:sz w:val="28"/>
                        <w:szCs w:val="28"/>
                      </w:rPr>
                      <w:fldChar w:fldCharType="begin"/>
                    </w:r>
                    <w:r>
                      <w:rPr>
                        <w:rFonts w:hint="eastAsia" w:eastAsia="仿宋_GB2312" w:asciiTheme="minorEastAsia" w:hAnsiTheme="minorEastAsia" w:cstheme="minorEastAsia"/>
                        <w:sz w:val="28"/>
                        <w:szCs w:val="28"/>
                      </w:rPr>
                      <w:instrText xml:space="preserve"> PAGE  \* MERGEFORMAT </w:instrText>
                    </w:r>
                    <w:r>
                      <w:rPr>
                        <w:rFonts w:hint="eastAsia" w:eastAsia="仿宋_GB2312" w:asciiTheme="minorEastAsia" w:hAnsiTheme="minorEastAsia" w:cstheme="minorEastAsia"/>
                        <w:sz w:val="28"/>
                        <w:szCs w:val="28"/>
                      </w:rPr>
                      <w:fldChar w:fldCharType="separate"/>
                    </w:r>
                    <w:r>
                      <w:rPr>
                        <w:rFonts w:eastAsia="仿宋_GB2312" w:asciiTheme="minorEastAsia" w:hAnsiTheme="minorEastAsia" w:cstheme="minorEastAsia"/>
                        <w:sz w:val="28"/>
                        <w:szCs w:val="28"/>
                      </w:rPr>
                      <w:t>1</w:t>
                    </w:r>
                    <w:r>
                      <w:rPr>
                        <w:rFonts w:hint="eastAsia" w:eastAsia="仿宋_GB2312" w:asciiTheme="minorEastAsia" w:hAnsiTheme="minorEastAsia" w:cstheme="minorEastAsia"/>
                        <w:sz w:val="28"/>
                        <w:szCs w:val="28"/>
                      </w:rPr>
                      <w:fldChar w:fldCharType="end"/>
                    </w:r>
                    <w:r>
                      <w:rPr>
                        <w:rFonts w:hint="eastAsia" w:eastAsia="仿宋_GB2312" w:asciiTheme="minorEastAsia" w:hAnsiTheme="minorEastAsia" w:cstheme="minorEastAsia"/>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documentProtection w:enforcement="0"/>
  <w:defaultTabStop w:val="720"/>
  <w:drawingGridVerticalSpacing w:val="193"/>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gyMjZhYWNjMGI5ZWMxZGYyOWIwMzYyNzQ0ZmQ0YTUifQ=="/>
  </w:docVars>
  <w:rsids>
    <w:rsidRoot w:val="00172A27"/>
    <w:rsid w:val="00000ED5"/>
    <w:rsid w:val="000070B7"/>
    <w:rsid w:val="00011330"/>
    <w:rsid w:val="00017144"/>
    <w:rsid w:val="00017B70"/>
    <w:rsid w:val="00024B72"/>
    <w:rsid w:val="000259CA"/>
    <w:rsid w:val="000259DE"/>
    <w:rsid w:val="00035884"/>
    <w:rsid w:val="00050A12"/>
    <w:rsid w:val="0005231B"/>
    <w:rsid w:val="00053162"/>
    <w:rsid w:val="00053EF0"/>
    <w:rsid w:val="00054D46"/>
    <w:rsid w:val="000561CF"/>
    <w:rsid w:val="000563B7"/>
    <w:rsid w:val="00057738"/>
    <w:rsid w:val="0006078F"/>
    <w:rsid w:val="00061A9C"/>
    <w:rsid w:val="00063512"/>
    <w:rsid w:val="000703A6"/>
    <w:rsid w:val="0007159E"/>
    <w:rsid w:val="000773E2"/>
    <w:rsid w:val="00082F50"/>
    <w:rsid w:val="00083DCF"/>
    <w:rsid w:val="000841E5"/>
    <w:rsid w:val="000A0666"/>
    <w:rsid w:val="000A200D"/>
    <w:rsid w:val="000A301C"/>
    <w:rsid w:val="000A3B5D"/>
    <w:rsid w:val="000B3174"/>
    <w:rsid w:val="000C004B"/>
    <w:rsid w:val="000C7710"/>
    <w:rsid w:val="000D1B93"/>
    <w:rsid w:val="000D346D"/>
    <w:rsid w:val="000D52CB"/>
    <w:rsid w:val="000F21FB"/>
    <w:rsid w:val="000F2735"/>
    <w:rsid w:val="000F6088"/>
    <w:rsid w:val="00101ECF"/>
    <w:rsid w:val="00102B3A"/>
    <w:rsid w:val="001036CC"/>
    <w:rsid w:val="00105F9B"/>
    <w:rsid w:val="00115660"/>
    <w:rsid w:val="00116125"/>
    <w:rsid w:val="00120C81"/>
    <w:rsid w:val="001244F5"/>
    <w:rsid w:val="00125498"/>
    <w:rsid w:val="001311F2"/>
    <w:rsid w:val="0014277F"/>
    <w:rsid w:val="00142B63"/>
    <w:rsid w:val="001436D8"/>
    <w:rsid w:val="00146E5C"/>
    <w:rsid w:val="00150537"/>
    <w:rsid w:val="0015076F"/>
    <w:rsid w:val="00151D51"/>
    <w:rsid w:val="00152A37"/>
    <w:rsid w:val="0016217B"/>
    <w:rsid w:val="001669B4"/>
    <w:rsid w:val="001679B5"/>
    <w:rsid w:val="00167C9A"/>
    <w:rsid w:val="00172A27"/>
    <w:rsid w:val="001747DA"/>
    <w:rsid w:val="0017642E"/>
    <w:rsid w:val="00176DEC"/>
    <w:rsid w:val="00177F14"/>
    <w:rsid w:val="0018619E"/>
    <w:rsid w:val="001927CD"/>
    <w:rsid w:val="00194CD1"/>
    <w:rsid w:val="00196E38"/>
    <w:rsid w:val="00197681"/>
    <w:rsid w:val="001A10C1"/>
    <w:rsid w:val="001A487E"/>
    <w:rsid w:val="001B2B50"/>
    <w:rsid w:val="001D195E"/>
    <w:rsid w:val="001D40B9"/>
    <w:rsid w:val="001D79CB"/>
    <w:rsid w:val="001D7E73"/>
    <w:rsid w:val="001F1DB3"/>
    <w:rsid w:val="001F2360"/>
    <w:rsid w:val="001F3214"/>
    <w:rsid w:val="00201C2D"/>
    <w:rsid w:val="00207AF5"/>
    <w:rsid w:val="00207EDA"/>
    <w:rsid w:val="00215BDF"/>
    <w:rsid w:val="00222DBD"/>
    <w:rsid w:val="0022676F"/>
    <w:rsid w:val="00226F74"/>
    <w:rsid w:val="00227F17"/>
    <w:rsid w:val="00240713"/>
    <w:rsid w:val="00245806"/>
    <w:rsid w:val="002533BA"/>
    <w:rsid w:val="0025427F"/>
    <w:rsid w:val="002549AC"/>
    <w:rsid w:val="00254C0C"/>
    <w:rsid w:val="00263B6F"/>
    <w:rsid w:val="00267245"/>
    <w:rsid w:val="00267735"/>
    <w:rsid w:val="0027485C"/>
    <w:rsid w:val="002750FB"/>
    <w:rsid w:val="00277205"/>
    <w:rsid w:val="0028475C"/>
    <w:rsid w:val="002864FC"/>
    <w:rsid w:val="0028652B"/>
    <w:rsid w:val="00286A4D"/>
    <w:rsid w:val="00292C0A"/>
    <w:rsid w:val="002935E7"/>
    <w:rsid w:val="002A397D"/>
    <w:rsid w:val="002A50CB"/>
    <w:rsid w:val="002A56DD"/>
    <w:rsid w:val="002A7F99"/>
    <w:rsid w:val="002B51AC"/>
    <w:rsid w:val="002C3DAB"/>
    <w:rsid w:val="002D2A20"/>
    <w:rsid w:val="002E3EA1"/>
    <w:rsid w:val="002E4303"/>
    <w:rsid w:val="002E4871"/>
    <w:rsid w:val="002F0CEB"/>
    <w:rsid w:val="002F274E"/>
    <w:rsid w:val="002F3144"/>
    <w:rsid w:val="002F3696"/>
    <w:rsid w:val="00310218"/>
    <w:rsid w:val="00315E17"/>
    <w:rsid w:val="00316F1D"/>
    <w:rsid w:val="00320F23"/>
    <w:rsid w:val="00321A87"/>
    <w:rsid w:val="00322763"/>
    <w:rsid w:val="00323B43"/>
    <w:rsid w:val="00332524"/>
    <w:rsid w:val="00335023"/>
    <w:rsid w:val="00336390"/>
    <w:rsid w:val="00337FA1"/>
    <w:rsid w:val="0034254F"/>
    <w:rsid w:val="003552FC"/>
    <w:rsid w:val="003607BF"/>
    <w:rsid w:val="00370AC8"/>
    <w:rsid w:val="00376D07"/>
    <w:rsid w:val="00381156"/>
    <w:rsid w:val="003902A9"/>
    <w:rsid w:val="0039500E"/>
    <w:rsid w:val="0039770A"/>
    <w:rsid w:val="003A5FDC"/>
    <w:rsid w:val="003B4EF7"/>
    <w:rsid w:val="003C1849"/>
    <w:rsid w:val="003C39E0"/>
    <w:rsid w:val="003C5669"/>
    <w:rsid w:val="003C7F5B"/>
    <w:rsid w:val="003D089F"/>
    <w:rsid w:val="003D1880"/>
    <w:rsid w:val="003D37D8"/>
    <w:rsid w:val="003D4CE1"/>
    <w:rsid w:val="003E0467"/>
    <w:rsid w:val="003E2E2C"/>
    <w:rsid w:val="003E76EB"/>
    <w:rsid w:val="003F0922"/>
    <w:rsid w:val="003F1E1A"/>
    <w:rsid w:val="003F7EBA"/>
    <w:rsid w:val="00400922"/>
    <w:rsid w:val="00410741"/>
    <w:rsid w:val="00413626"/>
    <w:rsid w:val="00415BF2"/>
    <w:rsid w:val="0042272F"/>
    <w:rsid w:val="004358AB"/>
    <w:rsid w:val="00437ED6"/>
    <w:rsid w:val="00447873"/>
    <w:rsid w:val="00455B33"/>
    <w:rsid w:val="00461F07"/>
    <w:rsid w:val="00463C4B"/>
    <w:rsid w:val="00465CD1"/>
    <w:rsid w:val="00467340"/>
    <w:rsid w:val="00471519"/>
    <w:rsid w:val="00471B3C"/>
    <w:rsid w:val="00480DAC"/>
    <w:rsid w:val="004920B2"/>
    <w:rsid w:val="00492E11"/>
    <w:rsid w:val="00497681"/>
    <w:rsid w:val="004A6417"/>
    <w:rsid w:val="004B3FDF"/>
    <w:rsid w:val="004C4040"/>
    <w:rsid w:val="004D18E0"/>
    <w:rsid w:val="004D1B93"/>
    <w:rsid w:val="004D22E4"/>
    <w:rsid w:val="004E0028"/>
    <w:rsid w:val="004F0C8F"/>
    <w:rsid w:val="004F3AF3"/>
    <w:rsid w:val="00501B79"/>
    <w:rsid w:val="005128C1"/>
    <w:rsid w:val="005273B7"/>
    <w:rsid w:val="00540C8B"/>
    <w:rsid w:val="005467E6"/>
    <w:rsid w:val="00551EDD"/>
    <w:rsid w:val="00554E57"/>
    <w:rsid w:val="00566016"/>
    <w:rsid w:val="00570836"/>
    <w:rsid w:val="005743C1"/>
    <w:rsid w:val="00582F8B"/>
    <w:rsid w:val="00585D5D"/>
    <w:rsid w:val="005A19DE"/>
    <w:rsid w:val="005A1A17"/>
    <w:rsid w:val="005A4F73"/>
    <w:rsid w:val="005A4FA0"/>
    <w:rsid w:val="005A5809"/>
    <w:rsid w:val="005A58F2"/>
    <w:rsid w:val="005B3A39"/>
    <w:rsid w:val="005C6CA9"/>
    <w:rsid w:val="005D0A97"/>
    <w:rsid w:val="005D6A0C"/>
    <w:rsid w:val="005E0A18"/>
    <w:rsid w:val="005E5C6C"/>
    <w:rsid w:val="005F3777"/>
    <w:rsid w:val="005F4BF2"/>
    <w:rsid w:val="005F7552"/>
    <w:rsid w:val="00603450"/>
    <w:rsid w:val="00605CB2"/>
    <w:rsid w:val="00611048"/>
    <w:rsid w:val="00612181"/>
    <w:rsid w:val="00614036"/>
    <w:rsid w:val="00623DBB"/>
    <w:rsid w:val="006335BF"/>
    <w:rsid w:val="00634A89"/>
    <w:rsid w:val="00647719"/>
    <w:rsid w:val="006507C7"/>
    <w:rsid w:val="00653632"/>
    <w:rsid w:val="00654B4C"/>
    <w:rsid w:val="00661930"/>
    <w:rsid w:val="00662D33"/>
    <w:rsid w:val="006632A0"/>
    <w:rsid w:val="006636A0"/>
    <w:rsid w:val="00671157"/>
    <w:rsid w:val="0068208B"/>
    <w:rsid w:val="00684593"/>
    <w:rsid w:val="00687D99"/>
    <w:rsid w:val="00693E2F"/>
    <w:rsid w:val="00697F64"/>
    <w:rsid w:val="006A4C11"/>
    <w:rsid w:val="006B14CE"/>
    <w:rsid w:val="006C0445"/>
    <w:rsid w:val="006C492B"/>
    <w:rsid w:val="006D25D1"/>
    <w:rsid w:val="006D3909"/>
    <w:rsid w:val="006E486E"/>
    <w:rsid w:val="006E613E"/>
    <w:rsid w:val="006E7C83"/>
    <w:rsid w:val="006F0314"/>
    <w:rsid w:val="007025AF"/>
    <w:rsid w:val="007230B7"/>
    <w:rsid w:val="00731E2B"/>
    <w:rsid w:val="00733709"/>
    <w:rsid w:val="00735A4D"/>
    <w:rsid w:val="00735E5C"/>
    <w:rsid w:val="00737FD6"/>
    <w:rsid w:val="00741605"/>
    <w:rsid w:val="007418EE"/>
    <w:rsid w:val="0076018C"/>
    <w:rsid w:val="00760B82"/>
    <w:rsid w:val="00765D82"/>
    <w:rsid w:val="00776D2A"/>
    <w:rsid w:val="007865D7"/>
    <w:rsid w:val="0079339E"/>
    <w:rsid w:val="00793908"/>
    <w:rsid w:val="007945FB"/>
    <w:rsid w:val="00797BA9"/>
    <w:rsid w:val="007A6CD1"/>
    <w:rsid w:val="007A78D8"/>
    <w:rsid w:val="007A7A4E"/>
    <w:rsid w:val="007B058B"/>
    <w:rsid w:val="007B1B46"/>
    <w:rsid w:val="007B1FD8"/>
    <w:rsid w:val="007B28BE"/>
    <w:rsid w:val="007B3B87"/>
    <w:rsid w:val="007B433B"/>
    <w:rsid w:val="007C5C97"/>
    <w:rsid w:val="007C700C"/>
    <w:rsid w:val="007C7941"/>
    <w:rsid w:val="007C7D84"/>
    <w:rsid w:val="007F55EF"/>
    <w:rsid w:val="008077E8"/>
    <w:rsid w:val="00812143"/>
    <w:rsid w:val="00815399"/>
    <w:rsid w:val="00817D29"/>
    <w:rsid w:val="00823D45"/>
    <w:rsid w:val="0083001F"/>
    <w:rsid w:val="00830DCF"/>
    <w:rsid w:val="008373F4"/>
    <w:rsid w:val="0083769A"/>
    <w:rsid w:val="008420D6"/>
    <w:rsid w:val="00845509"/>
    <w:rsid w:val="008477AE"/>
    <w:rsid w:val="00850B8C"/>
    <w:rsid w:val="0086794D"/>
    <w:rsid w:val="00875681"/>
    <w:rsid w:val="00876B0C"/>
    <w:rsid w:val="008770EC"/>
    <w:rsid w:val="00884E41"/>
    <w:rsid w:val="00884F5B"/>
    <w:rsid w:val="00890ADD"/>
    <w:rsid w:val="00893E73"/>
    <w:rsid w:val="008A109C"/>
    <w:rsid w:val="008A2CFF"/>
    <w:rsid w:val="008B1F6A"/>
    <w:rsid w:val="008B5F46"/>
    <w:rsid w:val="008B6433"/>
    <w:rsid w:val="008B7726"/>
    <w:rsid w:val="008C0FFD"/>
    <w:rsid w:val="008D527C"/>
    <w:rsid w:val="008E2643"/>
    <w:rsid w:val="008F39F4"/>
    <w:rsid w:val="0090423E"/>
    <w:rsid w:val="00906244"/>
    <w:rsid w:val="00914361"/>
    <w:rsid w:val="00916F25"/>
    <w:rsid w:val="00926314"/>
    <w:rsid w:val="0093546E"/>
    <w:rsid w:val="00944917"/>
    <w:rsid w:val="00957EEA"/>
    <w:rsid w:val="009609D1"/>
    <w:rsid w:val="00960A44"/>
    <w:rsid w:val="0096557E"/>
    <w:rsid w:val="00972DAD"/>
    <w:rsid w:val="00975669"/>
    <w:rsid w:val="00975B0D"/>
    <w:rsid w:val="00984739"/>
    <w:rsid w:val="00987986"/>
    <w:rsid w:val="009A453E"/>
    <w:rsid w:val="009C34A8"/>
    <w:rsid w:val="009C3FBD"/>
    <w:rsid w:val="009C75C1"/>
    <w:rsid w:val="009D1754"/>
    <w:rsid w:val="009D2793"/>
    <w:rsid w:val="009E73E8"/>
    <w:rsid w:val="009F0A31"/>
    <w:rsid w:val="009F23D9"/>
    <w:rsid w:val="009F6A91"/>
    <w:rsid w:val="009F6D81"/>
    <w:rsid w:val="00A02762"/>
    <w:rsid w:val="00A04B36"/>
    <w:rsid w:val="00A054AD"/>
    <w:rsid w:val="00A10984"/>
    <w:rsid w:val="00A12248"/>
    <w:rsid w:val="00A12BB6"/>
    <w:rsid w:val="00A16A1A"/>
    <w:rsid w:val="00A16D98"/>
    <w:rsid w:val="00A1792D"/>
    <w:rsid w:val="00A24B0D"/>
    <w:rsid w:val="00A26390"/>
    <w:rsid w:val="00A27C16"/>
    <w:rsid w:val="00A312FF"/>
    <w:rsid w:val="00A313BB"/>
    <w:rsid w:val="00A315D5"/>
    <w:rsid w:val="00A33A15"/>
    <w:rsid w:val="00A35725"/>
    <w:rsid w:val="00A3776C"/>
    <w:rsid w:val="00A46191"/>
    <w:rsid w:val="00A51E2C"/>
    <w:rsid w:val="00A562A1"/>
    <w:rsid w:val="00A566BE"/>
    <w:rsid w:val="00A6137E"/>
    <w:rsid w:val="00A64451"/>
    <w:rsid w:val="00A6471E"/>
    <w:rsid w:val="00A661E7"/>
    <w:rsid w:val="00A7024B"/>
    <w:rsid w:val="00A73DB1"/>
    <w:rsid w:val="00A74193"/>
    <w:rsid w:val="00A77C42"/>
    <w:rsid w:val="00A77F72"/>
    <w:rsid w:val="00A805DC"/>
    <w:rsid w:val="00A805F4"/>
    <w:rsid w:val="00A835E5"/>
    <w:rsid w:val="00A9518E"/>
    <w:rsid w:val="00AA66AE"/>
    <w:rsid w:val="00AB56CA"/>
    <w:rsid w:val="00AB6A18"/>
    <w:rsid w:val="00AC1BBB"/>
    <w:rsid w:val="00AD4EF1"/>
    <w:rsid w:val="00AD68B0"/>
    <w:rsid w:val="00AE5FA4"/>
    <w:rsid w:val="00AE7186"/>
    <w:rsid w:val="00AF09BB"/>
    <w:rsid w:val="00AF1FF8"/>
    <w:rsid w:val="00B07716"/>
    <w:rsid w:val="00B10CB4"/>
    <w:rsid w:val="00B16ABB"/>
    <w:rsid w:val="00B22F62"/>
    <w:rsid w:val="00B25B95"/>
    <w:rsid w:val="00B26470"/>
    <w:rsid w:val="00B32BC9"/>
    <w:rsid w:val="00B33D46"/>
    <w:rsid w:val="00B34889"/>
    <w:rsid w:val="00B465C4"/>
    <w:rsid w:val="00B52663"/>
    <w:rsid w:val="00B560A8"/>
    <w:rsid w:val="00B61024"/>
    <w:rsid w:val="00B6389F"/>
    <w:rsid w:val="00B664D0"/>
    <w:rsid w:val="00B70714"/>
    <w:rsid w:val="00B7300E"/>
    <w:rsid w:val="00B75B3A"/>
    <w:rsid w:val="00B77657"/>
    <w:rsid w:val="00B95939"/>
    <w:rsid w:val="00B979B8"/>
    <w:rsid w:val="00BA22FF"/>
    <w:rsid w:val="00BA6F35"/>
    <w:rsid w:val="00BA6FAA"/>
    <w:rsid w:val="00BB03FA"/>
    <w:rsid w:val="00BB171F"/>
    <w:rsid w:val="00BB69F7"/>
    <w:rsid w:val="00BC42D9"/>
    <w:rsid w:val="00BC5FB3"/>
    <w:rsid w:val="00BD0C69"/>
    <w:rsid w:val="00BD7365"/>
    <w:rsid w:val="00BE3F7D"/>
    <w:rsid w:val="00BE5943"/>
    <w:rsid w:val="00BE7F05"/>
    <w:rsid w:val="00BF0107"/>
    <w:rsid w:val="00C13D80"/>
    <w:rsid w:val="00C14FD5"/>
    <w:rsid w:val="00C15476"/>
    <w:rsid w:val="00C17F20"/>
    <w:rsid w:val="00C24AA7"/>
    <w:rsid w:val="00C2649C"/>
    <w:rsid w:val="00C374E6"/>
    <w:rsid w:val="00C40A51"/>
    <w:rsid w:val="00C55BD6"/>
    <w:rsid w:val="00C63B84"/>
    <w:rsid w:val="00C66B9F"/>
    <w:rsid w:val="00C67134"/>
    <w:rsid w:val="00C70122"/>
    <w:rsid w:val="00C7227B"/>
    <w:rsid w:val="00C72420"/>
    <w:rsid w:val="00C75C0C"/>
    <w:rsid w:val="00C83313"/>
    <w:rsid w:val="00C83B64"/>
    <w:rsid w:val="00C94411"/>
    <w:rsid w:val="00C94A83"/>
    <w:rsid w:val="00C97E90"/>
    <w:rsid w:val="00CA21A2"/>
    <w:rsid w:val="00CA613C"/>
    <w:rsid w:val="00CB0082"/>
    <w:rsid w:val="00CB05B8"/>
    <w:rsid w:val="00CB0CB1"/>
    <w:rsid w:val="00CB20FD"/>
    <w:rsid w:val="00CB2A9A"/>
    <w:rsid w:val="00CB2D67"/>
    <w:rsid w:val="00CC1397"/>
    <w:rsid w:val="00CC1B11"/>
    <w:rsid w:val="00CC509A"/>
    <w:rsid w:val="00CE6242"/>
    <w:rsid w:val="00CE71EE"/>
    <w:rsid w:val="00CF2EC4"/>
    <w:rsid w:val="00D05C46"/>
    <w:rsid w:val="00D14621"/>
    <w:rsid w:val="00D22AED"/>
    <w:rsid w:val="00D246D7"/>
    <w:rsid w:val="00D329D9"/>
    <w:rsid w:val="00D33369"/>
    <w:rsid w:val="00D4154E"/>
    <w:rsid w:val="00D446BE"/>
    <w:rsid w:val="00D46A70"/>
    <w:rsid w:val="00D50114"/>
    <w:rsid w:val="00D50F77"/>
    <w:rsid w:val="00D536F4"/>
    <w:rsid w:val="00D5688E"/>
    <w:rsid w:val="00D630AC"/>
    <w:rsid w:val="00D6518F"/>
    <w:rsid w:val="00D734A6"/>
    <w:rsid w:val="00D747B6"/>
    <w:rsid w:val="00D7571F"/>
    <w:rsid w:val="00D8048D"/>
    <w:rsid w:val="00D85CCE"/>
    <w:rsid w:val="00D913CA"/>
    <w:rsid w:val="00DA4ABE"/>
    <w:rsid w:val="00DB47FC"/>
    <w:rsid w:val="00DC1265"/>
    <w:rsid w:val="00DC17F7"/>
    <w:rsid w:val="00DC3F16"/>
    <w:rsid w:val="00DC7C52"/>
    <w:rsid w:val="00DD50D8"/>
    <w:rsid w:val="00DE08C8"/>
    <w:rsid w:val="00DE6EE2"/>
    <w:rsid w:val="00DE76E7"/>
    <w:rsid w:val="00DF2DCE"/>
    <w:rsid w:val="00E00345"/>
    <w:rsid w:val="00E01725"/>
    <w:rsid w:val="00E11CCF"/>
    <w:rsid w:val="00E166C1"/>
    <w:rsid w:val="00E1750B"/>
    <w:rsid w:val="00E214E6"/>
    <w:rsid w:val="00E2729A"/>
    <w:rsid w:val="00E31929"/>
    <w:rsid w:val="00E34ADA"/>
    <w:rsid w:val="00E43956"/>
    <w:rsid w:val="00E51685"/>
    <w:rsid w:val="00E70D80"/>
    <w:rsid w:val="00E77191"/>
    <w:rsid w:val="00E80673"/>
    <w:rsid w:val="00E9600F"/>
    <w:rsid w:val="00E97248"/>
    <w:rsid w:val="00EA59EB"/>
    <w:rsid w:val="00EA6726"/>
    <w:rsid w:val="00EA6A9A"/>
    <w:rsid w:val="00EB15FF"/>
    <w:rsid w:val="00EB2F56"/>
    <w:rsid w:val="00EB423A"/>
    <w:rsid w:val="00EC0151"/>
    <w:rsid w:val="00EC02A3"/>
    <w:rsid w:val="00ED5DB7"/>
    <w:rsid w:val="00ED7257"/>
    <w:rsid w:val="00EF162C"/>
    <w:rsid w:val="00EF523E"/>
    <w:rsid w:val="00F00836"/>
    <w:rsid w:val="00F01079"/>
    <w:rsid w:val="00F01FAE"/>
    <w:rsid w:val="00F0356F"/>
    <w:rsid w:val="00F0456F"/>
    <w:rsid w:val="00F04939"/>
    <w:rsid w:val="00F06E88"/>
    <w:rsid w:val="00F114CF"/>
    <w:rsid w:val="00F1383D"/>
    <w:rsid w:val="00F1754A"/>
    <w:rsid w:val="00F2453C"/>
    <w:rsid w:val="00F2731A"/>
    <w:rsid w:val="00F376A4"/>
    <w:rsid w:val="00F40174"/>
    <w:rsid w:val="00F54647"/>
    <w:rsid w:val="00F55513"/>
    <w:rsid w:val="00F564BB"/>
    <w:rsid w:val="00F62517"/>
    <w:rsid w:val="00F63AFA"/>
    <w:rsid w:val="00F668AB"/>
    <w:rsid w:val="00FA131E"/>
    <w:rsid w:val="00FB0D57"/>
    <w:rsid w:val="00FB74FE"/>
    <w:rsid w:val="00FC26B3"/>
    <w:rsid w:val="00FC48A9"/>
    <w:rsid w:val="00FD53B4"/>
    <w:rsid w:val="00FD6CC3"/>
    <w:rsid w:val="00FE7E60"/>
    <w:rsid w:val="00FF7295"/>
    <w:rsid w:val="00FF72AE"/>
    <w:rsid w:val="012857E7"/>
    <w:rsid w:val="0131051F"/>
    <w:rsid w:val="01442EB6"/>
    <w:rsid w:val="01523961"/>
    <w:rsid w:val="017C0CA2"/>
    <w:rsid w:val="018A43A9"/>
    <w:rsid w:val="01A230AD"/>
    <w:rsid w:val="01D73699"/>
    <w:rsid w:val="01DF0A39"/>
    <w:rsid w:val="02074F4C"/>
    <w:rsid w:val="0223595E"/>
    <w:rsid w:val="027226BC"/>
    <w:rsid w:val="028159BC"/>
    <w:rsid w:val="02B62491"/>
    <w:rsid w:val="02C21989"/>
    <w:rsid w:val="02CE44AB"/>
    <w:rsid w:val="02D4096F"/>
    <w:rsid w:val="02E10299"/>
    <w:rsid w:val="02EB4A68"/>
    <w:rsid w:val="035F6E5E"/>
    <w:rsid w:val="039B478C"/>
    <w:rsid w:val="03A836DD"/>
    <w:rsid w:val="03AD13DF"/>
    <w:rsid w:val="03BC2B42"/>
    <w:rsid w:val="03DA5C96"/>
    <w:rsid w:val="03FD0810"/>
    <w:rsid w:val="04014F8B"/>
    <w:rsid w:val="04596A3D"/>
    <w:rsid w:val="04813D3B"/>
    <w:rsid w:val="04926DC8"/>
    <w:rsid w:val="04C231AD"/>
    <w:rsid w:val="04E13792"/>
    <w:rsid w:val="05115955"/>
    <w:rsid w:val="05203D43"/>
    <w:rsid w:val="053900A5"/>
    <w:rsid w:val="053B0840"/>
    <w:rsid w:val="053E59AC"/>
    <w:rsid w:val="054351E7"/>
    <w:rsid w:val="05480DEF"/>
    <w:rsid w:val="057043C9"/>
    <w:rsid w:val="058E533F"/>
    <w:rsid w:val="05980339"/>
    <w:rsid w:val="05CB5FC0"/>
    <w:rsid w:val="05CB6F9A"/>
    <w:rsid w:val="0605713F"/>
    <w:rsid w:val="065C7938"/>
    <w:rsid w:val="06883B57"/>
    <w:rsid w:val="06C13ADF"/>
    <w:rsid w:val="06C52083"/>
    <w:rsid w:val="06E26F43"/>
    <w:rsid w:val="07120E94"/>
    <w:rsid w:val="07212DFD"/>
    <w:rsid w:val="07267D2D"/>
    <w:rsid w:val="074A2176"/>
    <w:rsid w:val="075C722D"/>
    <w:rsid w:val="07741EA0"/>
    <w:rsid w:val="079A3950"/>
    <w:rsid w:val="079F7AAF"/>
    <w:rsid w:val="07AC17D3"/>
    <w:rsid w:val="07BE1610"/>
    <w:rsid w:val="07C61666"/>
    <w:rsid w:val="07ED1008"/>
    <w:rsid w:val="080A2839"/>
    <w:rsid w:val="080A322F"/>
    <w:rsid w:val="084862FA"/>
    <w:rsid w:val="084F3D57"/>
    <w:rsid w:val="085352B9"/>
    <w:rsid w:val="088E5A97"/>
    <w:rsid w:val="08A02A54"/>
    <w:rsid w:val="08A95C19"/>
    <w:rsid w:val="08C40079"/>
    <w:rsid w:val="08E77C01"/>
    <w:rsid w:val="092F02B8"/>
    <w:rsid w:val="09307D29"/>
    <w:rsid w:val="093A75D3"/>
    <w:rsid w:val="09404ECE"/>
    <w:rsid w:val="095B684B"/>
    <w:rsid w:val="096F08E2"/>
    <w:rsid w:val="09861BDF"/>
    <w:rsid w:val="09A47BEA"/>
    <w:rsid w:val="09AF158A"/>
    <w:rsid w:val="09D635A5"/>
    <w:rsid w:val="0A39430A"/>
    <w:rsid w:val="0A6956F5"/>
    <w:rsid w:val="0A7609E8"/>
    <w:rsid w:val="0A7B530B"/>
    <w:rsid w:val="0A941A1B"/>
    <w:rsid w:val="0A9C5395"/>
    <w:rsid w:val="0A9F0892"/>
    <w:rsid w:val="0AB06E72"/>
    <w:rsid w:val="0ABA3F3A"/>
    <w:rsid w:val="0AEE6D11"/>
    <w:rsid w:val="0B23042C"/>
    <w:rsid w:val="0B4628B6"/>
    <w:rsid w:val="0B6528EE"/>
    <w:rsid w:val="0B891E18"/>
    <w:rsid w:val="0B8B5465"/>
    <w:rsid w:val="0C477B98"/>
    <w:rsid w:val="0C714E7B"/>
    <w:rsid w:val="0C9E1726"/>
    <w:rsid w:val="0CE33A41"/>
    <w:rsid w:val="0D160F7C"/>
    <w:rsid w:val="0D226767"/>
    <w:rsid w:val="0D433B59"/>
    <w:rsid w:val="0D723A4A"/>
    <w:rsid w:val="0DFB67DD"/>
    <w:rsid w:val="0E093665"/>
    <w:rsid w:val="0E2B5177"/>
    <w:rsid w:val="0E3841AD"/>
    <w:rsid w:val="0E4D148A"/>
    <w:rsid w:val="0E5B6175"/>
    <w:rsid w:val="0E5E5883"/>
    <w:rsid w:val="0EB274AB"/>
    <w:rsid w:val="0EB57CFB"/>
    <w:rsid w:val="0EE317FD"/>
    <w:rsid w:val="0EEF2062"/>
    <w:rsid w:val="0F054E25"/>
    <w:rsid w:val="0F107BD6"/>
    <w:rsid w:val="0F1C402B"/>
    <w:rsid w:val="0F1D0AE2"/>
    <w:rsid w:val="0F291D86"/>
    <w:rsid w:val="0F3C7DD2"/>
    <w:rsid w:val="0F433609"/>
    <w:rsid w:val="0F4D3166"/>
    <w:rsid w:val="0F4F7C41"/>
    <w:rsid w:val="0F9C1D81"/>
    <w:rsid w:val="0FAC3DBC"/>
    <w:rsid w:val="0FAD3D02"/>
    <w:rsid w:val="0FAD5875"/>
    <w:rsid w:val="0FE93919"/>
    <w:rsid w:val="100C5598"/>
    <w:rsid w:val="105204B8"/>
    <w:rsid w:val="106A5434"/>
    <w:rsid w:val="10843FD2"/>
    <w:rsid w:val="108B0B64"/>
    <w:rsid w:val="109A1811"/>
    <w:rsid w:val="10E76B55"/>
    <w:rsid w:val="11082BA5"/>
    <w:rsid w:val="11134FF2"/>
    <w:rsid w:val="11437B70"/>
    <w:rsid w:val="118E4025"/>
    <w:rsid w:val="11A2352E"/>
    <w:rsid w:val="11B61E87"/>
    <w:rsid w:val="11BA429F"/>
    <w:rsid w:val="11E24585"/>
    <w:rsid w:val="11F82A1E"/>
    <w:rsid w:val="12054CA0"/>
    <w:rsid w:val="12151D1C"/>
    <w:rsid w:val="121D7335"/>
    <w:rsid w:val="12237F65"/>
    <w:rsid w:val="124F37E6"/>
    <w:rsid w:val="125F0F73"/>
    <w:rsid w:val="1290396F"/>
    <w:rsid w:val="12BA7CF7"/>
    <w:rsid w:val="1349433C"/>
    <w:rsid w:val="134E1885"/>
    <w:rsid w:val="13581F3A"/>
    <w:rsid w:val="13643351"/>
    <w:rsid w:val="13692338"/>
    <w:rsid w:val="137F3B28"/>
    <w:rsid w:val="14001D97"/>
    <w:rsid w:val="143F31A8"/>
    <w:rsid w:val="14886563"/>
    <w:rsid w:val="14A642D8"/>
    <w:rsid w:val="14AC03E3"/>
    <w:rsid w:val="14CF344F"/>
    <w:rsid w:val="14CF61D3"/>
    <w:rsid w:val="14E77A23"/>
    <w:rsid w:val="14EE0A02"/>
    <w:rsid w:val="14F62CE9"/>
    <w:rsid w:val="150A0162"/>
    <w:rsid w:val="151C505B"/>
    <w:rsid w:val="159A2DB0"/>
    <w:rsid w:val="15EC3E82"/>
    <w:rsid w:val="160917A2"/>
    <w:rsid w:val="16100BD3"/>
    <w:rsid w:val="16247997"/>
    <w:rsid w:val="164170D1"/>
    <w:rsid w:val="164912DD"/>
    <w:rsid w:val="1652719C"/>
    <w:rsid w:val="167A265F"/>
    <w:rsid w:val="1689149B"/>
    <w:rsid w:val="16903675"/>
    <w:rsid w:val="169C5992"/>
    <w:rsid w:val="16A028AA"/>
    <w:rsid w:val="16A204FC"/>
    <w:rsid w:val="16C84650"/>
    <w:rsid w:val="16F268EB"/>
    <w:rsid w:val="170857A4"/>
    <w:rsid w:val="170F20EB"/>
    <w:rsid w:val="171E083D"/>
    <w:rsid w:val="172C71DC"/>
    <w:rsid w:val="173C5E73"/>
    <w:rsid w:val="174B2097"/>
    <w:rsid w:val="1757494F"/>
    <w:rsid w:val="178B1C91"/>
    <w:rsid w:val="17CB2FD0"/>
    <w:rsid w:val="17D53717"/>
    <w:rsid w:val="17E15CE9"/>
    <w:rsid w:val="17EC65C8"/>
    <w:rsid w:val="17EE1398"/>
    <w:rsid w:val="180F635E"/>
    <w:rsid w:val="181675A3"/>
    <w:rsid w:val="182F5A67"/>
    <w:rsid w:val="1861021C"/>
    <w:rsid w:val="1868645E"/>
    <w:rsid w:val="186C040F"/>
    <w:rsid w:val="1878720E"/>
    <w:rsid w:val="189B7163"/>
    <w:rsid w:val="18B53F1A"/>
    <w:rsid w:val="18C20F9D"/>
    <w:rsid w:val="18F15F86"/>
    <w:rsid w:val="18FC3CB3"/>
    <w:rsid w:val="191E759C"/>
    <w:rsid w:val="1926192B"/>
    <w:rsid w:val="195774C0"/>
    <w:rsid w:val="19653680"/>
    <w:rsid w:val="19681069"/>
    <w:rsid w:val="19764654"/>
    <w:rsid w:val="19964D4D"/>
    <w:rsid w:val="19B3508E"/>
    <w:rsid w:val="19B45578"/>
    <w:rsid w:val="19C83998"/>
    <w:rsid w:val="19CD45C3"/>
    <w:rsid w:val="19F7618E"/>
    <w:rsid w:val="1A0C0DAF"/>
    <w:rsid w:val="1A3C7780"/>
    <w:rsid w:val="1A772D20"/>
    <w:rsid w:val="1A851399"/>
    <w:rsid w:val="1A98448B"/>
    <w:rsid w:val="1A9B51F4"/>
    <w:rsid w:val="1AB61F5D"/>
    <w:rsid w:val="1AF56DF6"/>
    <w:rsid w:val="1B1677ED"/>
    <w:rsid w:val="1B2C58A1"/>
    <w:rsid w:val="1B3740D4"/>
    <w:rsid w:val="1B4265F8"/>
    <w:rsid w:val="1B6D0622"/>
    <w:rsid w:val="1B837A78"/>
    <w:rsid w:val="1BA224CA"/>
    <w:rsid w:val="1C271DF6"/>
    <w:rsid w:val="1C2B57A6"/>
    <w:rsid w:val="1C490AA8"/>
    <w:rsid w:val="1C4D77CF"/>
    <w:rsid w:val="1C672F0C"/>
    <w:rsid w:val="1C743C51"/>
    <w:rsid w:val="1C987371"/>
    <w:rsid w:val="1CC76229"/>
    <w:rsid w:val="1CCF5A4C"/>
    <w:rsid w:val="1CFA67E1"/>
    <w:rsid w:val="1CFF3F12"/>
    <w:rsid w:val="1D0F611F"/>
    <w:rsid w:val="1D6420AE"/>
    <w:rsid w:val="1D6F291A"/>
    <w:rsid w:val="1D6F6B83"/>
    <w:rsid w:val="1D706E21"/>
    <w:rsid w:val="1D740090"/>
    <w:rsid w:val="1D9236BA"/>
    <w:rsid w:val="1DCE5DA3"/>
    <w:rsid w:val="1E1B114A"/>
    <w:rsid w:val="1E342633"/>
    <w:rsid w:val="1E846B4C"/>
    <w:rsid w:val="1EB56BA5"/>
    <w:rsid w:val="1F4A6635"/>
    <w:rsid w:val="1F5107DE"/>
    <w:rsid w:val="1F58664D"/>
    <w:rsid w:val="1F8E13F0"/>
    <w:rsid w:val="1F934E70"/>
    <w:rsid w:val="1FD30D0B"/>
    <w:rsid w:val="1FEE5081"/>
    <w:rsid w:val="200510C0"/>
    <w:rsid w:val="203B0DBF"/>
    <w:rsid w:val="20461443"/>
    <w:rsid w:val="206A29E0"/>
    <w:rsid w:val="206D0879"/>
    <w:rsid w:val="208B440A"/>
    <w:rsid w:val="20C30214"/>
    <w:rsid w:val="20CC3374"/>
    <w:rsid w:val="20D5206E"/>
    <w:rsid w:val="20E60293"/>
    <w:rsid w:val="20E84F8C"/>
    <w:rsid w:val="21054CDE"/>
    <w:rsid w:val="210643B2"/>
    <w:rsid w:val="21432554"/>
    <w:rsid w:val="21477297"/>
    <w:rsid w:val="21601035"/>
    <w:rsid w:val="21757154"/>
    <w:rsid w:val="21CB1492"/>
    <w:rsid w:val="21D562AB"/>
    <w:rsid w:val="223B33D6"/>
    <w:rsid w:val="225C25FC"/>
    <w:rsid w:val="227822E2"/>
    <w:rsid w:val="22836E3B"/>
    <w:rsid w:val="22891D2E"/>
    <w:rsid w:val="22AE3F4C"/>
    <w:rsid w:val="22B2307D"/>
    <w:rsid w:val="22D20423"/>
    <w:rsid w:val="22D51792"/>
    <w:rsid w:val="23034740"/>
    <w:rsid w:val="234148BE"/>
    <w:rsid w:val="23495284"/>
    <w:rsid w:val="237F3A35"/>
    <w:rsid w:val="238D36D4"/>
    <w:rsid w:val="2397357F"/>
    <w:rsid w:val="23C80DCA"/>
    <w:rsid w:val="23F34A1C"/>
    <w:rsid w:val="24060D10"/>
    <w:rsid w:val="24071193"/>
    <w:rsid w:val="24073418"/>
    <w:rsid w:val="240C3B81"/>
    <w:rsid w:val="241D06C9"/>
    <w:rsid w:val="246B03B4"/>
    <w:rsid w:val="246C7B0B"/>
    <w:rsid w:val="24714E71"/>
    <w:rsid w:val="24904BF7"/>
    <w:rsid w:val="249C4758"/>
    <w:rsid w:val="249F220C"/>
    <w:rsid w:val="24BD40CB"/>
    <w:rsid w:val="24C01E03"/>
    <w:rsid w:val="24C03004"/>
    <w:rsid w:val="252A7C32"/>
    <w:rsid w:val="256704AE"/>
    <w:rsid w:val="25882E6F"/>
    <w:rsid w:val="25925FEC"/>
    <w:rsid w:val="259507F1"/>
    <w:rsid w:val="25B37AB6"/>
    <w:rsid w:val="25CF62E0"/>
    <w:rsid w:val="25D910E0"/>
    <w:rsid w:val="25FF1956"/>
    <w:rsid w:val="261776A5"/>
    <w:rsid w:val="264D052C"/>
    <w:rsid w:val="264D6E4E"/>
    <w:rsid w:val="26595CBD"/>
    <w:rsid w:val="266445CD"/>
    <w:rsid w:val="26766FBC"/>
    <w:rsid w:val="26783FCD"/>
    <w:rsid w:val="269334CF"/>
    <w:rsid w:val="271518C2"/>
    <w:rsid w:val="271C0115"/>
    <w:rsid w:val="2731396F"/>
    <w:rsid w:val="2748326B"/>
    <w:rsid w:val="27506257"/>
    <w:rsid w:val="278C1B24"/>
    <w:rsid w:val="278F2616"/>
    <w:rsid w:val="27C57E20"/>
    <w:rsid w:val="27F43D60"/>
    <w:rsid w:val="280458B5"/>
    <w:rsid w:val="282D4CDB"/>
    <w:rsid w:val="28321439"/>
    <w:rsid w:val="284D563F"/>
    <w:rsid w:val="28AA2C79"/>
    <w:rsid w:val="28B31497"/>
    <w:rsid w:val="28C8501A"/>
    <w:rsid w:val="28D67AD0"/>
    <w:rsid w:val="28DA096F"/>
    <w:rsid w:val="28DF0428"/>
    <w:rsid w:val="28FF31E0"/>
    <w:rsid w:val="2916765C"/>
    <w:rsid w:val="29416969"/>
    <w:rsid w:val="294C544F"/>
    <w:rsid w:val="29553905"/>
    <w:rsid w:val="29577587"/>
    <w:rsid w:val="296547FE"/>
    <w:rsid w:val="29752D26"/>
    <w:rsid w:val="297D0810"/>
    <w:rsid w:val="299312B8"/>
    <w:rsid w:val="29EA7F32"/>
    <w:rsid w:val="2A140B5A"/>
    <w:rsid w:val="2A2835F6"/>
    <w:rsid w:val="2A2E2F3B"/>
    <w:rsid w:val="2A346C85"/>
    <w:rsid w:val="2A7168C1"/>
    <w:rsid w:val="2A7B0636"/>
    <w:rsid w:val="2A8969CD"/>
    <w:rsid w:val="2AA05E85"/>
    <w:rsid w:val="2AC41DA7"/>
    <w:rsid w:val="2AE5231C"/>
    <w:rsid w:val="2AE9128B"/>
    <w:rsid w:val="2AF76692"/>
    <w:rsid w:val="2B133060"/>
    <w:rsid w:val="2B2664D1"/>
    <w:rsid w:val="2B530D35"/>
    <w:rsid w:val="2B597212"/>
    <w:rsid w:val="2B7C6E27"/>
    <w:rsid w:val="2BA90610"/>
    <w:rsid w:val="2BCC06AC"/>
    <w:rsid w:val="2BD81427"/>
    <w:rsid w:val="2BD92F8D"/>
    <w:rsid w:val="2C020AD5"/>
    <w:rsid w:val="2C174FB0"/>
    <w:rsid w:val="2C2339F0"/>
    <w:rsid w:val="2C360E4A"/>
    <w:rsid w:val="2C5639D3"/>
    <w:rsid w:val="2C7769C4"/>
    <w:rsid w:val="2C967A81"/>
    <w:rsid w:val="2CA91BA3"/>
    <w:rsid w:val="2CAA5403"/>
    <w:rsid w:val="2CB512DA"/>
    <w:rsid w:val="2CD8471C"/>
    <w:rsid w:val="2CF75E82"/>
    <w:rsid w:val="2D006473"/>
    <w:rsid w:val="2D1E4BFF"/>
    <w:rsid w:val="2D3414BB"/>
    <w:rsid w:val="2D411BAE"/>
    <w:rsid w:val="2D494ADE"/>
    <w:rsid w:val="2D4F2B7B"/>
    <w:rsid w:val="2D5B483D"/>
    <w:rsid w:val="2D5F39CF"/>
    <w:rsid w:val="2D6836E1"/>
    <w:rsid w:val="2D6C7E4F"/>
    <w:rsid w:val="2D9558EE"/>
    <w:rsid w:val="2DAE422D"/>
    <w:rsid w:val="2DC30CE5"/>
    <w:rsid w:val="2DF53D51"/>
    <w:rsid w:val="2E1D2434"/>
    <w:rsid w:val="2E231BC8"/>
    <w:rsid w:val="2E2D4615"/>
    <w:rsid w:val="2E3002C2"/>
    <w:rsid w:val="2E3F0E33"/>
    <w:rsid w:val="2E4A5AB5"/>
    <w:rsid w:val="2E677379"/>
    <w:rsid w:val="2E7227E8"/>
    <w:rsid w:val="2EAB0CAE"/>
    <w:rsid w:val="2EE10CD8"/>
    <w:rsid w:val="2EF74243"/>
    <w:rsid w:val="2F1466A1"/>
    <w:rsid w:val="2F4C45C5"/>
    <w:rsid w:val="2F636B2C"/>
    <w:rsid w:val="2F8801B2"/>
    <w:rsid w:val="2F8B1B92"/>
    <w:rsid w:val="2FB32B9D"/>
    <w:rsid w:val="2FB952D3"/>
    <w:rsid w:val="2FBB1FB6"/>
    <w:rsid w:val="2FC90AD5"/>
    <w:rsid w:val="2FD603F0"/>
    <w:rsid w:val="300A56D3"/>
    <w:rsid w:val="3033507F"/>
    <w:rsid w:val="3078085E"/>
    <w:rsid w:val="309A4399"/>
    <w:rsid w:val="30CF62B6"/>
    <w:rsid w:val="30D2287B"/>
    <w:rsid w:val="311978A4"/>
    <w:rsid w:val="31230026"/>
    <w:rsid w:val="31365D4C"/>
    <w:rsid w:val="313A20B5"/>
    <w:rsid w:val="317C49A2"/>
    <w:rsid w:val="32051EEA"/>
    <w:rsid w:val="32072327"/>
    <w:rsid w:val="32884D58"/>
    <w:rsid w:val="32F23D11"/>
    <w:rsid w:val="32FF6481"/>
    <w:rsid w:val="3323532A"/>
    <w:rsid w:val="33456DDB"/>
    <w:rsid w:val="334D0F2E"/>
    <w:rsid w:val="336F46BF"/>
    <w:rsid w:val="339331F0"/>
    <w:rsid w:val="3394570B"/>
    <w:rsid w:val="33BA06C4"/>
    <w:rsid w:val="34221892"/>
    <w:rsid w:val="342B1F95"/>
    <w:rsid w:val="345140C1"/>
    <w:rsid w:val="34754088"/>
    <w:rsid w:val="355D597D"/>
    <w:rsid w:val="356B37DE"/>
    <w:rsid w:val="357E3BE1"/>
    <w:rsid w:val="35895051"/>
    <w:rsid w:val="35921CAB"/>
    <w:rsid w:val="363B5091"/>
    <w:rsid w:val="36860541"/>
    <w:rsid w:val="36904CEB"/>
    <w:rsid w:val="36976F8A"/>
    <w:rsid w:val="369D1FF2"/>
    <w:rsid w:val="36D47FBA"/>
    <w:rsid w:val="370143E1"/>
    <w:rsid w:val="370710C2"/>
    <w:rsid w:val="37264018"/>
    <w:rsid w:val="377F0912"/>
    <w:rsid w:val="37963043"/>
    <w:rsid w:val="37A05F30"/>
    <w:rsid w:val="37A23B8D"/>
    <w:rsid w:val="37B609BE"/>
    <w:rsid w:val="37CA4F0E"/>
    <w:rsid w:val="37D5613E"/>
    <w:rsid w:val="37E77C40"/>
    <w:rsid w:val="38134565"/>
    <w:rsid w:val="387B34FF"/>
    <w:rsid w:val="387C0CB5"/>
    <w:rsid w:val="38A93982"/>
    <w:rsid w:val="38B63CAA"/>
    <w:rsid w:val="38BD1EB2"/>
    <w:rsid w:val="39305A91"/>
    <w:rsid w:val="39473698"/>
    <w:rsid w:val="39523EAE"/>
    <w:rsid w:val="395628C6"/>
    <w:rsid w:val="399A0093"/>
    <w:rsid w:val="39E004BF"/>
    <w:rsid w:val="3A0364D0"/>
    <w:rsid w:val="3A0E069F"/>
    <w:rsid w:val="3A180D8A"/>
    <w:rsid w:val="3A4A072C"/>
    <w:rsid w:val="3A575204"/>
    <w:rsid w:val="3A71724B"/>
    <w:rsid w:val="3A76317A"/>
    <w:rsid w:val="3AB01DA2"/>
    <w:rsid w:val="3AB61A68"/>
    <w:rsid w:val="3ABD1654"/>
    <w:rsid w:val="3AD27E6D"/>
    <w:rsid w:val="3AE60F7D"/>
    <w:rsid w:val="3B5F402C"/>
    <w:rsid w:val="3B8B5FC1"/>
    <w:rsid w:val="3BA54BD5"/>
    <w:rsid w:val="3BCA5544"/>
    <w:rsid w:val="3BFB730F"/>
    <w:rsid w:val="3C0C2548"/>
    <w:rsid w:val="3C3B0A63"/>
    <w:rsid w:val="3C4E3BB5"/>
    <w:rsid w:val="3C5125CA"/>
    <w:rsid w:val="3CB0001B"/>
    <w:rsid w:val="3D0B1245"/>
    <w:rsid w:val="3D6D4040"/>
    <w:rsid w:val="3D896DBB"/>
    <w:rsid w:val="3D9010B9"/>
    <w:rsid w:val="3D9751BE"/>
    <w:rsid w:val="3DBC4C5F"/>
    <w:rsid w:val="3DBD5D65"/>
    <w:rsid w:val="3DD316DF"/>
    <w:rsid w:val="3DE633CE"/>
    <w:rsid w:val="3DEC456E"/>
    <w:rsid w:val="3DF06804"/>
    <w:rsid w:val="3E02191D"/>
    <w:rsid w:val="3E175465"/>
    <w:rsid w:val="3E4B3D12"/>
    <w:rsid w:val="3E8C5587"/>
    <w:rsid w:val="3EBD39F2"/>
    <w:rsid w:val="3ED3544C"/>
    <w:rsid w:val="3EE947A2"/>
    <w:rsid w:val="3EF76445"/>
    <w:rsid w:val="3F4A2BDC"/>
    <w:rsid w:val="3F6376E9"/>
    <w:rsid w:val="3F6D4D77"/>
    <w:rsid w:val="3FA440DD"/>
    <w:rsid w:val="3FBD66DF"/>
    <w:rsid w:val="3FD368D1"/>
    <w:rsid w:val="40035DBB"/>
    <w:rsid w:val="40094615"/>
    <w:rsid w:val="40096708"/>
    <w:rsid w:val="401E4712"/>
    <w:rsid w:val="40331DA1"/>
    <w:rsid w:val="403D573C"/>
    <w:rsid w:val="404925F3"/>
    <w:rsid w:val="40643BA3"/>
    <w:rsid w:val="40772E6E"/>
    <w:rsid w:val="40796677"/>
    <w:rsid w:val="407F1BB4"/>
    <w:rsid w:val="40AE09D9"/>
    <w:rsid w:val="40FA1BE1"/>
    <w:rsid w:val="41022834"/>
    <w:rsid w:val="41732BF1"/>
    <w:rsid w:val="41AB26C6"/>
    <w:rsid w:val="41B156AE"/>
    <w:rsid w:val="41B82407"/>
    <w:rsid w:val="41BF3007"/>
    <w:rsid w:val="41C3114D"/>
    <w:rsid w:val="41D45189"/>
    <w:rsid w:val="41DE5B53"/>
    <w:rsid w:val="41FC654A"/>
    <w:rsid w:val="42023969"/>
    <w:rsid w:val="422E5823"/>
    <w:rsid w:val="4241150E"/>
    <w:rsid w:val="42642238"/>
    <w:rsid w:val="42C45B8C"/>
    <w:rsid w:val="42D60BA3"/>
    <w:rsid w:val="42E5407B"/>
    <w:rsid w:val="42ED5977"/>
    <w:rsid w:val="430E601B"/>
    <w:rsid w:val="431C628E"/>
    <w:rsid w:val="431D0689"/>
    <w:rsid w:val="4350744C"/>
    <w:rsid w:val="435115D5"/>
    <w:rsid w:val="43661F50"/>
    <w:rsid w:val="438C5782"/>
    <w:rsid w:val="43A10052"/>
    <w:rsid w:val="43DB72D4"/>
    <w:rsid w:val="43E77116"/>
    <w:rsid w:val="43E8179E"/>
    <w:rsid w:val="44243903"/>
    <w:rsid w:val="44397DF4"/>
    <w:rsid w:val="44C5663F"/>
    <w:rsid w:val="44CA723E"/>
    <w:rsid w:val="44E648B1"/>
    <w:rsid w:val="45203914"/>
    <w:rsid w:val="453D6C5C"/>
    <w:rsid w:val="45457109"/>
    <w:rsid w:val="45535677"/>
    <w:rsid w:val="45743E6C"/>
    <w:rsid w:val="45893A6E"/>
    <w:rsid w:val="45B24DBF"/>
    <w:rsid w:val="45C0256F"/>
    <w:rsid w:val="45D8019F"/>
    <w:rsid w:val="45E159F4"/>
    <w:rsid w:val="45ED6D6D"/>
    <w:rsid w:val="45F74D47"/>
    <w:rsid w:val="465066AC"/>
    <w:rsid w:val="46510805"/>
    <w:rsid w:val="46793CB0"/>
    <w:rsid w:val="468B5A85"/>
    <w:rsid w:val="46B23C6B"/>
    <w:rsid w:val="46C92A57"/>
    <w:rsid w:val="46DE5B36"/>
    <w:rsid w:val="46EA0BDA"/>
    <w:rsid w:val="474120F6"/>
    <w:rsid w:val="47544496"/>
    <w:rsid w:val="478A17E2"/>
    <w:rsid w:val="47B501AE"/>
    <w:rsid w:val="47BB16D2"/>
    <w:rsid w:val="47CB586E"/>
    <w:rsid w:val="480C6883"/>
    <w:rsid w:val="483E0DF0"/>
    <w:rsid w:val="48472D78"/>
    <w:rsid w:val="48685CD0"/>
    <w:rsid w:val="48B51127"/>
    <w:rsid w:val="48BD356B"/>
    <w:rsid w:val="48E840A5"/>
    <w:rsid w:val="48EC7C45"/>
    <w:rsid w:val="492904C2"/>
    <w:rsid w:val="49380328"/>
    <w:rsid w:val="49444869"/>
    <w:rsid w:val="49730874"/>
    <w:rsid w:val="49977AF5"/>
    <w:rsid w:val="49AB600F"/>
    <w:rsid w:val="49B216B3"/>
    <w:rsid w:val="49BE2B0B"/>
    <w:rsid w:val="49C66589"/>
    <w:rsid w:val="49E135D9"/>
    <w:rsid w:val="49FC7B81"/>
    <w:rsid w:val="4A005AC2"/>
    <w:rsid w:val="4A0800E7"/>
    <w:rsid w:val="4A227738"/>
    <w:rsid w:val="4A25191B"/>
    <w:rsid w:val="4A401CA1"/>
    <w:rsid w:val="4A4F3FB0"/>
    <w:rsid w:val="4A6276B8"/>
    <w:rsid w:val="4A6C3E8C"/>
    <w:rsid w:val="4A832414"/>
    <w:rsid w:val="4A9D0B87"/>
    <w:rsid w:val="4AB526D2"/>
    <w:rsid w:val="4AD64A28"/>
    <w:rsid w:val="4AD75CCB"/>
    <w:rsid w:val="4ADA763B"/>
    <w:rsid w:val="4B4C608E"/>
    <w:rsid w:val="4B544B09"/>
    <w:rsid w:val="4B8F45F5"/>
    <w:rsid w:val="4B955CFD"/>
    <w:rsid w:val="4B9717AF"/>
    <w:rsid w:val="4BAE7F62"/>
    <w:rsid w:val="4BD234DC"/>
    <w:rsid w:val="4BD418F5"/>
    <w:rsid w:val="4C23227D"/>
    <w:rsid w:val="4C271148"/>
    <w:rsid w:val="4C504A8F"/>
    <w:rsid w:val="4CA733C8"/>
    <w:rsid w:val="4CBF3C89"/>
    <w:rsid w:val="4CCA5CE2"/>
    <w:rsid w:val="4D2B644B"/>
    <w:rsid w:val="4D3B1EF8"/>
    <w:rsid w:val="4D57601B"/>
    <w:rsid w:val="4D704CE9"/>
    <w:rsid w:val="4D8B0D61"/>
    <w:rsid w:val="4D9F656C"/>
    <w:rsid w:val="4DD91CCF"/>
    <w:rsid w:val="4DF67BFF"/>
    <w:rsid w:val="4E0C67F7"/>
    <w:rsid w:val="4E5144EB"/>
    <w:rsid w:val="4E685F05"/>
    <w:rsid w:val="4E880116"/>
    <w:rsid w:val="4E8C4764"/>
    <w:rsid w:val="4E906F84"/>
    <w:rsid w:val="4EE13760"/>
    <w:rsid w:val="4EEB7EB7"/>
    <w:rsid w:val="4F17672F"/>
    <w:rsid w:val="4F4937B0"/>
    <w:rsid w:val="4F5E7AC8"/>
    <w:rsid w:val="4F99039C"/>
    <w:rsid w:val="4FD9330B"/>
    <w:rsid w:val="501A428F"/>
    <w:rsid w:val="501C17A6"/>
    <w:rsid w:val="503417F6"/>
    <w:rsid w:val="503D44C0"/>
    <w:rsid w:val="503F1920"/>
    <w:rsid w:val="504661A2"/>
    <w:rsid w:val="50521927"/>
    <w:rsid w:val="507A0812"/>
    <w:rsid w:val="50C30AF9"/>
    <w:rsid w:val="50C52747"/>
    <w:rsid w:val="50D157A8"/>
    <w:rsid w:val="51366161"/>
    <w:rsid w:val="51574E11"/>
    <w:rsid w:val="51681D2D"/>
    <w:rsid w:val="51972092"/>
    <w:rsid w:val="51C20CB2"/>
    <w:rsid w:val="51DB2B77"/>
    <w:rsid w:val="51E346F0"/>
    <w:rsid w:val="51FB0118"/>
    <w:rsid w:val="521419CA"/>
    <w:rsid w:val="52231A59"/>
    <w:rsid w:val="525410FE"/>
    <w:rsid w:val="527353EB"/>
    <w:rsid w:val="52B17FCE"/>
    <w:rsid w:val="52BC4114"/>
    <w:rsid w:val="52C04461"/>
    <w:rsid w:val="52C615B0"/>
    <w:rsid w:val="52C747BE"/>
    <w:rsid w:val="530B243D"/>
    <w:rsid w:val="530E0AC7"/>
    <w:rsid w:val="53141826"/>
    <w:rsid w:val="531B48AD"/>
    <w:rsid w:val="53344135"/>
    <w:rsid w:val="534E68A6"/>
    <w:rsid w:val="53727B97"/>
    <w:rsid w:val="53754295"/>
    <w:rsid w:val="53810914"/>
    <w:rsid w:val="53D52F8A"/>
    <w:rsid w:val="53EB7994"/>
    <w:rsid w:val="53FE11C7"/>
    <w:rsid w:val="540C3AB4"/>
    <w:rsid w:val="542976A0"/>
    <w:rsid w:val="54B9127B"/>
    <w:rsid w:val="54F41D9C"/>
    <w:rsid w:val="54FD2B00"/>
    <w:rsid w:val="55131756"/>
    <w:rsid w:val="55361AAD"/>
    <w:rsid w:val="554373B6"/>
    <w:rsid w:val="556012E8"/>
    <w:rsid w:val="55B4733C"/>
    <w:rsid w:val="55D050DD"/>
    <w:rsid w:val="55F643CA"/>
    <w:rsid w:val="55F656A0"/>
    <w:rsid w:val="563B24EE"/>
    <w:rsid w:val="564A5ECB"/>
    <w:rsid w:val="56865175"/>
    <w:rsid w:val="56C33EBE"/>
    <w:rsid w:val="56E02927"/>
    <w:rsid w:val="56E73908"/>
    <w:rsid w:val="56E8600B"/>
    <w:rsid w:val="57086834"/>
    <w:rsid w:val="570D64C4"/>
    <w:rsid w:val="5722127B"/>
    <w:rsid w:val="5736257F"/>
    <w:rsid w:val="573A1AF7"/>
    <w:rsid w:val="57583B85"/>
    <w:rsid w:val="57683958"/>
    <w:rsid w:val="57A2688F"/>
    <w:rsid w:val="57BD510B"/>
    <w:rsid w:val="57F9418C"/>
    <w:rsid w:val="580B5E18"/>
    <w:rsid w:val="5815018C"/>
    <w:rsid w:val="581B0D4D"/>
    <w:rsid w:val="581D1124"/>
    <w:rsid w:val="58767DAF"/>
    <w:rsid w:val="587710A9"/>
    <w:rsid w:val="587A22F4"/>
    <w:rsid w:val="587C1F51"/>
    <w:rsid w:val="58B21D8D"/>
    <w:rsid w:val="58F8639A"/>
    <w:rsid w:val="590E19DB"/>
    <w:rsid w:val="59192516"/>
    <w:rsid w:val="59274506"/>
    <w:rsid w:val="593E570D"/>
    <w:rsid w:val="59622243"/>
    <w:rsid w:val="59651FFF"/>
    <w:rsid w:val="59797175"/>
    <w:rsid w:val="59AB10B9"/>
    <w:rsid w:val="59C27BCA"/>
    <w:rsid w:val="59CA5E72"/>
    <w:rsid w:val="5A13520D"/>
    <w:rsid w:val="5A202EBF"/>
    <w:rsid w:val="5A4A0705"/>
    <w:rsid w:val="5A6942A0"/>
    <w:rsid w:val="5A990F43"/>
    <w:rsid w:val="5AA44D33"/>
    <w:rsid w:val="5AD0381A"/>
    <w:rsid w:val="5ADD7DFC"/>
    <w:rsid w:val="5AF0670A"/>
    <w:rsid w:val="5AF2109C"/>
    <w:rsid w:val="5AFD3B04"/>
    <w:rsid w:val="5B1B1E11"/>
    <w:rsid w:val="5B277FD8"/>
    <w:rsid w:val="5B546C49"/>
    <w:rsid w:val="5B726FAA"/>
    <w:rsid w:val="5B99211E"/>
    <w:rsid w:val="5BB7609C"/>
    <w:rsid w:val="5C4E3E33"/>
    <w:rsid w:val="5C68500B"/>
    <w:rsid w:val="5C832D38"/>
    <w:rsid w:val="5CA97A9A"/>
    <w:rsid w:val="5CE23DC1"/>
    <w:rsid w:val="5D447AD0"/>
    <w:rsid w:val="5D5A68EB"/>
    <w:rsid w:val="5D8E0578"/>
    <w:rsid w:val="5D9208BC"/>
    <w:rsid w:val="5DB20E00"/>
    <w:rsid w:val="5DDC53D1"/>
    <w:rsid w:val="5DE27A25"/>
    <w:rsid w:val="5DF2327A"/>
    <w:rsid w:val="5E193ADC"/>
    <w:rsid w:val="5E2C6642"/>
    <w:rsid w:val="5E417400"/>
    <w:rsid w:val="5E4E3173"/>
    <w:rsid w:val="5E8706E5"/>
    <w:rsid w:val="5EAA668B"/>
    <w:rsid w:val="5EAD035E"/>
    <w:rsid w:val="5EB44461"/>
    <w:rsid w:val="5EEC2302"/>
    <w:rsid w:val="5EED450D"/>
    <w:rsid w:val="5EF8688A"/>
    <w:rsid w:val="5EFE704B"/>
    <w:rsid w:val="5F3B41D4"/>
    <w:rsid w:val="5F6F72E0"/>
    <w:rsid w:val="5F8A6688"/>
    <w:rsid w:val="5F8F48EA"/>
    <w:rsid w:val="5F984BD2"/>
    <w:rsid w:val="5FA715BA"/>
    <w:rsid w:val="5FA83074"/>
    <w:rsid w:val="6000522E"/>
    <w:rsid w:val="602B6314"/>
    <w:rsid w:val="603C4FDA"/>
    <w:rsid w:val="604A360B"/>
    <w:rsid w:val="606B14B2"/>
    <w:rsid w:val="607C672E"/>
    <w:rsid w:val="608C47A1"/>
    <w:rsid w:val="609625AE"/>
    <w:rsid w:val="60D63335"/>
    <w:rsid w:val="61346F48"/>
    <w:rsid w:val="6187039B"/>
    <w:rsid w:val="61D948B4"/>
    <w:rsid w:val="61E403F0"/>
    <w:rsid w:val="61E543F0"/>
    <w:rsid w:val="61F40E42"/>
    <w:rsid w:val="61F54108"/>
    <w:rsid w:val="61FB083E"/>
    <w:rsid w:val="62081EA7"/>
    <w:rsid w:val="621328D3"/>
    <w:rsid w:val="62133C2C"/>
    <w:rsid w:val="62195D56"/>
    <w:rsid w:val="624401E5"/>
    <w:rsid w:val="627D5BA0"/>
    <w:rsid w:val="62861227"/>
    <w:rsid w:val="628D3B7E"/>
    <w:rsid w:val="62A40E36"/>
    <w:rsid w:val="62A51CF9"/>
    <w:rsid w:val="62D52E9A"/>
    <w:rsid w:val="62DB6E99"/>
    <w:rsid w:val="62E91122"/>
    <w:rsid w:val="62FE599D"/>
    <w:rsid w:val="634610B0"/>
    <w:rsid w:val="635049F0"/>
    <w:rsid w:val="636414EC"/>
    <w:rsid w:val="63964AD2"/>
    <w:rsid w:val="63B20FA1"/>
    <w:rsid w:val="63B64CF4"/>
    <w:rsid w:val="63B9398C"/>
    <w:rsid w:val="63FD1414"/>
    <w:rsid w:val="64105516"/>
    <w:rsid w:val="64117D1D"/>
    <w:rsid w:val="642C78F8"/>
    <w:rsid w:val="64327B64"/>
    <w:rsid w:val="64457BF0"/>
    <w:rsid w:val="64AB78C1"/>
    <w:rsid w:val="64DB626C"/>
    <w:rsid w:val="65063F01"/>
    <w:rsid w:val="65475E6D"/>
    <w:rsid w:val="65714BC2"/>
    <w:rsid w:val="65742344"/>
    <w:rsid w:val="659A1A07"/>
    <w:rsid w:val="65BC650F"/>
    <w:rsid w:val="661B4F3D"/>
    <w:rsid w:val="662603C0"/>
    <w:rsid w:val="66C11DAB"/>
    <w:rsid w:val="66DF58D5"/>
    <w:rsid w:val="6711110E"/>
    <w:rsid w:val="672039A4"/>
    <w:rsid w:val="67211C44"/>
    <w:rsid w:val="67361955"/>
    <w:rsid w:val="674016E9"/>
    <w:rsid w:val="67520CEB"/>
    <w:rsid w:val="67637B25"/>
    <w:rsid w:val="6783736E"/>
    <w:rsid w:val="67B571EE"/>
    <w:rsid w:val="67D2091C"/>
    <w:rsid w:val="67E01DBD"/>
    <w:rsid w:val="67E361FD"/>
    <w:rsid w:val="68095C77"/>
    <w:rsid w:val="683D7569"/>
    <w:rsid w:val="686A6D57"/>
    <w:rsid w:val="688A2ED3"/>
    <w:rsid w:val="68BF5285"/>
    <w:rsid w:val="68F0183E"/>
    <w:rsid w:val="691371A7"/>
    <w:rsid w:val="69332447"/>
    <w:rsid w:val="698440C6"/>
    <w:rsid w:val="69865EC8"/>
    <w:rsid w:val="698D31F5"/>
    <w:rsid w:val="699367B0"/>
    <w:rsid w:val="69B130E2"/>
    <w:rsid w:val="69DB4F2A"/>
    <w:rsid w:val="69E04A48"/>
    <w:rsid w:val="69F35B74"/>
    <w:rsid w:val="6A005111"/>
    <w:rsid w:val="6A5A7FE6"/>
    <w:rsid w:val="6A656515"/>
    <w:rsid w:val="6A706DBB"/>
    <w:rsid w:val="6A865471"/>
    <w:rsid w:val="6ADE2AC3"/>
    <w:rsid w:val="6B0A28ED"/>
    <w:rsid w:val="6B0F789B"/>
    <w:rsid w:val="6B5B3A16"/>
    <w:rsid w:val="6B806BF4"/>
    <w:rsid w:val="6B8B1FAC"/>
    <w:rsid w:val="6B8C23D0"/>
    <w:rsid w:val="6B945689"/>
    <w:rsid w:val="6B981537"/>
    <w:rsid w:val="6BBF77C9"/>
    <w:rsid w:val="6BCD1958"/>
    <w:rsid w:val="6BE22FC9"/>
    <w:rsid w:val="6BE73EED"/>
    <w:rsid w:val="6BF236C7"/>
    <w:rsid w:val="6BFD0A61"/>
    <w:rsid w:val="6C235FC2"/>
    <w:rsid w:val="6C5E5936"/>
    <w:rsid w:val="6C6B7570"/>
    <w:rsid w:val="6CAA0AE6"/>
    <w:rsid w:val="6CD076A3"/>
    <w:rsid w:val="6CD835F3"/>
    <w:rsid w:val="6D43653C"/>
    <w:rsid w:val="6D7A2198"/>
    <w:rsid w:val="6D90333E"/>
    <w:rsid w:val="6D9C612C"/>
    <w:rsid w:val="6DCE6A51"/>
    <w:rsid w:val="6DE23FB1"/>
    <w:rsid w:val="6E051CF7"/>
    <w:rsid w:val="6E0B3126"/>
    <w:rsid w:val="6E481F3C"/>
    <w:rsid w:val="6E835B47"/>
    <w:rsid w:val="6EEB46F3"/>
    <w:rsid w:val="6F0C2F24"/>
    <w:rsid w:val="6F4C0736"/>
    <w:rsid w:val="6F9735C8"/>
    <w:rsid w:val="6FBC65AA"/>
    <w:rsid w:val="700162B2"/>
    <w:rsid w:val="70095BB6"/>
    <w:rsid w:val="700C296A"/>
    <w:rsid w:val="700E1F5C"/>
    <w:rsid w:val="70567F86"/>
    <w:rsid w:val="70A65BEE"/>
    <w:rsid w:val="70D5348D"/>
    <w:rsid w:val="711466BC"/>
    <w:rsid w:val="713256AC"/>
    <w:rsid w:val="716B2435"/>
    <w:rsid w:val="7177311F"/>
    <w:rsid w:val="717A7F96"/>
    <w:rsid w:val="717E2A76"/>
    <w:rsid w:val="718120AF"/>
    <w:rsid w:val="71836A48"/>
    <w:rsid w:val="71A74D5C"/>
    <w:rsid w:val="71B85B3E"/>
    <w:rsid w:val="71DE3EFE"/>
    <w:rsid w:val="71FD377A"/>
    <w:rsid w:val="72032987"/>
    <w:rsid w:val="720539A2"/>
    <w:rsid w:val="72286149"/>
    <w:rsid w:val="72597E21"/>
    <w:rsid w:val="726D477D"/>
    <w:rsid w:val="72A40296"/>
    <w:rsid w:val="72AD6751"/>
    <w:rsid w:val="72C53FD0"/>
    <w:rsid w:val="72CB4760"/>
    <w:rsid w:val="73065AD8"/>
    <w:rsid w:val="733765C3"/>
    <w:rsid w:val="7353620E"/>
    <w:rsid w:val="739F6E62"/>
    <w:rsid w:val="73A4374B"/>
    <w:rsid w:val="73C90C1E"/>
    <w:rsid w:val="73EA64A5"/>
    <w:rsid w:val="73F206CA"/>
    <w:rsid w:val="73F32A58"/>
    <w:rsid w:val="74081C1E"/>
    <w:rsid w:val="74113F93"/>
    <w:rsid w:val="74502B39"/>
    <w:rsid w:val="74555B0D"/>
    <w:rsid w:val="748A0CBE"/>
    <w:rsid w:val="74C90648"/>
    <w:rsid w:val="755018B9"/>
    <w:rsid w:val="7571587C"/>
    <w:rsid w:val="758F2DC9"/>
    <w:rsid w:val="759B24A0"/>
    <w:rsid w:val="75B14990"/>
    <w:rsid w:val="75C42D6E"/>
    <w:rsid w:val="75CE367E"/>
    <w:rsid w:val="75DC17B1"/>
    <w:rsid w:val="760B582C"/>
    <w:rsid w:val="76473490"/>
    <w:rsid w:val="76496E74"/>
    <w:rsid w:val="76740424"/>
    <w:rsid w:val="769124AB"/>
    <w:rsid w:val="7693317E"/>
    <w:rsid w:val="76942501"/>
    <w:rsid w:val="76985197"/>
    <w:rsid w:val="76AA2282"/>
    <w:rsid w:val="76BF0AF3"/>
    <w:rsid w:val="76DB0196"/>
    <w:rsid w:val="771951EE"/>
    <w:rsid w:val="777A2356"/>
    <w:rsid w:val="778268FD"/>
    <w:rsid w:val="77B014EE"/>
    <w:rsid w:val="77C0296F"/>
    <w:rsid w:val="77C811E2"/>
    <w:rsid w:val="77F66034"/>
    <w:rsid w:val="780A4ED3"/>
    <w:rsid w:val="78453B0F"/>
    <w:rsid w:val="78802AAE"/>
    <w:rsid w:val="78884557"/>
    <w:rsid w:val="78DF30E1"/>
    <w:rsid w:val="790B6E7F"/>
    <w:rsid w:val="798C33BB"/>
    <w:rsid w:val="79952FAD"/>
    <w:rsid w:val="79F31263"/>
    <w:rsid w:val="7A066A50"/>
    <w:rsid w:val="7A0B6890"/>
    <w:rsid w:val="7A2B1C16"/>
    <w:rsid w:val="7A375AAB"/>
    <w:rsid w:val="7A5C6926"/>
    <w:rsid w:val="7A7B2B72"/>
    <w:rsid w:val="7A8554DD"/>
    <w:rsid w:val="7ACB5854"/>
    <w:rsid w:val="7B556121"/>
    <w:rsid w:val="7B696CD5"/>
    <w:rsid w:val="7B733934"/>
    <w:rsid w:val="7BA84A93"/>
    <w:rsid w:val="7BC0238B"/>
    <w:rsid w:val="7BC222E5"/>
    <w:rsid w:val="7C012C6D"/>
    <w:rsid w:val="7C3A296B"/>
    <w:rsid w:val="7C3C0781"/>
    <w:rsid w:val="7C4227AD"/>
    <w:rsid w:val="7C590837"/>
    <w:rsid w:val="7C661BE6"/>
    <w:rsid w:val="7C8F6FDD"/>
    <w:rsid w:val="7C927A45"/>
    <w:rsid w:val="7CF236ED"/>
    <w:rsid w:val="7D122A48"/>
    <w:rsid w:val="7D7005B5"/>
    <w:rsid w:val="7D8E31A5"/>
    <w:rsid w:val="7DEB178D"/>
    <w:rsid w:val="7E111D1D"/>
    <w:rsid w:val="7E166CE5"/>
    <w:rsid w:val="7E1A6246"/>
    <w:rsid w:val="7E56380A"/>
    <w:rsid w:val="7E872B67"/>
    <w:rsid w:val="7E8A79B9"/>
    <w:rsid w:val="7EAF29D6"/>
    <w:rsid w:val="7EB131E9"/>
    <w:rsid w:val="7ECE6F78"/>
    <w:rsid w:val="7ECF2A43"/>
    <w:rsid w:val="7ED140D9"/>
    <w:rsid w:val="7F191F49"/>
    <w:rsid w:val="7F28266B"/>
    <w:rsid w:val="7F3B2A97"/>
    <w:rsid w:val="7F5A1279"/>
    <w:rsid w:val="7F5B3872"/>
    <w:rsid w:val="7F6541FF"/>
    <w:rsid w:val="7F8320DD"/>
    <w:rsid w:val="7FAF2A6D"/>
    <w:rsid w:val="7FB72F28"/>
    <w:rsid w:val="7FB755B4"/>
    <w:rsid w:val="7FC115EA"/>
    <w:rsid w:val="7FFC3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before="120" w:after="120" w:line="360" w:lineRule="auto"/>
    </w:pPr>
    <w:rPr>
      <w:rFonts w:ascii="Tahoma" w:hAnsi="Tahoma" w:eastAsia="仿宋" w:cstheme="minorBidi"/>
      <w:sz w:val="28"/>
      <w:szCs w:val="22"/>
      <w:lang w:val="en-US" w:eastAsia="zh-CN" w:bidi="ar-SA"/>
    </w:rPr>
  </w:style>
  <w:style w:type="paragraph" w:styleId="3">
    <w:name w:val="heading 1"/>
    <w:basedOn w:val="1"/>
    <w:next w:val="1"/>
    <w:qFormat/>
    <w:uiPriority w:val="9"/>
    <w:pPr>
      <w:keepNext/>
      <w:keepLines/>
      <w:spacing w:line="579" w:lineRule="exact"/>
      <w:jc w:val="center"/>
      <w:outlineLvl w:val="0"/>
    </w:pPr>
    <w:rPr>
      <w:rFonts w:eastAsia="黑体"/>
      <w:kern w:val="44"/>
      <w:sz w:val="32"/>
    </w:rPr>
  </w:style>
  <w:style w:type="paragraph" w:styleId="4">
    <w:name w:val="heading 2"/>
    <w:basedOn w:val="1"/>
    <w:next w:val="1"/>
    <w:link w:val="43"/>
    <w:unhideWhenUsed/>
    <w:qFormat/>
    <w:uiPriority w:val="9"/>
    <w:pPr>
      <w:keepNext/>
      <w:keepLines/>
      <w:spacing w:line="579" w:lineRule="exact"/>
      <w:jc w:val="center"/>
      <w:outlineLvl w:val="1"/>
    </w:pPr>
    <w:rPr>
      <w:rFonts w:ascii="Arial" w:hAnsi="Arial" w:eastAsia="楷体_GB2312"/>
      <w:sz w:val="32"/>
    </w:rPr>
  </w:style>
  <w:style w:type="paragraph" w:styleId="5">
    <w:name w:val="heading 3"/>
    <w:basedOn w:val="1"/>
    <w:next w:val="1"/>
    <w:unhideWhenUsed/>
    <w:qFormat/>
    <w:uiPriority w:val="9"/>
    <w:pPr>
      <w:keepNext/>
      <w:keepLines/>
      <w:spacing w:beforeLines="50"/>
      <w:outlineLvl w:val="2"/>
    </w:pPr>
    <w:rPr>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line="240" w:lineRule="auto"/>
    </w:pPr>
    <w:rPr>
      <w:szCs w:val="28"/>
    </w:r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annotation text"/>
    <w:basedOn w:val="1"/>
    <w:semiHidden/>
    <w:unhideWhenUsed/>
    <w:qFormat/>
    <w:uiPriority w:val="99"/>
  </w:style>
  <w:style w:type="paragraph" w:styleId="8">
    <w:name w:val="Balloon Text"/>
    <w:basedOn w:val="1"/>
    <w:link w:val="31"/>
    <w:unhideWhenUsed/>
    <w:qFormat/>
    <w:uiPriority w:val="99"/>
    <w:pPr>
      <w:spacing w:line="240" w:lineRule="auto"/>
    </w:pPr>
    <w:rPr>
      <w:sz w:val="18"/>
      <w:szCs w:val="18"/>
    </w:rPr>
  </w:style>
  <w:style w:type="paragraph" w:styleId="9">
    <w:name w:val="footer"/>
    <w:basedOn w:val="1"/>
    <w:link w:val="23"/>
    <w:unhideWhenUsed/>
    <w:qFormat/>
    <w:uiPriority w:val="99"/>
    <w:pPr>
      <w:tabs>
        <w:tab w:val="center" w:pos="4153"/>
        <w:tab w:val="right" w:pos="8306"/>
      </w:tabs>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0"/>
    <w:pPr>
      <w:adjustRightInd/>
      <w:snapToGrid/>
      <w:spacing w:before="100" w:beforeAutospacing="1" w:after="100" w:afterAutospacing="1"/>
    </w:pPr>
    <w:rPr>
      <w:rFonts w:ascii="宋体" w:hAnsi="宋体" w:eastAsia="宋体" w:cs="宋体"/>
      <w:sz w:val="24"/>
      <w:szCs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sz w:val="24"/>
      <w:szCs w:val="24"/>
    </w:rPr>
  </w:style>
  <w:style w:type="character" w:styleId="18">
    <w:name w:val="FollowedHyperlink"/>
    <w:basedOn w:val="16"/>
    <w:semiHidden/>
    <w:unhideWhenUsed/>
    <w:qFormat/>
    <w:uiPriority w:val="99"/>
    <w:rPr>
      <w:color w:val="000000"/>
      <w:u w:val="none"/>
    </w:rPr>
  </w:style>
  <w:style w:type="character" w:styleId="19">
    <w:name w:val="Emphasis"/>
    <w:basedOn w:val="16"/>
    <w:qFormat/>
    <w:uiPriority w:val="20"/>
    <w:rPr>
      <w:color w:val="CC0000"/>
      <w:sz w:val="24"/>
      <w:szCs w:val="24"/>
    </w:rPr>
  </w:style>
  <w:style w:type="character" w:styleId="20">
    <w:name w:val="Hyperlink"/>
    <w:basedOn w:val="16"/>
    <w:unhideWhenUsed/>
    <w:qFormat/>
    <w:uiPriority w:val="99"/>
    <w:rPr>
      <w:color w:val="0000FF" w:themeColor="hyperlink"/>
      <w:u w:val="single"/>
      <w14:textFill>
        <w14:solidFill>
          <w14:schemeClr w14:val="hlink"/>
        </w14:solidFill>
      </w14:textFill>
    </w:rPr>
  </w:style>
  <w:style w:type="character" w:styleId="21">
    <w:name w:val="HTML Cite"/>
    <w:basedOn w:val="16"/>
    <w:semiHidden/>
    <w:unhideWhenUsed/>
    <w:qFormat/>
    <w:uiPriority w:val="99"/>
    <w:rPr>
      <w:sz w:val="24"/>
      <w:szCs w:val="24"/>
    </w:rPr>
  </w:style>
  <w:style w:type="character" w:customStyle="1" w:styleId="22">
    <w:name w:val="页眉 字符"/>
    <w:basedOn w:val="16"/>
    <w:link w:val="10"/>
    <w:qFormat/>
    <w:uiPriority w:val="99"/>
    <w:rPr>
      <w:rFonts w:ascii="Tahoma" w:hAnsi="Tahoma"/>
      <w:sz w:val="18"/>
      <w:szCs w:val="18"/>
    </w:rPr>
  </w:style>
  <w:style w:type="character" w:customStyle="1" w:styleId="23">
    <w:name w:val="页脚 字符"/>
    <w:basedOn w:val="16"/>
    <w:link w:val="9"/>
    <w:qFormat/>
    <w:uiPriority w:val="99"/>
    <w:rPr>
      <w:rFonts w:ascii="Tahoma" w:hAnsi="Tahoma"/>
      <w:sz w:val="18"/>
      <w:szCs w:val="18"/>
    </w:rPr>
  </w:style>
  <w:style w:type="character" w:customStyle="1" w:styleId="24">
    <w:name w:val="正文文本 (26)3"/>
    <w:basedOn w:val="25"/>
    <w:qFormat/>
    <w:uiPriority w:val="0"/>
    <w:rPr>
      <w:rFonts w:ascii="MingLiU" w:hAnsi="MingLiU" w:eastAsia="MingLiU" w:cs="MingLiU"/>
      <w:color w:val="000000"/>
      <w:w w:val="100"/>
      <w:kern w:val="0"/>
      <w:position w:val="0"/>
      <w:sz w:val="24"/>
      <w:szCs w:val="24"/>
      <w:shd w:val="clear" w:color="auto" w:fill="FFFFFF"/>
      <w:lang w:val="zh-TW" w:eastAsia="zh-TW" w:bidi="zh-TW"/>
    </w:rPr>
  </w:style>
  <w:style w:type="character" w:customStyle="1" w:styleId="25">
    <w:name w:val="正文文本 (26)_"/>
    <w:basedOn w:val="16"/>
    <w:link w:val="26"/>
    <w:qFormat/>
    <w:uiPriority w:val="0"/>
    <w:rPr>
      <w:rFonts w:ascii="MingLiU" w:hAnsi="MingLiU" w:eastAsia="MingLiU" w:cs="MingLiU"/>
      <w:kern w:val="0"/>
      <w:sz w:val="20"/>
      <w:szCs w:val="20"/>
    </w:rPr>
  </w:style>
  <w:style w:type="paragraph" w:customStyle="1" w:styleId="26">
    <w:name w:val="正文文本 (26)22"/>
    <w:basedOn w:val="1"/>
    <w:link w:val="25"/>
    <w:qFormat/>
    <w:uiPriority w:val="0"/>
    <w:pPr>
      <w:shd w:val="clear" w:color="auto" w:fill="FFFFFF"/>
      <w:spacing w:line="418" w:lineRule="exact"/>
    </w:pPr>
    <w:rPr>
      <w:rFonts w:ascii="MingLiU" w:hAnsi="MingLiU" w:eastAsia="MingLiU" w:cs="MingLiU"/>
      <w:sz w:val="20"/>
      <w:szCs w:val="20"/>
    </w:rPr>
  </w:style>
  <w:style w:type="character" w:customStyle="1" w:styleId="27">
    <w:name w:val="正文文本 (2) + 12 pt1"/>
    <w:basedOn w:val="28"/>
    <w:qFormat/>
    <w:uiPriority w:val="0"/>
    <w:rPr>
      <w:rFonts w:ascii="MingLiU" w:hAnsi="MingLiU" w:eastAsia="MingLiU" w:cs="MingLiU"/>
      <w:b/>
      <w:bCs/>
      <w:color w:val="000000"/>
      <w:spacing w:val="-10"/>
      <w:w w:val="100"/>
      <w:position w:val="0"/>
      <w:sz w:val="24"/>
      <w:szCs w:val="24"/>
      <w:u w:val="none"/>
      <w:lang w:val="zh-TW" w:eastAsia="zh-TW" w:bidi="zh-TW"/>
    </w:rPr>
  </w:style>
  <w:style w:type="character" w:customStyle="1" w:styleId="28">
    <w:name w:val="正文文本 (2)_"/>
    <w:basedOn w:val="16"/>
    <w:link w:val="29"/>
    <w:qFormat/>
    <w:uiPriority w:val="0"/>
    <w:rPr>
      <w:rFonts w:ascii="MingLiU" w:hAnsi="MingLiU" w:eastAsia="MingLiU" w:cs="MingLiU"/>
      <w:sz w:val="22"/>
      <w:szCs w:val="22"/>
    </w:rPr>
  </w:style>
  <w:style w:type="paragraph" w:customStyle="1" w:styleId="29">
    <w:name w:val="正文文本 (2)1"/>
    <w:basedOn w:val="1"/>
    <w:link w:val="28"/>
    <w:qFormat/>
    <w:uiPriority w:val="0"/>
    <w:pPr>
      <w:shd w:val="clear" w:color="auto" w:fill="FFFFFF"/>
      <w:spacing w:before="840" w:line="0" w:lineRule="atLeast"/>
      <w:jc w:val="distribute"/>
    </w:pPr>
    <w:rPr>
      <w:rFonts w:ascii="MingLiU" w:hAnsi="MingLiU" w:eastAsia="MingLiU" w:cs="MingLiU"/>
      <w:sz w:val="22"/>
    </w:rPr>
  </w:style>
  <w:style w:type="paragraph" w:customStyle="1" w:styleId="30">
    <w:name w:val="正文内容"/>
    <w:basedOn w:val="1"/>
    <w:qFormat/>
    <w:uiPriority w:val="0"/>
    <w:rPr>
      <w:rFonts w:ascii="Times New Roman" w:hAnsi="Times New Roman"/>
      <w:szCs w:val="24"/>
    </w:rPr>
  </w:style>
  <w:style w:type="character" w:customStyle="1" w:styleId="31">
    <w:name w:val="批注框文本 字符"/>
    <w:basedOn w:val="16"/>
    <w:link w:val="8"/>
    <w:semiHidden/>
    <w:qFormat/>
    <w:uiPriority w:val="99"/>
    <w:rPr>
      <w:rFonts w:ascii="Tahoma" w:hAnsi="Tahoma" w:eastAsia="楷体" w:cstheme="minorBidi"/>
      <w:sz w:val="18"/>
      <w:szCs w:val="18"/>
    </w:rPr>
  </w:style>
  <w:style w:type="paragraph" w:customStyle="1" w:styleId="32">
    <w:name w:val="新篇章节格式"/>
    <w:basedOn w:val="1"/>
    <w:qFormat/>
    <w:uiPriority w:val="0"/>
    <w:pPr>
      <w:adjustRightInd/>
      <w:snapToGrid/>
      <w:spacing w:afterLines="100" w:line="500" w:lineRule="exact"/>
      <w:ind w:left="1271" w:hanging="420"/>
      <w:jc w:val="center"/>
      <w:outlineLvl w:val="0"/>
    </w:pPr>
    <w:rPr>
      <w:rFonts w:ascii="黑体" w:hAnsi="黑体" w:eastAsia="黑体" w:cs="Times New Roman"/>
      <w:b/>
      <w:bCs/>
      <w:sz w:val="30"/>
      <w:szCs w:val="30"/>
    </w:rPr>
  </w:style>
  <w:style w:type="character" w:customStyle="1" w:styleId="33">
    <w:name w:val="NormalCharacter"/>
    <w:semiHidden/>
    <w:qFormat/>
    <w:uiPriority w:val="0"/>
  </w:style>
  <w:style w:type="paragraph" w:customStyle="1" w:styleId="34">
    <w:name w:val="_Style 3"/>
    <w:basedOn w:val="1"/>
    <w:qFormat/>
    <w:uiPriority w:val="0"/>
    <w:pPr>
      <w:widowControl w:val="0"/>
      <w:adjustRightInd/>
      <w:ind w:firstLine="200" w:firstLineChars="200"/>
      <w:jc w:val="both"/>
    </w:pPr>
    <w:rPr>
      <w:rFonts w:ascii="Calibri" w:hAnsi="Calibri" w:eastAsia="宋体" w:cs="Times New Roman"/>
      <w:kern w:val="2"/>
      <w:sz w:val="21"/>
      <w:szCs w:val="24"/>
    </w:rPr>
  </w:style>
  <w:style w:type="character" w:customStyle="1" w:styleId="35">
    <w:name w:val="font11"/>
    <w:basedOn w:val="16"/>
    <w:qFormat/>
    <w:uiPriority w:val="0"/>
    <w:rPr>
      <w:rFonts w:hint="eastAsia" w:ascii="宋体" w:hAnsi="宋体" w:eastAsia="宋体" w:cs="宋体"/>
      <w:b/>
      <w:color w:val="000000"/>
      <w:sz w:val="21"/>
      <w:szCs w:val="21"/>
      <w:u w:val="none"/>
    </w:rPr>
  </w:style>
  <w:style w:type="character" w:customStyle="1" w:styleId="36">
    <w:name w:val="font21"/>
    <w:basedOn w:val="16"/>
    <w:qFormat/>
    <w:uiPriority w:val="0"/>
    <w:rPr>
      <w:rFonts w:hint="eastAsia" w:ascii="宋体" w:hAnsi="宋体" w:eastAsia="宋体" w:cs="宋体"/>
      <w:b/>
      <w:color w:val="000000"/>
      <w:sz w:val="21"/>
      <w:szCs w:val="21"/>
      <w:u w:val="none"/>
    </w:rPr>
  </w:style>
  <w:style w:type="character" w:customStyle="1" w:styleId="37">
    <w:name w:val="font01"/>
    <w:basedOn w:val="16"/>
    <w:qFormat/>
    <w:uiPriority w:val="0"/>
    <w:rPr>
      <w:rFonts w:hint="eastAsia" w:ascii="宋体" w:hAnsi="宋体" w:eastAsia="宋体" w:cs="宋体"/>
      <w:color w:val="000000"/>
      <w:sz w:val="21"/>
      <w:szCs w:val="21"/>
      <w:u w:val="none"/>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0">
    <w:name w:val="正文文本 (2) + 10 pt"/>
    <w:basedOn w:val="28"/>
    <w:qFormat/>
    <w:uiPriority w:val="0"/>
    <w:rPr>
      <w:rFonts w:ascii="MingLiU" w:hAnsi="MingLiU" w:eastAsia="MingLiU" w:cs="MingLiU"/>
      <w:color w:val="000000"/>
      <w:spacing w:val="0"/>
      <w:w w:val="100"/>
      <w:position w:val="0"/>
      <w:sz w:val="20"/>
      <w:szCs w:val="20"/>
      <w:lang w:val="zh-TW" w:eastAsia="zh-TW" w:bidi="zh-TW"/>
    </w:rPr>
  </w:style>
  <w:style w:type="character" w:customStyle="1" w:styleId="41">
    <w:name w:val="正文文本 (2)"/>
    <w:basedOn w:val="28"/>
    <w:qFormat/>
    <w:uiPriority w:val="0"/>
    <w:rPr>
      <w:rFonts w:ascii="MingLiU" w:hAnsi="MingLiU" w:eastAsia="MingLiU" w:cs="MingLiU"/>
      <w:color w:val="000000"/>
      <w:spacing w:val="0"/>
      <w:w w:val="100"/>
      <w:position w:val="0"/>
      <w:sz w:val="22"/>
      <w:szCs w:val="22"/>
      <w:u w:val="none"/>
      <w:lang w:val="zh-TW" w:eastAsia="zh-TW" w:bidi="zh-TW"/>
    </w:rPr>
  </w:style>
  <w:style w:type="character" w:customStyle="1" w:styleId="42">
    <w:name w:val="font31"/>
    <w:basedOn w:val="16"/>
    <w:qFormat/>
    <w:uiPriority w:val="0"/>
    <w:rPr>
      <w:rFonts w:hint="eastAsia" w:ascii="宋体" w:hAnsi="宋体" w:eastAsia="宋体" w:cs="宋体"/>
      <w:color w:val="000000"/>
      <w:sz w:val="24"/>
      <w:szCs w:val="24"/>
      <w:u w:val="none"/>
    </w:rPr>
  </w:style>
  <w:style w:type="character" w:customStyle="1" w:styleId="43">
    <w:name w:val="标题 2 字符"/>
    <w:basedOn w:val="16"/>
    <w:link w:val="4"/>
    <w:qFormat/>
    <w:uiPriority w:val="9"/>
    <w:rPr>
      <w:rFonts w:ascii="Arial" w:hAnsi="Arial" w:eastAsia="楷体_GB2312"/>
      <w:sz w:val="32"/>
      <w:szCs w:val="22"/>
    </w:rPr>
  </w:style>
  <w:style w:type="character" w:customStyle="1" w:styleId="44">
    <w:name w:val="page-article"/>
    <w:basedOn w:val="16"/>
    <w:qFormat/>
    <w:uiPriority w:val="0"/>
    <w:rPr>
      <w:bdr w:val="single" w:color="146EBA" w:sz="4" w:space="0"/>
    </w:rPr>
  </w:style>
  <w:style w:type="paragraph" w:styleId="45">
    <w:name w:val="List Paragraph"/>
    <w:basedOn w:val="1"/>
    <w:qFormat/>
    <w:uiPriority w:val="34"/>
    <w:pPr>
      <w:ind w:firstLine="420" w:firstLineChars="200"/>
    </w:pPr>
  </w:style>
  <w:style w:type="character" w:customStyle="1" w:styleId="46">
    <w:name w:val="font41"/>
    <w:basedOn w:val="16"/>
    <w:qFormat/>
    <w:uiPriority w:val="0"/>
    <w:rPr>
      <w:rFonts w:hint="default" w:ascii="Times New Roman" w:hAnsi="Times New Roman" w:cs="Times New Roman"/>
      <w:color w:val="000000"/>
      <w:sz w:val="30"/>
      <w:szCs w:val="30"/>
      <w:u w:val="none"/>
    </w:rPr>
  </w:style>
  <w:style w:type="character" w:customStyle="1" w:styleId="47">
    <w:name w:val="font61"/>
    <w:basedOn w:val="16"/>
    <w:qFormat/>
    <w:uiPriority w:val="0"/>
    <w:rPr>
      <w:rFonts w:hint="eastAsia" w:ascii="宋体" w:hAnsi="宋体" w:eastAsia="宋体" w:cs="宋体"/>
      <w:color w:val="000000"/>
      <w:sz w:val="30"/>
      <w:szCs w:val="30"/>
      <w:u w:val="none"/>
    </w:rPr>
  </w:style>
  <w:style w:type="character" w:customStyle="1" w:styleId="48">
    <w:name w:val="font71"/>
    <w:basedOn w:val="16"/>
    <w:qFormat/>
    <w:uiPriority w:val="0"/>
    <w:rPr>
      <w:rFonts w:hint="default" w:ascii="Times New Roman" w:hAnsi="Times New Roman" w:cs="Times New Roman"/>
      <w:color w:val="000000"/>
      <w:sz w:val="30"/>
      <w:szCs w:val="30"/>
      <w:u w:val="none"/>
    </w:rPr>
  </w:style>
  <w:style w:type="character" w:customStyle="1" w:styleId="49">
    <w:name w:val="one"/>
    <w:basedOn w:val="16"/>
    <w:qFormat/>
    <w:uiPriority w:val="0"/>
    <w:rPr>
      <w:color w:val="003366"/>
    </w:rPr>
  </w:style>
  <w:style w:type="character" w:customStyle="1" w:styleId="50">
    <w:name w:val="icon_video"/>
    <w:basedOn w:val="16"/>
    <w:qFormat/>
    <w:uiPriority w:val="0"/>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chart" Target="charts/chart3.xml"/><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bruce%20jiang\&#33268;&#35802;&#21672;&#35810;&#24037;&#20316;&#30005;&#33041;\&#21313;&#22235;&#20116;&#35268;&#21010;&#36164;&#26009;\&#37045;&#38451;&#24066;&#8220;&#21313;&#22235;&#20116;&#8221;&#35268;&#21010;&#39033;&#30446;-&#31454;&#27901;\&#25104;&#26524;-&#23792;\&#21442;&#32771;\&#37045;&#38451;&#21457;&#25913;&#23616;&#21453;&#39304;&#20462;&#25913;&#24847;&#35265;\&#33268;&#35802;&#32534;&#21046;\&#37045;&#38451;&#24066;&#25968;&#25454;&#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bruce%20jiang\&#33268;&#35802;&#21672;&#35810;&#24037;&#20316;&#30005;&#33041;\&#21313;&#22235;&#20116;&#35268;&#21010;&#36164;&#26009;\&#37045;&#38451;&#24066;&#8220;&#21313;&#22235;&#20116;&#8221;&#35268;&#21010;&#39033;&#30446;-&#31454;&#27901;\&#25104;&#26524;-&#23792;\&#21442;&#32771;\&#37045;&#38451;&#21457;&#25913;&#23616;&#21453;&#39304;&#20462;&#25913;&#24847;&#35265;\&#25351;&#26631;&#20307;&#31995;\&#37045;&#38451;&#24066;&#21313;&#22235;&#20116;&#35268;&#21010;&#32434;&#35201;&#25351;&#26631;&#20307;&#319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"地区生产总值"</c:f>
              <c:strCache>
                <c:ptCount val="1"/>
                <c:pt idx="0">
                  <c:v>地区生产总值</c:v>
                </c:pt>
              </c:strCache>
            </c:strRef>
          </c:tx>
          <c:spPr>
            <a:solidFill>
              <a:schemeClr val="accent1"/>
            </a:solidFill>
            <a:ln>
              <a:noFill/>
            </a:ln>
            <a:effectLst/>
          </c:spPr>
          <c:invertIfNegative val="0"/>
          <c:dLbls>
            <c:dLbl>
              <c:idx val="5"/>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2250.80</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[邵阳市数据表.xls]邵阳市数据统计!$E$2:$J$2</c:f>
              <c:numCache>
                <c:formatCode>General</c:formatCode>
                <c:ptCount val="6"/>
                <c:pt idx="0">
                  <c:v>2015</c:v>
                </c:pt>
                <c:pt idx="1">
                  <c:v>2016</c:v>
                </c:pt>
                <c:pt idx="2">
                  <c:v>2017</c:v>
                </c:pt>
                <c:pt idx="3">
                  <c:v>2018</c:v>
                </c:pt>
                <c:pt idx="4">
                  <c:v>2019</c:v>
                </c:pt>
                <c:pt idx="5">
                  <c:v>2020</c:v>
                </c:pt>
              </c:numCache>
            </c:numRef>
          </c:cat>
          <c:val>
            <c:numRef>
              <c:f>[邵阳市数据表.xls]邵阳市数据统计!$E$8:$J$8</c:f>
              <c:numCache>
                <c:formatCode>General</c:formatCode>
                <c:ptCount val="6"/>
                <c:pt idx="0">
                  <c:v>1387</c:v>
                </c:pt>
                <c:pt idx="1">
                  <c:v>1505.35</c:v>
                </c:pt>
                <c:pt idx="2">
                  <c:v>1626.72</c:v>
                </c:pt>
                <c:pt idx="3">
                  <c:v>1782</c:v>
                </c:pt>
                <c:pt idx="4">
                  <c:v>2152.48</c:v>
                </c:pt>
                <c:pt idx="5">
                  <c:v>2300</c:v>
                </c:pt>
              </c:numCache>
            </c:numRef>
          </c:val>
        </c:ser>
        <c:dLbls>
          <c:showLegendKey val="0"/>
          <c:showVal val="0"/>
          <c:showCatName val="0"/>
          <c:showSerName val="0"/>
          <c:showPercent val="0"/>
          <c:showBubbleSize val="0"/>
        </c:dLbls>
        <c:gapWidth val="219"/>
        <c:overlap val="-27"/>
        <c:axId val="263302574"/>
        <c:axId val="905056182"/>
      </c:barChart>
      <c:lineChart>
        <c:grouping val="standard"/>
        <c:varyColors val="0"/>
        <c:ser>
          <c:idx val="1"/>
          <c:order val="1"/>
          <c:tx>
            <c:strRef>
              <c:f>"年均增长率"</c:f>
              <c:strCache>
                <c:ptCount val="1"/>
                <c:pt idx="0">
                  <c:v>年均增长率</c:v>
                </c:pt>
              </c:strCache>
            </c:strRef>
          </c:tx>
          <c:spPr>
            <a:ln w="15875" cap="rnd" cmpd="sng" algn="ctr">
              <a:solidFill>
                <a:schemeClr val="accent2"/>
              </a:solidFill>
              <a:prstDash val="dash"/>
              <a:bevel/>
              <a:headEnd type="none"/>
              <a:tailEnd type="diamond"/>
            </a:ln>
          </c:spPr>
          <c:marker>
            <c:symbol val="none"/>
          </c:marker>
          <c:dLbls>
            <c:delete val="1"/>
          </c:dLbls>
          <c:cat>
            <c:numRef>
              <c:f>{2015}</c:f>
              <c:numCache>
                <c:formatCode>General</c:formatCode>
                <c:ptCount val="1"/>
                <c:pt idx="0">
                  <c:v>2015</c:v>
                </c:pt>
              </c:numCache>
            </c:numRef>
          </c:cat>
          <c:val>
            <c:numRef>
              <c:f>[邵阳市数据表.xls]邵阳市数据统计!$E$9:$J$9</c:f>
              <c:numCache>
                <c:formatCode>0.00%</c:formatCode>
                <c:ptCount val="6"/>
                <c:pt idx="0">
                  <c:v>0.240763601882168</c:v>
                </c:pt>
                <c:pt idx="1">
                  <c:v>0.0853280461427541</c:v>
                </c:pt>
                <c:pt idx="2">
                  <c:v>0.0806257680937989</c:v>
                </c:pt>
                <c:pt idx="3">
                  <c:v>0.0954558866922396</c:v>
                </c:pt>
                <c:pt idx="4">
                  <c:v>0.207901234567901</c:v>
                </c:pt>
                <c:pt idx="5">
                  <c:v>0.0685348992789712</c:v>
                </c:pt>
              </c:numCache>
            </c:numRef>
          </c:val>
          <c:smooth val="0"/>
        </c:ser>
        <c:dLbls>
          <c:showLegendKey val="0"/>
          <c:showVal val="0"/>
          <c:showCatName val="0"/>
          <c:showSerName val="0"/>
          <c:showPercent val="0"/>
          <c:showBubbleSize val="0"/>
        </c:dLbls>
        <c:marker val="0"/>
        <c:smooth val="0"/>
        <c:axId val="677565769"/>
        <c:axId val="89502759"/>
      </c:lineChart>
      <c:catAx>
        <c:axId val="26330257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5056182"/>
        <c:crosses val="autoZero"/>
        <c:auto val="1"/>
        <c:lblAlgn val="ctr"/>
        <c:lblOffset val="100"/>
        <c:noMultiLvlLbl val="0"/>
      </c:catAx>
      <c:valAx>
        <c:axId val="905056182"/>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3302574"/>
        <c:crosses val="autoZero"/>
        <c:crossBetween val="between"/>
      </c:valAx>
      <c:catAx>
        <c:axId val="677565769"/>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9502759"/>
        <c:crosses val="autoZero"/>
        <c:auto val="1"/>
        <c:lblAlgn val="ctr"/>
        <c:lblOffset val="100"/>
        <c:noMultiLvlLbl val="0"/>
      </c:catAx>
      <c:valAx>
        <c:axId val="89502759"/>
        <c:scaling>
          <c:orientation val="minMax"/>
        </c:scaling>
        <c:delete val="0"/>
        <c:axPos val="r"/>
        <c:numFmt formatCode="0.00%" sourceLinked="1"/>
        <c:majorTickMark val="none"/>
        <c:minorTickMark val="none"/>
        <c:tickLblPos val="nextTo"/>
        <c:spPr>
          <a:effectLst>
            <a:softEdge rad="12700"/>
          </a:effectLst>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77565769"/>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rnd" cmpd="sng" algn="ctr">
      <a:noFill/>
      <a:prstDash val="solid"/>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第一产业</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Sheet1!$B$2:$B$7</c:f>
              <c:numCache>
                <c:formatCode>0.0_ </c:formatCode>
                <c:ptCount val="6"/>
                <c:pt idx="0">
                  <c:v>21.6</c:v>
                </c:pt>
                <c:pt idx="1">
                  <c:v>21.4</c:v>
                </c:pt>
                <c:pt idx="2">
                  <c:v>19.7</c:v>
                </c:pt>
                <c:pt idx="3">
                  <c:v>16.6</c:v>
                </c:pt>
                <c:pt idx="4">
                  <c:v>16.3</c:v>
                </c:pt>
                <c:pt idx="5">
                  <c:v>17.8</c:v>
                </c:pt>
              </c:numCache>
            </c:numRef>
          </c:val>
        </c:ser>
        <c:ser>
          <c:idx val="1"/>
          <c:order val="1"/>
          <c:tx>
            <c:strRef>
              <c:f>Sheet1!$C$1</c:f>
              <c:strCache>
                <c:ptCount val="1"/>
                <c:pt idx="0">
                  <c:v>第二产业</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Sheet1!$C$2:$C$7</c:f>
              <c:numCache>
                <c:formatCode>0.0_ </c:formatCode>
                <c:ptCount val="6"/>
                <c:pt idx="0">
                  <c:v>36.6</c:v>
                </c:pt>
                <c:pt idx="1">
                  <c:v>35.5</c:v>
                </c:pt>
                <c:pt idx="2">
                  <c:v>35.2</c:v>
                </c:pt>
                <c:pt idx="3">
                  <c:v>35.2</c:v>
                </c:pt>
                <c:pt idx="4">
                  <c:v>27.7</c:v>
                </c:pt>
                <c:pt idx="5">
                  <c:v>31</c:v>
                </c:pt>
              </c:numCache>
            </c:numRef>
          </c:val>
        </c:ser>
        <c:ser>
          <c:idx val="2"/>
          <c:order val="2"/>
          <c:tx>
            <c:strRef>
              <c:f>Sheet1!$D$1</c:f>
              <c:strCache>
                <c:ptCount val="1"/>
                <c:pt idx="0">
                  <c:v>第三产业</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Sheet1!$D$2:$D$7</c:f>
              <c:numCache>
                <c:formatCode>0.0_ </c:formatCode>
                <c:ptCount val="6"/>
                <c:pt idx="0">
                  <c:v>41.8</c:v>
                </c:pt>
                <c:pt idx="1">
                  <c:v>43.1</c:v>
                </c:pt>
                <c:pt idx="2">
                  <c:v>45.1</c:v>
                </c:pt>
                <c:pt idx="3">
                  <c:v>48.2</c:v>
                </c:pt>
                <c:pt idx="4">
                  <c:v>56</c:v>
                </c:pt>
                <c:pt idx="5">
                  <c:v>51.2</c:v>
                </c:pt>
              </c:numCache>
            </c:numRef>
          </c:val>
        </c:ser>
        <c:dLbls>
          <c:showLegendKey val="0"/>
          <c:showVal val="1"/>
          <c:showCatName val="0"/>
          <c:showSerName val="0"/>
          <c:showPercent val="0"/>
          <c:showBubbleSize val="0"/>
        </c:dLbls>
        <c:gapWidth val="150"/>
        <c:overlap val="100"/>
        <c:axId val="438985490"/>
        <c:axId val="10841095"/>
      </c:barChart>
      <c:catAx>
        <c:axId val="43898549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841095"/>
        <c:crosses val="autoZero"/>
        <c:auto val="1"/>
        <c:lblAlgn val="ctr"/>
        <c:lblOffset val="100"/>
        <c:noMultiLvlLbl val="0"/>
      </c:catAx>
      <c:valAx>
        <c:axId val="108410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898549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69707000122594"/>
          <c:y val="0.115071045888656"/>
          <c:w val="0.949491234522496"/>
          <c:h val="0.833682739343117"/>
        </c:manualLayout>
      </c:layout>
      <c:barChart>
        <c:barDir val="col"/>
        <c:grouping val="stacked"/>
        <c:varyColors val="0"/>
        <c:ser>
          <c:idx val="0"/>
          <c:order val="0"/>
          <c:tx>
            <c:strRef>
              <c:f>[邵阳市十四五规划纲要指标体系.xlsx]产业链图!$A$3</c:f>
              <c:strCache>
                <c:ptCount val="1"/>
                <c:pt idx="0">
                  <c:v>产业产值（亿元）</c:v>
                </c:pt>
              </c:strCache>
            </c:strRef>
          </c:tx>
          <c:spPr>
            <a:solidFill>
              <a:schemeClr val="accent1">
                <a:lumMod val="60000"/>
                <a:lumOff val="40000"/>
              </a:schemeClr>
            </a:solidFill>
            <a:ln>
              <a:noFill/>
            </a:ln>
            <a:effectLst/>
          </c:spPr>
          <c:invertIfNegative val="0"/>
          <c:dPt>
            <c:idx val="0"/>
            <c:invertIfNegative val="0"/>
            <c:bubble3D val="0"/>
            <c:spPr>
              <a:solidFill>
                <a:schemeClr val="accent2">
                  <a:lumMod val="40000"/>
                  <a:lumOff val="60000"/>
                  <a:alpha val="70000"/>
                </a:schemeClr>
              </a:solidFill>
              <a:ln>
                <a:noFill/>
              </a:ln>
              <a:effectLst/>
            </c:spPr>
          </c:dPt>
          <c:dPt>
            <c:idx val="1"/>
            <c:invertIfNegative val="0"/>
            <c:bubble3D val="0"/>
            <c:spPr>
              <a:solidFill>
                <a:schemeClr val="accent2">
                  <a:lumMod val="40000"/>
                  <a:lumOff val="60000"/>
                  <a:alpha val="70000"/>
                </a:schemeClr>
              </a:solidFill>
              <a:ln>
                <a:noFill/>
              </a:ln>
              <a:effectLst/>
            </c:spPr>
          </c:dPt>
          <c:dPt>
            <c:idx val="3"/>
            <c:invertIfNegative val="0"/>
            <c:bubble3D val="0"/>
            <c:spPr>
              <a:solidFill>
                <a:schemeClr val="accent1">
                  <a:lumMod val="60000"/>
                  <a:lumOff val="40000"/>
                  <a:alpha val="50000"/>
                </a:schemeClr>
              </a:solidFill>
              <a:ln>
                <a:noFill/>
              </a:ln>
              <a:effectLst/>
            </c:spPr>
          </c:dPt>
          <c:dPt>
            <c:idx val="4"/>
            <c:invertIfNegative val="0"/>
            <c:bubble3D val="0"/>
            <c:spPr>
              <a:solidFill>
                <a:schemeClr val="accent1">
                  <a:lumMod val="60000"/>
                  <a:lumOff val="40000"/>
                  <a:alpha val="50000"/>
                </a:schemeClr>
              </a:solidFill>
              <a:ln>
                <a:noFill/>
              </a:ln>
              <a:effectLst/>
            </c:spPr>
          </c:dPt>
          <c:dPt>
            <c:idx val="5"/>
            <c:invertIfNegative val="0"/>
            <c:bubble3D val="0"/>
            <c:spPr>
              <a:solidFill>
                <a:schemeClr val="accent1">
                  <a:lumMod val="60000"/>
                  <a:lumOff val="40000"/>
                  <a:alpha val="50000"/>
                </a:schemeClr>
              </a:solidFill>
              <a:ln>
                <a:noFill/>
              </a:ln>
              <a:effectLst/>
            </c:spPr>
          </c:dPt>
          <c:dPt>
            <c:idx val="7"/>
            <c:invertIfNegative val="0"/>
            <c:bubble3D val="0"/>
            <c:spPr>
              <a:solidFill>
                <a:srgbClr val="D0CBEE">
                  <a:alpha val="70000"/>
                </a:srgbClr>
              </a:solidFill>
              <a:ln>
                <a:noFill/>
              </a:ln>
              <a:effectLst/>
            </c:spPr>
          </c:dPt>
          <c:dPt>
            <c:idx val="8"/>
            <c:invertIfNegative val="0"/>
            <c:bubble3D val="0"/>
            <c:spPr>
              <a:solidFill>
                <a:srgbClr val="D0CBEE">
                  <a:alpha val="70000"/>
                </a:srgbClr>
              </a:solidFill>
              <a:ln>
                <a:noFill/>
              </a:ln>
              <a:effectLst/>
            </c:spPr>
          </c:dPt>
          <c:dLbls>
            <c:dLbl>
              <c:idx val="0"/>
              <c:layout>
                <c:manualLayout>
                  <c:x val="0.000122594090964815"/>
                  <c:y val="-0.320288842301421"/>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
                  <c:y val="-0.421383647798742"/>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158146377344612"/>
                  <c:y val="-0.169811320754717"/>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
                  <c:y val="-0.329140461215933"/>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00331004045605002"/>
                  <c:y val="-0.212671791288143"/>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7"/>
              <c:layout>
                <c:manualLayout>
                  <c:x val="0"/>
                  <c:y val="-0.37619380386676"/>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8"/>
              <c:layout>
                <c:manualLayout>
                  <c:x val="-0.00122594090964815"/>
                  <c:y val="-0.324481714418821"/>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dLblPos val="ct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[邵阳市十四五规划纲要指标体系.xlsx]产业链图!$B$2:$J$2</c:f>
              <c:strCache>
                <c:ptCount val="9"/>
                <c:pt idx="0">
                  <c:v>显示功能材料</c:v>
                </c:pt>
                <c:pt idx="1">
                  <c:v>先进装备制造</c:v>
                </c:pt>
                <c:pt idx="3">
                  <c:v>智能家居家电</c:v>
                </c:pt>
                <c:pt idx="4">
                  <c:v>循环经济</c:v>
                </c:pt>
                <c:pt idx="5">
                  <c:v>中医药</c:v>
                </c:pt>
                <c:pt idx="7">
                  <c:v>时尚用品</c:v>
                </c:pt>
                <c:pt idx="8">
                  <c:v>互联网</c:v>
                </c:pt>
              </c:strCache>
            </c:strRef>
          </c:cat>
          <c:val>
            <c:numRef>
              <c:f>[邵阳市十四五规划纲要指标体系.xlsx]产业链图!$B$3:$J$3</c:f>
              <c:numCache>
                <c:formatCode>General</c:formatCode>
                <c:ptCount val="9"/>
                <c:pt idx="0">
                  <c:v>500</c:v>
                </c:pt>
                <c:pt idx="1">
                  <c:v>700</c:v>
                </c:pt>
                <c:pt idx="3">
                  <c:v>200</c:v>
                </c:pt>
                <c:pt idx="4">
                  <c:v>500</c:v>
                </c:pt>
                <c:pt idx="5">
                  <c:v>300</c:v>
                </c:pt>
                <c:pt idx="7">
                  <c:v>600</c:v>
                </c:pt>
                <c:pt idx="8">
                  <c:v>500</c:v>
                </c:pt>
              </c:numCache>
            </c:numRef>
          </c:val>
        </c:ser>
        <c:dLbls>
          <c:showLegendKey val="0"/>
          <c:showVal val="1"/>
          <c:showCatName val="1"/>
          <c:showSerName val="0"/>
          <c:showPercent val="0"/>
          <c:showBubbleSize val="0"/>
        </c:dLbls>
        <c:gapWidth val="40"/>
        <c:overlap val="100"/>
        <c:axId val="698649927"/>
        <c:axId val="827111352"/>
      </c:barChart>
      <c:catAx>
        <c:axId val="698649927"/>
        <c:scaling>
          <c:orientation val="minMax"/>
        </c:scaling>
        <c:delete val="1"/>
        <c:axPos val="b"/>
        <c:numFmt formatCode="General"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7111352"/>
        <c:crosses val="autoZero"/>
        <c:auto val="1"/>
        <c:lblAlgn val="ctr"/>
        <c:lblOffset val="100"/>
        <c:noMultiLvlLbl val="0"/>
      </c:catAx>
      <c:valAx>
        <c:axId val="827111352"/>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8649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AADB5D-C472-4AA1-915E-9F07F8F0E4C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200</Pages>
  <Words>99994</Words>
  <Characters>102352</Characters>
  <Lines>772</Lines>
  <Paragraphs>217</Paragraphs>
  <TotalTime>25</TotalTime>
  <ScaleCrop>false</ScaleCrop>
  <LinksUpToDate>false</LinksUpToDate>
  <CharactersWithSpaces>103092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2020-12-18T05:12:00Z</dcterms:created>
  <dc:creator>龙凯</dc:creator>
  <cp:lastModifiedBy>随风而起</cp:lastModifiedBy>
  <cp:lastPrinted>2021-07-06T13:22:00Z</cp:lastPrinted>
  <dcterms:modified xsi:type="dcterms:W3CDTF">2023-07-07T02:35:20Z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D8B9EEB12227495C844993317C824962_13</vt:lpwstr>
  </property>
</Properties>
</file>