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center"/>
        <w:textAlignment w:val="auto"/>
        <w:rPr>
          <w:rFonts w:hint="eastAsia" w:ascii="Times New Roman Regular" w:hAnsi="Times New Roman Regular" w:eastAsia="方正小标宋_GBK" w:cs="Times New Roman Regular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 Regular" w:hAnsi="Times New Roman Regular" w:eastAsia="方正小标宋_GBK" w:cs="Times New Roman Regular"/>
          <w:color w:val="auto"/>
          <w:sz w:val="44"/>
          <w:szCs w:val="44"/>
          <w:highlight w:val="none"/>
          <w:lang w:val="en-US" w:eastAsia="zh-CN"/>
        </w:rPr>
        <w:t>2020-2022年度</w:t>
      </w:r>
      <w:r>
        <w:rPr>
          <w:rFonts w:hint="eastAsia" w:ascii="Times New Roman Regular" w:hAnsi="Times New Roman Regular" w:eastAsia="方正小标宋_GBK" w:cs="Times New Roman Regular"/>
          <w:color w:val="auto"/>
          <w:sz w:val="44"/>
          <w:szCs w:val="44"/>
          <w:highlight w:val="none"/>
          <w:lang w:val="en-US" w:eastAsia="zh-CN"/>
        </w:rPr>
        <w:t>粮食生产奖补资金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Times New Roman Regular" w:hAnsi="Times New Roman Regular" w:eastAsia="方正小标宋_GBK" w:cs="Times New Roman Regular"/>
          <w:color w:val="auto"/>
          <w:sz w:val="44"/>
          <w:szCs w:val="44"/>
          <w:highlight w:val="none"/>
          <w:lang w:val="en-US" w:eastAsia="zh-CN"/>
        </w:rPr>
        <w:t>绩效评价报告</w:t>
      </w:r>
    </w:p>
    <w:p>
      <w:pPr>
        <w:pStyle w:val="9"/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为进一步强化财政支出绩效理念和责任意识，规范财政资金管理，切实提高财政资金使用效益，根据《中共中央国务院关于全面实施预算绩效管理的意见》（中发〔2018〕34号）、《中共湖南省委办公厅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湖南省人民政府办公厅关于全面实施预算绩效管理的实施意见》（湘办发〔2019〕10号）、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《湖南省财政厅关于印发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&lt;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湖南省预算支出绩效评价管理办法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&gt;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的通知》（湘财绩〔2020〕7号）、</w:t>
      </w:r>
      <w:r>
        <w:rPr>
          <w:rFonts w:eastAsia="仿宋_GB2312"/>
          <w:color w:val="auto"/>
          <w:sz w:val="32"/>
          <w:szCs w:val="32"/>
          <w:highlight w:val="none"/>
        </w:rPr>
        <w:t>《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邵阳市财政局关于开展2020-2022年度粮食生产奖补资金</w:t>
      </w:r>
      <w:r>
        <w:rPr>
          <w:rFonts w:eastAsia="仿宋_GB2312"/>
          <w:color w:val="auto"/>
          <w:sz w:val="32"/>
          <w:szCs w:val="32"/>
          <w:highlight w:val="none"/>
        </w:rPr>
        <w:t>绩效评价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工作的</w:t>
      </w:r>
      <w:r>
        <w:rPr>
          <w:rFonts w:eastAsia="仿宋_GB2312"/>
          <w:color w:val="auto"/>
          <w:sz w:val="32"/>
          <w:szCs w:val="32"/>
          <w:highlight w:val="none"/>
        </w:rPr>
        <w:t>通知》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邵财绩〔2023〕6号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等有关文件规定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，中标单位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湖南财正会计师事务所（普通合伙）（以下简称“我所”）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成立绩效评价工作组，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对2020-2022年度粮食生产奖补资金（以下简称“粮食生产奖补资金”）开展了绩效评价，现将有关情况报告如下：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left="0" w:leftChars="0" w:firstLine="640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bookmarkStart w:id="0" w:name="_Toc13947"/>
      <w:r>
        <w:rPr>
          <w:color w:val="auto"/>
          <w:sz w:val="32"/>
          <w:szCs w:val="32"/>
          <w:highlight w:val="none"/>
        </w:rPr>
        <w:t>一、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color w:val="auto"/>
          <w:sz w:val="32"/>
          <w:szCs w:val="32"/>
          <w:highlight w:val="none"/>
        </w:rPr>
        <w:t>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3" w:firstLineChars="200"/>
        <w:textAlignment w:val="auto"/>
        <w:rPr>
          <w:rStyle w:val="22"/>
          <w:color w:val="auto"/>
          <w:sz w:val="32"/>
          <w:szCs w:val="32"/>
          <w:highlight w:val="none"/>
        </w:rPr>
      </w:pPr>
      <w:bookmarkStart w:id="1" w:name="_Toc27048"/>
      <w:r>
        <w:rPr>
          <w:rStyle w:val="22"/>
          <w:color w:val="auto"/>
          <w:sz w:val="32"/>
          <w:szCs w:val="32"/>
          <w:highlight w:val="none"/>
        </w:rPr>
        <w:t>（一）</w:t>
      </w:r>
      <w:r>
        <w:rPr>
          <w:rStyle w:val="22"/>
          <w:rFonts w:hint="eastAsia" w:eastAsia="楷体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Style w:val="22"/>
          <w:color w:val="auto"/>
          <w:sz w:val="32"/>
          <w:szCs w:val="32"/>
          <w:highlight w:val="none"/>
        </w:rPr>
        <w:t>概况</w:t>
      </w:r>
    </w:p>
    <w:bookmarkEnd w:id="1"/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</w:rPr>
        <w:t>1、</w:t>
      </w:r>
      <w:r>
        <w:rPr>
          <w:rFonts w:hint="eastAsia" w:ascii="Times New Roman Regular" w:hAnsi="Times New Roman Regular" w:eastAsia="仿宋_GB2312" w:cs="Times New Roman Regular"/>
          <w:b/>
          <w:bCs w:val="0"/>
          <w:color w:val="auto"/>
          <w:kern w:val="2"/>
          <w:sz w:val="32"/>
          <w:szCs w:val="32"/>
          <w:highlight w:val="none"/>
          <w:lang w:val="en-US" w:eastAsia="zh-Hans" w:bidi="ar-SA"/>
        </w:rPr>
        <w:t>项目</w:t>
      </w:r>
      <w:r>
        <w:rPr>
          <w:rFonts w:hint="default" w:ascii="Times New Roman Regular" w:hAnsi="Times New Roman Regular" w:eastAsia="仿宋_GB2312" w:cs="Times New Roman Regular"/>
          <w:b/>
          <w:bCs w:val="0"/>
          <w:color w:val="auto"/>
          <w:sz w:val="32"/>
          <w:szCs w:val="32"/>
          <w:highlight w:val="none"/>
          <w:lang w:val="en-US" w:eastAsia="zh-Hans"/>
        </w:rPr>
        <w:t>决策背景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2"/>
        <w:rPr>
          <w:rFonts w:hint="default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粮食需求会随着人口的增加及城镇化进程的加速，继续扩大，但是种粮生产成本因物价上升而上涨，农户种粮收入与其他产业相比，明显偏低，农户主动投入粮食生产的积极性受到抑制，粮食的供给得不到长期保障。为减轻农民的种植成本，提高农业的综合生产能力，保障粮食有效供给，邵阳市人民政府办公室、中共邵阳市委农村工作领导小组根据中央、省委农村工作等会议精神，相继印发《关于切实抓好2020年粮食生产工作的通知》（邵市政办函〔2020〕9号）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《关于切实做好2021年粮食生产工作的通知》（邵市办发电〔2021〕16号）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《关于切实做好2022年粮食生产工作的通知》（邵市办发电〔2022〕20号）、《关于邵阳市2021年粮食生产考核奖补办法》（邵农发〔2021〕3号）、《邵阳市2022年粮食生产考核奖补办法》（邵农发〔2022〕2号），决定对各县市区的乡镇、种粮大户、育秧大户、农机大户、大豆种植大户，实施粮食生产奖补政策，调动种粮大户的积极性，推进农业机械化，促进粮食产业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2"/>
        <w:rPr>
          <w:rFonts w:hint="default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Hans"/>
        </w:rPr>
        <w:t>项目</w:t>
      </w: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kern w:val="2"/>
          <w:sz w:val="32"/>
          <w:szCs w:val="32"/>
          <w:highlight w:val="none"/>
          <w:lang w:val="en-US" w:eastAsia="zh-Hans" w:bidi="ar-SA"/>
        </w:rPr>
        <w:t>组织实施单位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 Regular" w:hAnsi="Times New Roman Regular" w:eastAsia="仿宋_GB2312" w:cs="Times New Roman Regular"/>
          <w:bCs/>
          <w:color w:val="auto"/>
          <w:kern w:val="2"/>
          <w:sz w:val="32"/>
          <w:szCs w:val="32"/>
          <w:highlight w:val="none"/>
          <w:lang w:val="en-US" w:eastAsia="zh-Hans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Hans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主管部门为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Hans"/>
        </w:rPr>
        <w:t>邵阳市农业农村局（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以下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Hans"/>
        </w:rPr>
        <w:t>简称“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市农业农村局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Hans"/>
        </w:rPr>
        <w:t>”）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主要负责2020-202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度粮食生产奖补资金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的组织实施，奖补资金分配，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县市区申报材料审核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确定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、公示及上报市委农村工作领导小组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奖补名单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Hans"/>
        </w:rPr>
        <w:t>实施单位为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各县市区农业农村局，主要负责对所辖区乡镇及种植户申报材料审核，确定及公示推荐名单，上报邵阳市农业农村局推荐名单、汇编材料等工作。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3、项目阶段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性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目标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2020年，市农业农村局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计划按照每亩大田30元的标准对种粮户专业化集中育秧给予补助，按每亩大田20元的标准对种粮户早稻机插（抛）秧服务给予作业补贴。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eastAsia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2021-2022年，市农业农村局计划奖补110个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优秀种粮大户（家庭农场）、60个优秀早稻专业化集中育秧大户（合作社）、30个优秀农机大户（合作社）、40个优秀大豆种植大户（家庭农场、合作社、村集体）、40个先进乡镇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具体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奖补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计划如下表：</w:t>
      </w:r>
    </w:p>
    <w:tbl>
      <w:tblPr>
        <w:tblStyle w:val="18"/>
        <w:tblW w:w="10601" w:type="dxa"/>
        <w:jc w:val="center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dotted" w:color="000000" w:sz="4" w:space="0"/>
          <w:insideV w:val="dotted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858"/>
        <w:gridCol w:w="1084"/>
        <w:gridCol w:w="1084"/>
        <w:gridCol w:w="1084"/>
        <w:gridCol w:w="756"/>
        <w:gridCol w:w="2551"/>
        <w:gridCol w:w="1243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tblHeader/>
          <w:jc w:val="center"/>
        </w:trPr>
        <w:tc>
          <w:tcPr>
            <w:tcW w:w="1720" w:type="dxa"/>
            <w:tcBorders>
              <w:tl2br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vertAlign w:val="subscript"/>
                <w:lang w:val="en-US" w:eastAsia="zh-CN" w:bidi="ar"/>
              </w:rPr>
              <w:t xml:space="preserve"> 县区市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vertAlign w:val="superscript"/>
                <w:lang w:val="en-US" w:eastAsia="zh-CN" w:bidi="ar"/>
              </w:rPr>
              <w:t xml:space="preserve">  内容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优秀种粮大户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优秀育秧大户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优秀农机大户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优秀大豆种植大户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先进乡镇</w:t>
            </w:r>
          </w:p>
        </w:tc>
        <w:tc>
          <w:tcPr>
            <w:tcW w:w="22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奖补标准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双清区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（含经开区）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6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1、优秀种粮大户（家庭农场）、优秀早稻专业化集中育秧大户（合作社）、优秀农机大户（合作社）每户奖励10万元；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2、优秀大豆种植大户（家庭农场、合作社、村集体）每户奖励5万元；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3、2021年先进乡镇每个奖励10万元，2022年先进乡镇只授牌不发奖金。</w:t>
            </w: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大祥区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北塔区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邵东市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新邵县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邵阳县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隆回县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洞口县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绥宁县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新宁县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城步县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2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color w:val="auto"/>
          <w:highlight w:val="none"/>
          <w:lang w:eastAsia="zh-CN"/>
        </w:rPr>
      </w:pPr>
      <w:bookmarkStart w:id="2" w:name="_Toc32399"/>
      <w:bookmarkStart w:id="3" w:name="_Toc12797"/>
      <w:bookmarkStart w:id="4" w:name="_Toc26482"/>
      <w:bookmarkStart w:id="5" w:name="_Toc30155"/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备注：上表中包括在项目实施过程中，城步县2021年因种粮大户未达到申报条件，无法上报优秀种粮大户推荐名单；市农业农村局为提高专项资金使用率</w:t>
      </w:r>
      <w:r>
        <w:rPr>
          <w:rFonts w:hint="default" w:ascii="Times New Roman" w:hAnsi="Times New Roman" w:eastAsia="仿宋_GB2312" w:cs="Times New Roman"/>
          <w:sz w:val="24"/>
          <w:szCs w:val="24"/>
        </w:rPr>
        <w:t>，将城步县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1个优秀种粮大户名额</w:t>
      </w:r>
      <w:r>
        <w:rPr>
          <w:rFonts w:hint="default" w:ascii="Times New Roman" w:hAnsi="Times New Roman" w:eastAsia="仿宋_GB2312" w:cs="Times New Roman"/>
          <w:sz w:val="24"/>
          <w:szCs w:val="24"/>
        </w:rPr>
        <w:t>调剂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新宁县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1个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先进乡镇名额。</w:t>
      </w:r>
      <w:bookmarkEnd w:id="2"/>
      <w:bookmarkEnd w:id="3"/>
      <w:bookmarkEnd w:id="4"/>
      <w:bookmarkEnd w:id="5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left="0" w:leftChars="0" w:firstLine="643" w:firstLineChars="200"/>
        <w:textAlignment w:val="auto"/>
        <w:rPr>
          <w:color w:val="auto"/>
          <w:highlight w:val="none"/>
        </w:rPr>
      </w:pPr>
      <w:bookmarkStart w:id="6" w:name="_Toc24212"/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二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专项资金使用及管理</w:t>
      </w:r>
      <w:r>
        <w:rPr>
          <w:rFonts w:hint="eastAsia"/>
          <w:color w:val="auto"/>
          <w:highlight w:val="none"/>
        </w:rPr>
        <w:t>情况</w:t>
      </w:r>
      <w:bookmarkEnd w:id="6"/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资金来源及拨付流程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eastAsia="仿宋_GB2312"/>
          <w:color w:val="auto"/>
          <w:sz w:val="32"/>
          <w:szCs w:val="32"/>
          <w:highlight w:val="none"/>
        </w:rPr>
      </w:pPr>
      <w:r>
        <w:rPr>
          <w:rFonts w:hint="default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  <w:t>资金来源</w:t>
      </w:r>
      <w:r>
        <w:rPr>
          <w:rFonts w:hint="default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/>
          <w:color w:val="auto"/>
          <w:sz w:val="32"/>
          <w:szCs w:val="32"/>
          <w:highlight w:val="none"/>
        </w:rPr>
        <w:t>2</w:t>
      </w:r>
      <w:r>
        <w:rPr>
          <w:rFonts w:eastAsia="仿宋_GB2312"/>
          <w:color w:val="auto"/>
          <w:sz w:val="32"/>
          <w:szCs w:val="32"/>
          <w:highlight w:val="none"/>
        </w:rPr>
        <w:t>020</w:t>
      </w:r>
      <w:r>
        <w:rPr>
          <w:rFonts w:hint="eastAsia" w:eastAsia="仿宋_GB2312"/>
          <w:color w:val="auto"/>
          <w:sz w:val="32"/>
          <w:szCs w:val="32"/>
          <w:highlight w:val="none"/>
        </w:rPr>
        <w:t>-</w:t>
      </w:r>
      <w:r>
        <w:rPr>
          <w:rFonts w:eastAsia="仿宋_GB2312"/>
          <w:color w:val="auto"/>
          <w:sz w:val="32"/>
          <w:szCs w:val="32"/>
          <w:highlight w:val="none"/>
        </w:rPr>
        <w:t>2022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年度粮食生产奖补资金</w:t>
      </w:r>
      <w:r>
        <w:rPr>
          <w:rFonts w:hint="eastAsia" w:eastAsia="仿宋_GB2312"/>
          <w:color w:val="auto"/>
          <w:sz w:val="32"/>
          <w:szCs w:val="32"/>
          <w:highlight w:val="none"/>
        </w:rPr>
        <w:t>来源均为市级财政资金。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3" w:firstLineChars="200"/>
        <w:jc w:val="both"/>
        <w:textAlignment w:val="auto"/>
        <w:rPr>
          <w:rFonts w:hint="default" w:eastAsia="宋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资金拨付流程：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农业农村局制定分配方案，邵阳市</w:t>
      </w:r>
      <w:r>
        <w:rPr>
          <w:rFonts w:hint="eastAsia" w:eastAsia="仿宋_GB2312"/>
          <w:color w:val="auto"/>
          <w:sz w:val="32"/>
          <w:szCs w:val="32"/>
          <w:highlight w:val="none"/>
        </w:rPr>
        <w:t>财政局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依据分配方案将奖补资金指标下达</w:t>
      </w:r>
      <w:r>
        <w:rPr>
          <w:rFonts w:hint="eastAsia" w:eastAsia="仿宋_GB2312"/>
          <w:color w:val="auto"/>
          <w:sz w:val="32"/>
          <w:szCs w:val="32"/>
          <w:highlight w:val="none"/>
        </w:rPr>
        <w:t>至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各</w:t>
      </w:r>
      <w:r>
        <w:rPr>
          <w:rFonts w:hint="eastAsia" w:eastAsia="仿宋_GB2312"/>
          <w:color w:val="auto"/>
          <w:sz w:val="32"/>
          <w:szCs w:val="32"/>
          <w:highlight w:val="none"/>
        </w:rPr>
        <w:t>县市区财政局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各</w:t>
      </w:r>
      <w:r>
        <w:rPr>
          <w:rFonts w:hint="eastAsia" w:eastAsia="仿宋_GB2312"/>
          <w:color w:val="auto"/>
          <w:sz w:val="32"/>
          <w:szCs w:val="32"/>
          <w:highlight w:val="none"/>
        </w:rPr>
        <w:t>县市区财政局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将资金拨付给农业农村局，农业农村局根据考核结果将奖补资金支付至奖补对象“惠农一卡通”账户。个别县市区财政局也会通过直接发放的方式，将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奖补资金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支付至奖补对象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“惠农一卡通”账户。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安排及使用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情况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2020-2022年，各县市区财政局收到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邵阳市财政局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下拨的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粮食生产奖补资金3397.9万元，实际使用2985.11万元，专项资金使用率87.85%。具体情况如下：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562" w:firstLineChars="200"/>
        <w:jc w:val="center"/>
        <w:textAlignment w:val="auto"/>
        <w:rPr>
          <w:rFonts w:hint="default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2020-2022年度粮食生产奖补资金使用情况表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24"/>
          <w:szCs w:val="24"/>
          <w:highlight w:val="none"/>
          <w:lang w:val="en-US" w:eastAsia="zh-CN"/>
        </w:rPr>
        <w:t>金额单位：万元</w:t>
      </w:r>
    </w:p>
    <w:tbl>
      <w:tblPr>
        <w:tblStyle w:val="18"/>
        <w:tblW w:w="10601" w:type="dxa"/>
        <w:jc w:val="center"/>
        <w:tblBorders>
          <w:top w:val="single" w:color="000000" w:sz="8" w:space="0"/>
          <w:left w:val="none" w:color="auto" w:sz="0" w:space="0"/>
          <w:bottom w:val="single" w:color="000000" w:sz="8" w:space="0"/>
          <w:right w:val="none" w:color="auto" w:sz="0" w:space="0"/>
          <w:insideH w:val="dotted" w:color="000000" w:sz="4" w:space="0"/>
          <w:insideV w:val="dotted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2913"/>
        <w:gridCol w:w="2312"/>
        <w:gridCol w:w="1463"/>
        <w:gridCol w:w="1275"/>
        <w:gridCol w:w="1391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年份</w:t>
            </w:r>
          </w:p>
        </w:tc>
        <w:tc>
          <w:tcPr>
            <w:tcW w:w="2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指标文号</w:t>
            </w:r>
          </w:p>
        </w:tc>
        <w:tc>
          <w:tcPr>
            <w:tcW w:w="231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下达时间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到位金额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使用金额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资金使用率</w:t>
            </w:r>
          </w:p>
        </w:tc>
      </w:tr>
      <w:tr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2020年</w:t>
            </w:r>
          </w:p>
        </w:tc>
        <w:tc>
          <w:tcPr>
            <w:tcW w:w="291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邵财农指〔2020〕57号</w:t>
            </w:r>
          </w:p>
        </w:tc>
        <w:tc>
          <w:tcPr>
            <w:tcW w:w="231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2020年11月27日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997.9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995.11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99.72%</w:t>
            </w:r>
          </w:p>
        </w:tc>
      </w:tr>
      <w:tr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2021年</w:t>
            </w:r>
          </w:p>
        </w:tc>
        <w:tc>
          <w:tcPr>
            <w:tcW w:w="291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邵财农指〔2022〕8号</w:t>
            </w:r>
          </w:p>
        </w:tc>
        <w:tc>
          <w:tcPr>
            <w:tcW w:w="231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2022年3月22日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1190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99.17%</w:t>
            </w:r>
          </w:p>
        </w:tc>
      </w:tr>
      <w:tr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</w:t>
            </w:r>
          </w:p>
        </w:tc>
        <w:tc>
          <w:tcPr>
            <w:tcW w:w="291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邵财农指〔2023〕7号</w:t>
            </w:r>
          </w:p>
        </w:tc>
        <w:tc>
          <w:tcPr>
            <w:tcW w:w="231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2023年3月5日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66.67%</w:t>
            </w:r>
          </w:p>
        </w:tc>
      </w:tr>
      <w:tr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472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3397.9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2985.11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87.85%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</w:rPr>
        <w:t>经现场评价，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发现</w:t>
      </w:r>
      <w:r>
        <w:rPr>
          <w:rFonts w:hint="eastAsia" w:eastAsia="仿宋_GB2312"/>
          <w:color w:val="auto"/>
          <w:sz w:val="32"/>
          <w:szCs w:val="32"/>
          <w:highlight w:val="none"/>
        </w:rPr>
        <w:t>截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至</w:t>
      </w:r>
      <w:r>
        <w:rPr>
          <w:rFonts w:hint="eastAsia" w:eastAsia="仿宋_GB2312"/>
          <w:color w:val="auto"/>
          <w:sz w:val="32"/>
          <w:szCs w:val="32"/>
          <w:highlight w:val="none"/>
        </w:rPr>
        <w:t>2023年8月，存在有412.79万元的奖补资金未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按计划执行</w:t>
      </w:r>
      <w:r>
        <w:rPr>
          <w:rFonts w:hint="eastAsia" w:eastAsia="仿宋_GB2312"/>
          <w:color w:val="auto"/>
          <w:sz w:val="32"/>
          <w:szCs w:val="32"/>
          <w:highlight w:val="none"/>
        </w:rPr>
        <w:t>到位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主要原因为</w:t>
      </w:r>
      <w:r>
        <w:rPr>
          <w:rFonts w:hint="eastAsia" w:eastAsia="仿宋_GB2312"/>
          <w:color w:val="auto"/>
          <w:sz w:val="32"/>
          <w:szCs w:val="32"/>
          <w:highlight w:val="none"/>
        </w:rPr>
        <w:t>：一是部分县市区财政局未将奖补资金245万元拨付给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所辖</w:t>
      </w:r>
      <w:r>
        <w:rPr>
          <w:rFonts w:hint="eastAsia" w:eastAsia="仿宋_GB2312"/>
          <w:color w:val="auto"/>
          <w:sz w:val="32"/>
          <w:szCs w:val="32"/>
          <w:highlight w:val="none"/>
        </w:rPr>
        <w:t>区农业农村局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详见下表一）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；二是部分县市区农业农村局未将奖补资金167.79万元支付给奖补对象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详见下表二）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jc w:val="left"/>
        <w:textAlignment w:val="auto"/>
        <w:rPr>
          <w:rFonts w:hint="default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表一：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562" w:firstLineChars="200"/>
        <w:jc w:val="center"/>
        <w:textAlignment w:val="auto"/>
        <w:rPr>
          <w:rFonts w:hint="default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县市区财政局未按计划下拨至当地农业农村局的资金汇总表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jc w:val="right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24"/>
          <w:szCs w:val="24"/>
          <w:highlight w:val="none"/>
          <w:lang w:val="en-US" w:eastAsia="zh-CN"/>
        </w:rPr>
        <w:t>金额单位：万元</w:t>
      </w:r>
    </w:p>
    <w:tbl>
      <w:tblPr>
        <w:tblStyle w:val="18"/>
        <w:tblW w:w="10601" w:type="dxa"/>
        <w:jc w:val="center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dotted" w:color="000000" w:sz="4" w:space="0"/>
          <w:insideV w:val="dotted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36"/>
        <w:gridCol w:w="2894"/>
        <w:gridCol w:w="1530"/>
        <w:gridCol w:w="1614"/>
        <w:gridCol w:w="1892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县市区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年份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指标文号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下达金额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已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拨付金额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未拨付金额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邵东市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2021年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邵财农指〔2022〕8号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邵财农指〔2023〕7号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175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大祥区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邵财农指〔2023〕7号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双清区</w:t>
            </w:r>
          </w:p>
        </w:tc>
        <w:tc>
          <w:tcPr>
            <w:tcW w:w="1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</w:t>
            </w:r>
          </w:p>
        </w:tc>
        <w:tc>
          <w:tcPr>
            <w:tcW w:w="24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邵财农指〔2023〕7号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75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245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jc w:val="left"/>
        <w:textAlignment w:val="auto"/>
        <w:rPr>
          <w:rFonts w:hint="eastAsia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表二：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562" w:firstLineChars="200"/>
        <w:jc w:val="center"/>
        <w:textAlignment w:val="auto"/>
        <w:rPr>
          <w:rFonts w:hint="eastAsia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县市区农业农村局未按计划下拨至奖补对象的资金汇总表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jc w:val="right"/>
        <w:textAlignment w:val="auto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color w:val="auto"/>
          <w:sz w:val="24"/>
          <w:szCs w:val="24"/>
          <w:highlight w:val="none"/>
          <w:lang w:val="en-US" w:eastAsia="zh-CN"/>
        </w:rPr>
        <w:t>金额单位：万元</w:t>
      </w:r>
    </w:p>
    <w:tbl>
      <w:tblPr>
        <w:tblStyle w:val="18"/>
        <w:tblW w:w="10601" w:type="dxa"/>
        <w:jc w:val="center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dotted" w:color="000000" w:sz="4" w:space="0"/>
          <w:insideV w:val="dotted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1184"/>
        <w:gridCol w:w="2829"/>
        <w:gridCol w:w="1303"/>
        <w:gridCol w:w="1303"/>
        <w:gridCol w:w="1578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年份</w:t>
            </w:r>
          </w:p>
        </w:tc>
        <w:tc>
          <w:tcPr>
            <w:tcW w:w="24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指标文号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到位金额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已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拨付金额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未拨付金额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0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北塔区农业农村林业局</w:t>
            </w:r>
          </w:p>
        </w:tc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2020年</w:t>
            </w:r>
          </w:p>
        </w:tc>
        <w:tc>
          <w:tcPr>
            <w:tcW w:w="24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邵财农指〔2020〕57号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4.7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1.91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2.79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0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武冈市农业农村局</w:t>
            </w:r>
          </w:p>
        </w:tc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</w:t>
            </w:r>
          </w:p>
        </w:tc>
        <w:tc>
          <w:tcPr>
            <w:tcW w:w="24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邵财农指〔2023〕7号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165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561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169.7</w:t>
            </w:r>
          </w:p>
        </w:tc>
        <w:tc>
          <w:tcPr>
            <w:tcW w:w="11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1.91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167.79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制度建设及执行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情况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b w:val="0"/>
          <w:bCs w:val="0"/>
          <w:color w:val="auto"/>
          <w:sz w:val="32"/>
          <w:szCs w:val="32"/>
          <w:highlight w:val="none"/>
        </w:rPr>
        <w:t>市农业农村局</w:t>
      </w:r>
      <w:r>
        <w:rPr>
          <w:rFonts w:hint="eastAsia" w:eastAsia="仿宋_GB2312"/>
          <w:color w:val="auto"/>
          <w:sz w:val="32"/>
          <w:szCs w:val="32"/>
          <w:highlight w:val="none"/>
        </w:rPr>
        <w:t>为加强农业项目管理，规范项目建设程序和行为，提高项目建设质量和投资效益，根据农业部《农业基本建设项目管理办法》以及省、市有关规定，结合市农业产业发展实际，制定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了</w:t>
      </w:r>
      <w:r>
        <w:rPr>
          <w:rFonts w:hint="eastAsia" w:eastAsia="仿宋_GB2312"/>
          <w:color w:val="auto"/>
          <w:sz w:val="32"/>
          <w:szCs w:val="32"/>
          <w:highlight w:val="none"/>
        </w:rPr>
        <w:t>《邵阳市农业项目资金管理办法》对项目资金进行管理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</w:rPr>
        <w:t>管理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办法对</w:t>
      </w:r>
      <w:r>
        <w:rPr>
          <w:rFonts w:hint="eastAsia" w:eastAsia="仿宋_GB2312"/>
          <w:color w:val="auto"/>
          <w:sz w:val="32"/>
          <w:szCs w:val="32"/>
          <w:highlight w:val="none"/>
        </w:rPr>
        <w:t>专项资金的使用、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拨付</w:t>
      </w:r>
      <w:r>
        <w:rPr>
          <w:rFonts w:hint="eastAsia" w:eastAsia="仿宋_GB2312"/>
          <w:color w:val="auto"/>
          <w:sz w:val="32"/>
          <w:szCs w:val="32"/>
          <w:highlight w:val="none"/>
        </w:rPr>
        <w:t>以及监督检查等方面作出了规定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在评价过程中，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发现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在部分县市区财政局或农业农村局未及时拨付专项资金等情况。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3" w:firstLineChars="200"/>
        <w:textAlignment w:val="auto"/>
        <w:rPr>
          <w:rFonts w:hint="eastAsia"/>
          <w:color w:val="auto"/>
          <w:sz w:val="32"/>
          <w:szCs w:val="32"/>
          <w:highlight w:val="none"/>
          <w:lang w:val="en-US" w:eastAsia="zh-CN"/>
        </w:rPr>
      </w:pPr>
      <w:bookmarkStart w:id="7" w:name="_Toc16912"/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（三）专项资金的制度建设及实施情况</w:t>
      </w:r>
      <w:bookmarkEnd w:id="7"/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Hans"/>
        </w:rPr>
        <w:t>项</w:t>
      </w: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kern w:val="2"/>
          <w:sz w:val="32"/>
          <w:szCs w:val="32"/>
          <w:highlight w:val="none"/>
          <w:lang w:val="en-US" w:eastAsia="zh-Hans" w:bidi="ar-SA"/>
        </w:rPr>
        <w:t>目</w:t>
      </w: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  <w:t>组织实施情况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粮食生产奖补政策的实施包括申报、初审、复核、奖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补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公示等环节，具体实施情况如下：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乡镇及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种植户申报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乡镇、种粮大户、育秧大户、农机大户、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大豆种植大户根据市农业农村局下发的通知，将申报表、基本情况简介、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粮食生产面积明细表、流转耕地面积明细表、粮食销售资料、机具采购资料、机具统计表、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"/>
        </w:rPr>
        <w:t>为周边农户机耕、机插等社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会化服务的统计表等资料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汇编成册并上报至所管辖的农业农村局。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奖补资格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审核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初审：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各县市区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农业农村局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市里分配的名额，结合申报主体的资料，组织纪检、监察等相关部门对申报主体的粮食生产种植面积、粮食生产产量、流转耕地面积、机械化水平、绿色生产技术、社会化服务等方面进行初审并评分，从高分到低分确定推荐名单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该名单由各县市区农业农村局在官网进行公示，公示5-7天无异议后，按照市农业农村局印发的“开展推荐申报工作的通知”中的规定上报时间，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以县市区人民政府名义向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邵阳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市农业农村局报送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推荐名单、汇编材料、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公示原件、公示结果证明等资料。</w:t>
      </w:r>
      <w:r>
        <w:rPr>
          <w:rFonts w:hint="eastAsia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复审：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  <w:t>邵阳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  <w:t>市农业农村局牵头组织市直相关单位从推荐材料完整性、考核评分的准确性等方面对县市区的推荐名单、推荐材料、考核得分情况进行复核并评分，从高分到低分确定名单。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审定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奖补名单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公示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  <w:t>市农业农村局将复审名单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  <w:t>在“邵阳市农业农村局网站”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"/>
        </w:rPr>
        <w:t>进行公示；确定无异议后报市委农村工作领导小组进行最终审定，审定后将结果在全市通报表彰。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（4）发放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市财政局根据最终审定名单将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按照规定的拨付流程将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奖补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资金支付至奖补对象“惠民一卡通”账户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b/>
          <w:bCs/>
          <w:color w:val="auto"/>
          <w:sz w:val="32"/>
          <w:szCs w:val="32"/>
          <w:highlight w:val="none"/>
          <w:lang w:val="en-US" w:eastAsia="zh-CN"/>
        </w:rPr>
        <w:t>2、项目管理制度建设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市农业农村局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根据市委农村工作领导小组印发的《邵阳市2021年粮食生产考核奖补办法》《邵阳市2022年粮食生产考核奖补办法》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对项目进行管理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，上述办法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对粮食生产考核奖补项目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考核范围、考核内容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评分标准、考核评定办法</w:t>
      </w:r>
      <w:r>
        <w:rPr>
          <w:rFonts w:hint="eastAsia" w:eastAsia="仿宋_GB2312"/>
          <w:color w:val="auto"/>
          <w:sz w:val="32"/>
          <w:szCs w:val="32"/>
          <w:highlight w:val="none"/>
        </w:rPr>
        <w:t>等方面作出了要求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经现场评价，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发现存在产出数量未达预期目标、考核评定办法执行力欠缺等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情况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rPr>
          <w:rFonts w:hint="eastAsia" w:ascii="楷体" w:hAnsi="楷体" w:eastAsia="楷体" w:cs="楷体"/>
          <w:b/>
          <w:bCs w:val="0"/>
          <w:color w:val="auto"/>
          <w:sz w:val="32"/>
          <w:szCs w:val="32"/>
          <w:highlight w:val="none"/>
        </w:rPr>
      </w:pPr>
      <w:bookmarkStart w:id="8" w:name="_Toc11715"/>
      <w:r>
        <w:rPr>
          <w:rStyle w:val="22"/>
          <w:rFonts w:hint="eastAsia"/>
          <w:color w:val="auto"/>
        </w:rPr>
        <w:t>（</w:t>
      </w:r>
      <w:r>
        <w:rPr>
          <w:rStyle w:val="22"/>
          <w:rFonts w:hint="eastAsia"/>
          <w:color w:val="auto"/>
          <w:lang w:val="en-US" w:eastAsia="zh-CN"/>
        </w:rPr>
        <w:t>四</w:t>
      </w:r>
      <w:r>
        <w:rPr>
          <w:rStyle w:val="22"/>
          <w:rFonts w:hint="eastAsia"/>
          <w:color w:val="auto"/>
        </w:rPr>
        <w:t>）</w:t>
      </w:r>
      <w:r>
        <w:rPr>
          <w:rStyle w:val="22"/>
          <w:rFonts w:hint="eastAsia"/>
          <w:color w:val="auto"/>
          <w:lang w:val="en-US" w:eastAsia="zh-CN"/>
        </w:rPr>
        <w:t>专项资金</w:t>
      </w:r>
      <w:r>
        <w:rPr>
          <w:rStyle w:val="22"/>
          <w:rFonts w:hint="eastAsia"/>
          <w:color w:val="auto"/>
        </w:rPr>
        <w:t>绩效目标完成程度</w:t>
      </w:r>
      <w:bookmarkEnd w:id="8"/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both"/>
        <w:textAlignment w:val="auto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（1）数量指标完成情况：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2020-2022年，该项目共安排3397.9万元用于实施粮食生产奖补政策，截至2023年8月，共发放粮食生产奖补2985.11万元，总体完成奖补任务的87.85%，完成数量未达到预期目标。具体情况如下：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1、2020年实际发放奖补资金995.11万元，共奖补早稻专业化集中育秧（含机插（抛）秧面积）380774亩，离目标任务差930亩，完成率为99.76%，详见下表一。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2、2021-2022年实际发放奖补资金1990万元，奖补种植大户及先进乡镇共计231个名额，离目标任务差49户，完成率为82.5%，详见下表二。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表一：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562" w:firstLineChars="20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2020年早稻专业化集中育秧（含机插（抛）秧）面积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562" w:firstLineChars="200"/>
        <w:jc w:val="center"/>
        <w:textAlignment w:val="auto"/>
        <w:rPr>
          <w:rFonts w:hint="default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奖补任务完成情况表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24"/>
          <w:szCs w:val="24"/>
          <w:highlight w:val="none"/>
          <w:lang w:val="en-US" w:eastAsia="zh-CN"/>
        </w:rPr>
        <w:t>面积单位：亩</w:t>
      </w:r>
    </w:p>
    <w:tbl>
      <w:tblPr>
        <w:tblStyle w:val="18"/>
        <w:tblW w:w="10601" w:type="dxa"/>
        <w:jc w:val="center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dotted" w:color="000000" w:sz="4" w:space="0"/>
          <w:insideV w:val="dotted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44"/>
        <w:gridCol w:w="1443"/>
        <w:gridCol w:w="1386"/>
        <w:gridCol w:w="1371"/>
        <w:gridCol w:w="1343"/>
        <w:gridCol w:w="1386"/>
        <w:gridCol w:w="993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tblHeader/>
          <w:jc w:val="center"/>
        </w:trPr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县市区</w:t>
            </w:r>
          </w:p>
        </w:tc>
        <w:tc>
          <w:tcPr>
            <w:tcW w:w="278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早稻专业化集中育秧奖补面积</w:t>
            </w:r>
          </w:p>
        </w:tc>
        <w:tc>
          <w:tcPr>
            <w:tcW w:w="275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早稻专业化集中育秧面积中机插（抛）奖补面积</w:t>
            </w:r>
          </w:p>
        </w:tc>
        <w:tc>
          <w:tcPr>
            <w:tcW w:w="2729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99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实际奖补率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  <w:jc w:val="center"/>
        </w:trPr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计划奖补面积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实际奖补面积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计划奖补面积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实际奖补面积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计划奖补面积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实际奖补面积</w:t>
            </w:r>
          </w:p>
        </w:tc>
        <w:tc>
          <w:tcPr>
            <w:tcW w:w="99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邵东市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40366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40366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14182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14182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54548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54548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新邵县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28667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28667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17751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17751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46418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46418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隆回县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18333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12551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12551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30884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30884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洞口县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40333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40333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34151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34151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74484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74484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32667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32667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25354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25354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58021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58021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新宁县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26998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26998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15109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15109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42107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42107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邵阳县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41667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41667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24109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24109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65776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65776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大祥区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3667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3667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3515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3515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7182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7182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双清区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717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北塔区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1567 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637 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1567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637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40.63%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234632 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233702 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147072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147072</w:t>
            </w:r>
          </w:p>
        </w:tc>
        <w:tc>
          <w:tcPr>
            <w:tcW w:w="13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381704 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380774 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实际奖补率</w:t>
            </w:r>
          </w:p>
        </w:tc>
        <w:tc>
          <w:tcPr>
            <w:tcW w:w="278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99.60%</w:t>
            </w:r>
          </w:p>
        </w:tc>
        <w:tc>
          <w:tcPr>
            <w:tcW w:w="275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729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99.76%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highlight w:val="none"/>
          <w:lang w:val="en-US" w:eastAsia="zh-CN"/>
        </w:rPr>
        <w:t>表二：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jc w:val="center"/>
        <w:textAlignment w:val="auto"/>
        <w:rPr>
          <w:rFonts w:hint="default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2021-2022年优秀种植大户及先进乡镇奖补任务完成情况表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24"/>
          <w:szCs w:val="24"/>
          <w:highlight w:val="none"/>
          <w:lang w:val="en-US" w:eastAsia="zh-CN"/>
        </w:rPr>
        <w:t>单位：户</w:t>
      </w:r>
    </w:p>
    <w:tbl>
      <w:tblPr>
        <w:tblStyle w:val="18"/>
        <w:tblW w:w="10631" w:type="dxa"/>
        <w:jc w:val="center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dotted" w:color="000000" w:sz="4" w:space="0"/>
          <w:insideV w:val="dotted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719"/>
        <w:gridCol w:w="680"/>
        <w:gridCol w:w="690"/>
        <w:gridCol w:w="686"/>
        <w:gridCol w:w="680"/>
        <w:gridCol w:w="680"/>
        <w:gridCol w:w="690"/>
        <w:gridCol w:w="768"/>
        <w:gridCol w:w="690"/>
        <w:gridCol w:w="686"/>
        <w:gridCol w:w="719"/>
        <w:gridCol w:w="745"/>
        <w:gridCol w:w="919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tblHeader/>
          <w:jc w:val="center"/>
        </w:trPr>
        <w:tc>
          <w:tcPr>
            <w:tcW w:w="127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县市区</w:t>
            </w:r>
          </w:p>
        </w:tc>
        <w:tc>
          <w:tcPr>
            <w:tcW w:w="139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优秀种粮大户</w:t>
            </w:r>
          </w:p>
        </w:tc>
        <w:tc>
          <w:tcPr>
            <w:tcW w:w="137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优秀育秧大户</w:t>
            </w:r>
          </w:p>
        </w:tc>
        <w:tc>
          <w:tcPr>
            <w:tcW w:w="13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优秀农机大户</w:t>
            </w:r>
          </w:p>
        </w:tc>
        <w:tc>
          <w:tcPr>
            <w:tcW w:w="145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优秀大豆种植大户</w:t>
            </w:r>
          </w:p>
        </w:tc>
        <w:tc>
          <w:tcPr>
            <w:tcW w:w="137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先进乡镇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实际奖补率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  <w:jc w:val="center"/>
        </w:trPr>
        <w:tc>
          <w:tcPr>
            <w:tcW w:w="127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计划奖补名额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实际奖补名额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计划奖补名额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实际奖补名额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计划奖补名额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实际奖补名额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计划奖补名额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实际奖补名额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计划奖补名额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实际奖补名额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计划奖补名额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实际奖补名额</w:t>
            </w:r>
          </w:p>
        </w:tc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双清区（含经开区）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66.67%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大祥区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北塔区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邵东市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43.59%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新邵县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邵阳县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隆回县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洞口县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绥宁县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新宁县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城步县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47.37%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7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82.50%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实际奖补率</w:t>
            </w:r>
          </w:p>
        </w:tc>
        <w:tc>
          <w:tcPr>
            <w:tcW w:w="1399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79.82%</w:t>
            </w:r>
          </w:p>
        </w:tc>
        <w:tc>
          <w:tcPr>
            <w:tcW w:w="1376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83.33%</w:t>
            </w:r>
          </w:p>
        </w:tc>
        <w:tc>
          <w:tcPr>
            <w:tcW w:w="136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58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60.00%</w:t>
            </w:r>
          </w:p>
        </w:tc>
        <w:tc>
          <w:tcPr>
            <w:tcW w:w="1376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97.56%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82.50%</w:t>
            </w:r>
          </w:p>
        </w:tc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yellow"/>
          <w:lang w:val="en-US" w:eastAsia="zh-CN"/>
        </w:rPr>
      </w:pPr>
      <w:bookmarkStart w:id="9" w:name="_Toc19646"/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（2）质量指标完成情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况：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项目主管单位市农业农村局按文件规定在单位官网上公示了2021年及2022年粮食生产考核奖补推荐名单，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质量指标完成率为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（3）成本指标完成情况：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严格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按照“早稻专业化集中育秧30元/亩，早稻机插（抛）秧服务20元/亩，优秀种粮大户、优秀育秧大户、优秀农机大户10万元/户，优秀大豆种植大户5万元/户，2021年先进乡镇10万元/户，2022年先进乡镇只授牌不发奖金。”的标准发放奖补资金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成本指标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（4）时效指标完成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情况：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抽评发现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起未按文件规定时间上报初审材料给上级主管部门复审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、5个项目单位资金拨付不及时的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情况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，依据绩效评分标准，时效指标完成率为0%。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（5）</w:t>
      </w:r>
      <w:bookmarkEnd w:id="9"/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满意度完成情况：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我所特设计并发布了调查问卷，共收到有效调查问卷121份。经统计，整体满意度98.35%。</w:t>
      </w:r>
    </w:p>
    <w:p>
      <w:pPr>
        <w:pStyle w:val="3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textAlignment w:val="auto"/>
        <w:rPr>
          <w:color w:val="auto"/>
          <w:sz w:val="32"/>
          <w:szCs w:val="32"/>
          <w:highlight w:val="none"/>
        </w:rPr>
      </w:pPr>
      <w:bookmarkStart w:id="10" w:name="_Toc6435"/>
      <w:r>
        <w:rPr>
          <w:rFonts w:hint="eastAsia"/>
          <w:color w:val="auto"/>
          <w:sz w:val="32"/>
          <w:szCs w:val="32"/>
          <w:highlight w:val="none"/>
        </w:rPr>
        <w:t>绩效评价工作开展情况</w:t>
      </w:r>
      <w:bookmarkEnd w:id="1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2023年6月25日，我所成立绩效评价工作小组，拟定评价指标体系和评价方案。2023年7月17日我所进驻邵阳市农业农村局，正式开展2020-2022年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粮食生产奖补资金重点绩效评价工作。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我所组织开展重点绩效评价的主要方式有：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听取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情况介绍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查阅资料。详细了解专项资金的设立依据、绩效目标设置等基本情况；重点检查了专项资金的使用情况，核查相关制度是否完善，专项项目申报、审批、实施等程序是否合规，资金拨付手续是否齐全，是否存在截留、挪用等情况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抽查部分项目实施单位进行现场检查，了解项目实施情况、资金拨付情况、管理情况等。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组织问卷调查。为充分了解2020-2022年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粮食生产奖补资金使用效益，我所针对2020-2022年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粮食生产奖补资金项目中部分申报主体进行了问卷调查，共收回问卷121份。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四是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通过对相关资料进行综合分析，按照确定的评价指标和标准，结合现场评价情况，得出评价结论，形成绩效评价报告。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highlight w:val="none"/>
        </w:rPr>
      </w:pPr>
      <w:bookmarkStart w:id="11" w:name="_Toc14250"/>
      <w:bookmarkStart w:id="12" w:name="_Toc14536"/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color w:val="auto"/>
          <w:sz w:val="32"/>
          <w:szCs w:val="32"/>
          <w:highlight w:val="none"/>
        </w:rPr>
        <w:t>、</w:t>
      </w:r>
      <w:bookmarkEnd w:id="11"/>
      <w:r>
        <w:rPr>
          <w:rFonts w:hint="eastAsia"/>
          <w:color w:val="auto"/>
          <w:sz w:val="32"/>
          <w:szCs w:val="32"/>
          <w:highlight w:val="none"/>
        </w:rPr>
        <w:t>项目主要绩效及评价结论</w:t>
      </w:r>
      <w:bookmarkEnd w:id="12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3" w:firstLineChars="200"/>
        <w:textAlignment w:val="auto"/>
        <w:rPr>
          <w:rFonts w:hint="eastAsia"/>
          <w:color w:val="auto"/>
          <w:sz w:val="32"/>
          <w:szCs w:val="32"/>
          <w:highlight w:val="none"/>
          <w:lang w:val="en-US" w:eastAsia="zh-CN"/>
        </w:rPr>
      </w:pPr>
      <w:bookmarkStart w:id="13" w:name="_Toc11519"/>
      <w:bookmarkStart w:id="14" w:name="_Toc25180"/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（一）项目主要绩效</w:t>
      </w:r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eastAsia="仿宋_GB2312" w:cs="Times New Roman"/>
          <w:b/>
          <w:bCs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提高农户</w:t>
      </w:r>
      <w:r>
        <w:rPr>
          <w:rFonts w:hint="eastAsia" w:ascii="Times New Roman" w:hAnsi="Times New Roman" w:eastAsia="仿宋_GB2312" w:cs="Times New Roman"/>
          <w:b/>
          <w:bCs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种粮积极性</w:t>
      </w:r>
      <w:r>
        <w:rPr>
          <w:rFonts w:hint="eastAsia" w:eastAsia="仿宋_GB2312" w:cs="Times New Roman"/>
          <w:b/>
          <w:bCs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通过向优秀种粮大户、优秀大豆种植大户、优秀育秧大户、优秀农机大户发放粮食生产奖补资金，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减轻农民的生产成本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提高他们的利润空间。这使得农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户们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能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更积极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投资于农业生产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改善生产条件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提高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粮食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产量和质量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确保足够的粮食供应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满足人民的基本生活需求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3" w:firstLineChars="200"/>
        <w:textAlignment w:val="auto"/>
        <w:rPr>
          <w:rFonts w:hint="default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bookmarkStart w:id="15" w:name="_Toc11671"/>
      <w:bookmarkStart w:id="16" w:name="_Toc17657"/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二是推广集中育秧技术，</w:t>
      </w:r>
      <w:r>
        <w:rPr>
          <w:rFonts w:hint="eastAsia" w:ascii="Times New Roman" w:hAnsi="Times New Roman" w:eastAsia="仿宋_GB2312" w:cs="Times New Roman"/>
          <w:b/>
          <w:bCs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利于早稻增产。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通过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对种粮户专业化集中育秧给予补助、种粮户早稻机插（抛）秧服务给予作业补贴，推广农业机械化及集中育秧技术，让更多农户积极应用省劳力、出苗率高的农业技术，降低了劳动强度，提高早稻生产效率。</w:t>
      </w:r>
      <w:bookmarkEnd w:id="15"/>
      <w:bookmarkEnd w:id="16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三是促进农业可持续发展。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通过向农</w:t>
      </w:r>
      <w:r>
        <w:rPr>
          <w:rFonts w:hint="eastAsia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户发放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补贴，鼓励</w:t>
      </w:r>
      <w:r>
        <w:rPr>
          <w:rFonts w:hint="eastAsia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农户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采用更</w:t>
      </w:r>
      <w:r>
        <w:rPr>
          <w:rFonts w:hint="eastAsia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加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可持续的农业实践</w:t>
      </w:r>
      <w:r>
        <w:rPr>
          <w:rFonts w:hint="eastAsia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如合理使用农药和化肥、推广节水灌溉技术、保护土壤和水资源等。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四是促进农村地区整体发展。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通过向农</w:t>
      </w:r>
      <w:r>
        <w:rPr>
          <w:rFonts w:hint="eastAsia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户发放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补贴，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lang w:val="en-US" w:eastAsia="zh-CN" w:bidi="ar-SA"/>
        </w:rPr>
        <w:t>更多农户加入粮食生产和提高收入，为农村地区带来更多的就业机会和经济活力。这有助于减少农村贫困，改善农民的生活条件，推动农村经济的积极发展。</w:t>
      </w:r>
    </w:p>
    <w:bookmarkEnd w:id="14"/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3" w:firstLineChars="200"/>
        <w:textAlignment w:val="auto"/>
        <w:rPr>
          <w:rFonts w:hint="eastAsia"/>
          <w:color w:val="auto"/>
          <w:sz w:val="32"/>
          <w:szCs w:val="32"/>
          <w:highlight w:val="none"/>
          <w:lang w:val="en-US" w:eastAsia="zh-CN"/>
        </w:rPr>
      </w:pPr>
      <w:bookmarkStart w:id="17" w:name="_Toc90566134"/>
      <w:bookmarkStart w:id="18" w:name="_Toc20484"/>
      <w:bookmarkStart w:id="19" w:name="_Toc13487"/>
      <w:bookmarkStart w:id="20" w:name="_Toc26078"/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（二）评价结论</w:t>
      </w:r>
      <w:bookmarkEnd w:id="17"/>
      <w:bookmarkEnd w:id="18"/>
      <w:bookmarkEnd w:id="19"/>
      <w:bookmarkEnd w:id="20"/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根据该项目资金绩效评价指标体系和绩效检查情况，我所绩效评价工作小组进行了综合评估，该项目整体绩效分值100分，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因预算绩效管理意识不强、产出数量未达预期目标、考核评定办法执行力欠缺等原因扣19.39分，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实得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80.61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分，评价等级为“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良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”。（具体评分情况见附件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bookmarkStart w:id="21" w:name="_Toc2125"/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color w:val="auto"/>
          <w:sz w:val="32"/>
          <w:szCs w:val="32"/>
          <w:highlight w:val="none"/>
        </w:rPr>
        <w:t>、绩效评价指标分析</w:t>
      </w:r>
      <w:bookmarkEnd w:id="21"/>
    </w:p>
    <w:tbl>
      <w:tblPr>
        <w:tblStyle w:val="19"/>
        <w:tblW w:w="10601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672"/>
        <w:gridCol w:w="2672"/>
        <w:gridCol w:w="273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一级指标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权重%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分值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得分率%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决策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22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77.27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过程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61.11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产出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27.61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78.89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效益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25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100.00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0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合计：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Style w:val="25"/>
                <w:rFonts w:hint="default" w:ascii="Times New Roman Regular" w:hAnsi="Times New Roman Regular" w:eastAsia="仿宋_GB2312" w:cs="Times New Roman Regular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100</w:t>
            </w:r>
          </w:p>
        </w:tc>
        <w:tc>
          <w:tcPr>
            <w:tcW w:w="21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80.61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25"/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80.61</w:t>
            </w:r>
          </w:p>
        </w:tc>
      </w:tr>
    </w:tbl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eastAsia="楷体_GB2312"/>
          <w:b/>
          <w:color w:val="auto"/>
          <w:sz w:val="32"/>
          <w:szCs w:val="32"/>
          <w:highlight w:val="none"/>
        </w:rPr>
      </w:pPr>
      <w:bookmarkStart w:id="22" w:name="_Toc7218"/>
      <w:r>
        <w:rPr>
          <w:color w:val="auto"/>
          <w:sz w:val="32"/>
          <w:szCs w:val="32"/>
          <w:highlight w:val="none"/>
        </w:rPr>
        <w:t>（一）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color w:val="auto"/>
          <w:sz w:val="32"/>
          <w:szCs w:val="32"/>
          <w:highlight w:val="none"/>
        </w:rPr>
        <w:t>决策情况</w:t>
      </w:r>
      <w:bookmarkEnd w:id="22"/>
    </w:p>
    <w:p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决策指标总分（</w:t>
      </w: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22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分）。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评价得分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17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分，扣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分。扣分原因：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市农业农村局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未提供2020-2022年粮食生产考核奖补资金绩效目标申报表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，无法考核绩效目标合理性、绩效指标明确性，扣5分。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color w:val="auto"/>
          <w:sz w:val="32"/>
          <w:szCs w:val="32"/>
          <w:highlight w:val="none"/>
        </w:rPr>
      </w:pPr>
      <w:bookmarkStart w:id="23" w:name="_Toc6133"/>
      <w:r>
        <w:rPr>
          <w:rFonts w:hint="eastAsia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color w:val="auto"/>
          <w:sz w:val="32"/>
          <w:szCs w:val="32"/>
          <w:highlight w:val="none"/>
        </w:rPr>
        <w:t>过程情况</w:t>
      </w:r>
      <w:bookmarkEnd w:id="23"/>
    </w:p>
    <w:p>
      <w:pPr>
        <w:pStyle w:val="1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过程指标总分（</w:t>
      </w: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18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分）。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评价得分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11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分，扣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7分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。扣分原因：截至绩效评价日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资金使用2985.11万元，资金使用率为87.85%，下降了12.15%，扣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；经现场评价，发现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存在4例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Hans"/>
        </w:rPr>
        <w:t>评分结果偏离评分标准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的情况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，扣4分。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eastAsia="楷体_GB2312"/>
          <w:b/>
          <w:color w:val="auto"/>
          <w:sz w:val="32"/>
          <w:szCs w:val="32"/>
          <w:highlight w:val="none"/>
        </w:rPr>
      </w:pPr>
      <w:bookmarkStart w:id="24" w:name="_Toc30026"/>
      <w:r>
        <w:rPr>
          <w:rFonts w:hint="eastAsia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color w:val="auto"/>
          <w:sz w:val="32"/>
          <w:szCs w:val="32"/>
          <w:highlight w:val="none"/>
        </w:rPr>
        <w:t>产出情况</w:t>
      </w:r>
      <w:bookmarkEnd w:id="24"/>
    </w:p>
    <w:p>
      <w:pPr>
        <w:pStyle w:val="1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产出指标总分（</w:t>
      </w: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35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分）。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评价得分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27.61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分，扣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7.39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分。扣分原因：早稻集中育秧和机插（抛）秧实际奖补率为99.76%，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扣0.01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；优秀种粮大户实际奖补率为79.82%，扣0.61分；优秀育秧大户实际奖补率为83.33%，扣0.5分；优秀大豆种植大户实际奖补率为60%，扣1.2分；先进乡镇实际奖补率为97.56%，扣0.07分；发现9起未按文件规定时间上报初审材料给上级主管部门复审的情况，扣3分；发现5个项目单位拨付资金不及时，扣2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eastAsia="楷体_GB2312"/>
          <w:b/>
          <w:color w:val="auto"/>
          <w:sz w:val="32"/>
          <w:szCs w:val="32"/>
          <w:highlight w:val="none"/>
        </w:rPr>
      </w:pPr>
      <w:bookmarkStart w:id="25" w:name="_Toc18083"/>
      <w:r>
        <w:rPr>
          <w:rFonts w:hint="eastAsia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color w:val="auto"/>
          <w:sz w:val="32"/>
          <w:szCs w:val="32"/>
          <w:highlight w:val="none"/>
        </w:rPr>
        <w:t>效益情况</w:t>
      </w:r>
      <w:bookmarkEnd w:id="25"/>
    </w:p>
    <w:p>
      <w:pPr>
        <w:pStyle w:val="1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效益指标总分（</w:t>
      </w: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25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分）。</w:t>
      </w: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评价得分25分</w:t>
      </w:r>
      <w:r>
        <w:rPr>
          <w:rFonts w:hint="eastAsia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0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bookmarkStart w:id="26" w:name="_Toc17662"/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color w:val="auto"/>
          <w:sz w:val="32"/>
          <w:szCs w:val="32"/>
          <w:highlight w:val="none"/>
        </w:rPr>
        <w:t>、</w:t>
      </w:r>
      <w:r>
        <w:rPr>
          <w:rFonts w:hint="eastAsia"/>
          <w:color w:val="auto"/>
          <w:sz w:val="32"/>
          <w:szCs w:val="32"/>
          <w:highlight w:val="none"/>
        </w:rPr>
        <w:t>存在的主要问题</w:t>
      </w:r>
      <w:bookmarkEnd w:id="26"/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楷体_GB2312" w:hAnsi="楷体_GB2312" w:eastAsia="楷体_GB2312" w:cs="楷体_GB2312"/>
          <w:b/>
          <w:bCs/>
          <w:color w:val="auto"/>
          <w:szCs w:val="32"/>
          <w:lang w:val="en-US" w:eastAsia="zh-CN"/>
        </w:rPr>
      </w:pPr>
      <w:bookmarkStart w:id="27" w:name="_Toc10091"/>
      <w:r>
        <w:rPr>
          <w:rFonts w:hint="eastAsia"/>
          <w:color w:val="auto"/>
        </w:rPr>
        <w:t>（一）</w:t>
      </w:r>
      <w:r>
        <w:rPr>
          <w:rFonts w:hint="eastAsia"/>
          <w:color w:val="auto"/>
          <w:lang w:val="en-US" w:eastAsia="zh-CN"/>
        </w:rPr>
        <w:t>项目决策方面</w:t>
      </w:r>
      <w:bookmarkEnd w:id="2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32"/>
          <w:szCs w:val="32"/>
          <w:lang w:val="en-US" w:eastAsia="zh-CN"/>
        </w:rPr>
        <w:t>预算绩效管理意识不强。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项目实施单位未按照“谁申请资金、谁编制目标”的原则及时编制指向明确、细化量化、合理可行、相应匹配的绩效目标，不能充分反映项目预期产出和效果。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楷体_GB2312" w:hAnsi="楷体_GB2312" w:eastAsia="楷体_GB2312" w:cs="楷体_GB2312"/>
          <w:b/>
          <w:bCs/>
          <w:color w:val="auto"/>
          <w:szCs w:val="32"/>
          <w:lang w:val="en-US" w:eastAsia="zh-CN"/>
        </w:rPr>
      </w:pPr>
      <w:bookmarkStart w:id="28" w:name="_Toc2453"/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二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项目产出方面</w:t>
      </w:r>
      <w:bookmarkEnd w:id="28"/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3" w:firstLineChars="200"/>
        <w:jc w:val="both"/>
        <w:textAlignment w:val="auto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产出数量未达预期目标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截至2023年8月，共发放粮食生产奖补资金2985.11万元，共奖补早稻专业化集中育秧（含机插（抛）秧面积）380774亩，离目标任务差930亩；奖补种植大户及先进乡镇共计231个名额，离目标任务差49户。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原因分析：由于财政资金紧张及2022年底疫情等因素，影响资金拨付进度，影响项目实施进度。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考核评定办法执行力欠缺。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一是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个别</w:t>
      </w:r>
      <w:r>
        <w:rPr>
          <w:rFonts w:hint="default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县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default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区上报初审名单不及时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default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县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default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应按规定于2022年12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日前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上报2022年初审材料给上级主管部门复审，在评价过程中发现9起滞后上报的情况，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具体详见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8"/>
          <w:highlight w:val="none"/>
          <w:lang w:val="en-US" w:eastAsia="zh-Han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jc w:val="center"/>
        <w:textAlignment w:val="auto"/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8"/>
          <w:highlight w:val="none"/>
          <w:lang w:val="en-US" w:eastAsia="zh-Hans" w:bidi="ar-SA"/>
        </w:rPr>
        <w:t>县市区滞后上报初审名单情况表</w:t>
      </w:r>
    </w:p>
    <w:tbl>
      <w:tblPr>
        <w:tblStyle w:val="18"/>
        <w:tblW w:w="1060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205"/>
        <w:gridCol w:w="3174"/>
        <w:gridCol w:w="2212"/>
        <w:gridCol w:w="2194"/>
        <w:gridCol w:w="10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tblHeader/>
          <w:jc w:val="center"/>
        </w:trPr>
        <w:tc>
          <w:tcPr>
            <w:tcW w:w="714" w:type="dxa"/>
            <w:tcBorders>
              <w:top w:val="single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23" w:type="dxa"/>
            <w:tcBorders>
              <w:top w:val="single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县市区</w:t>
            </w:r>
          </w:p>
        </w:tc>
        <w:tc>
          <w:tcPr>
            <w:tcW w:w="2959" w:type="dxa"/>
            <w:tcBorders>
              <w:top w:val="single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申报主体</w:t>
            </w:r>
          </w:p>
        </w:tc>
        <w:tc>
          <w:tcPr>
            <w:tcW w:w="2062" w:type="dxa"/>
            <w:tcBorders>
              <w:top w:val="single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文件规定</w:t>
            </w:r>
            <w:r>
              <w:rPr>
                <w:rFonts w:hint="eastAsia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上报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2045" w:type="dxa"/>
            <w:tcBorders>
              <w:top w:val="single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实际初审时间</w:t>
            </w:r>
          </w:p>
        </w:tc>
        <w:tc>
          <w:tcPr>
            <w:tcW w:w="980" w:type="dxa"/>
            <w:tcBorders>
              <w:top w:val="single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滞后天数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雷蕾</w:t>
            </w:r>
          </w:p>
        </w:tc>
        <w:tc>
          <w:tcPr>
            <w:tcW w:w="2062" w:type="dxa"/>
            <w:vMerge w:val="restart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022</w:t>
            </w:r>
            <w:r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  <w:t>年</w:t>
            </w:r>
            <w:r>
              <w:rPr>
                <w:rStyle w:val="23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  <w:t>12</w:t>
            </w:r>
            <w:r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  <w:t>月</w:t>
            </w:r>
            <w:r>
              <w:rPr>
                <w:rStyle w:val="23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  <w:t>10</w:t>
            </w:r>
            <w:r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  <w:t>日前</w:t>
            </w:r>
          </w:p>
          <w:p>
            <w:pPr>
              <w:pStyle w:val="2"/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</w:pPr>
          </w:p>
          <w:p>
            <w:pPr>
              <w:pStyle w:val="2"/>
              <w:rPr>
                <w:rStyle w:val="32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武冈市迎春亭街道高船岭村股份经济合作社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龙德荣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武冈市龙平农机专业合作社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周满姣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唐艳云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2022年12月13日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毛来生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2022年12月14日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欧光成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2022年12月14日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14" w:type="dxa"/>
            <w:tcBorders>
              <w:top w:val="dotted" w:color="000000" w:sz="4" w:space="0"/>
              <w:left w:val="nil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1123" w:type="dxa"/>
            <w:tcBorders>
              <w:top w:val="dotted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武冈市</w:t>
            </w:r>
          </w:p>
        </w:tc>
        <w:tc>
          <w:tcPr>
            <w:tcW w:w="2959" w:type="dxa"/>
            <w:tcBorders>
              <w:top w:val="dotted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匡振鹰</w:t>
            </w:r>
          </w:p>
        </w:tc>
        <w:tc>
          <w:tcPr>
            <w:tcW w:w="2062" w:type="dxa"/>
            <w:vMerge w:val="continue"/>
            <w:tcBorders>
              <w:top w:val="dotted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45" w:type="dxa"/>
            <w:tcBorders>
              <w:top w:val="dotted" w:color="000000" w:sz="4" w:space="0"/>
              <w:left w:val="dotted" w:color="000000" w:sz="4" w:space="0"/>
              <w:bottom w:val="single" w:color="000000" w:sz="4" w:space="0"/>
              <w:right w:val="dotted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2022年12月16日</w:t>
            </w:r>
          </w:p>
        </w:tc>
        <w:tc>
          <w:tcPr>
            <w:tcW w:w="980" w:type="dxa"/>
            <w:tcBorders>
              <w:top w:val="dotted" w:color="000000" w:sz="4" w:space="0"/>
              <w:left w:val="dotted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Style w:val="32"/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 w:bidi="ar"/>
              </w:rPr>
              <w:t>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是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个别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县市区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Hans"/>
        </w:rPr>
        <w:t>未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严格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Hans"/>
        </w:rPr>
        <w:t>按照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政策标准进行考核，粮食奖补考核分值不精准。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具体详见下表：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jc w:val="center"/>
        <w:textAlignment w:val="auto"/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8"/>
          <w:highlight w:val="none"/>
          <w:lang w:val="en-US" w:eastAsia="zh-Hans" w:bidi="ar-SA"/>
        </w:rPr>
        <w:t>评分结果</w:t>
      </w:r>
      <w:r>
        <w:rPr>
          <w:rFonts w:hint="eastAsia" w:eastAsia="仿宋_GB2312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不精准问题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金额单位：万元</w:t>
      </w:r>
    </w:p>
    <w:tbl>
      <w:tblPr>
        <w:tblStyle w:val="18"/>
        <w:tblW w:w="10601" w:type="dxa"/>
        <w:jc w:val="center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dotted" w:color="000000" w:sz="4" w:space="0"/>
          <w:insideV w:val="dotted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653"/>
        <w:gridCol w:w="822"/>
        <w:gridCol w:w="938"/>
        <w:gridCol w:w="896"/>
        <w:gridCol w:w="787"/>
        <w:gridCol w:w="2595"/>
        <w:gridCol w:w="3421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年份</w:t>
            </w:r>
          </w:p>
        </w:tc>
        <w:tc>
          <w:tcPr>
            <w:tcW w:w="8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县（市区）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8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奖补对象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奖补金额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情况描述</w:t>
            </w:r>
          </w:p>
        </w:tc>
        <w:tc>
          <w:tcPr>
            <w:tcW w:w="3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规章制度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  <w:jc w:val="center"/>
        </w:trPr>
        <w:tc>
          <w:tcPr>
            <w:tcW w:w="4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Style w:val="25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年</w:t>
            </w:r>
          </w:p>
        </w:tc>
        <w:tc>
          <w:tcPr>
            <w:tcW w:w="8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隆回县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优秀种粮大户</w:t>
            </w:r>
          </w:p>
        </w:tc>
        <w:tc>
          <w:tcPr>
            <w:tcW w:w="8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邹平初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申报资料中的申报表：其中，高档优质稻种植面积为812亩</w:t>
            </w:r>
            <w:r>
              <w:rPr>
                <w:rFonts w:hint="eastAsia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占流转耕地面积1075亩的75.53</w:t>
            </w:r>
            <w:r>
              <w:rPr>
                <w:rFonts w:hint="eastAsia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%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eastAsia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根据评分标准应得1</w:t>
            </w:r>
            <w:r>
              <w:rPr>
                <w:rFonts w:eastAsia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2.5</w:t>
            </w:r>
            <w:r>
              <w:rPr>
                <w:rFonts w:hint="eastAsia" w:eastAsia="仿宋"/>
                <w:color w:val="auto"/>
                <w:kern w:val="0"/>
                <w:sz w:val="21"/>
                <w:szCs w:val="21"/>
                <w:highlight w:val="none"/>
                <w:lang w:bidi="ar"/>
              </w:rPr>
              <w:t>分，但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县市区考核评价为15分，市级复核结果为15分。</w:t>
            </w:r>
          </w:p>
        </w:tc>
        <w:tc>
          <w:tcPr>
            <w:tcW w:w="3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邵阳市2022年粮食生产考核奖补办法》“（二）优秀种粮大户（家庭农场）：3.发展高档优质稻（15分）。高档优质稻种植面积占所流转耕地面积的50%以上的计10分，在此基础上每增加1个百分点加0.1分，最多加5分。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1" w:hRule="atLeast"/>
          <w:jc w:val="center"/>
        </w:trPr>
        <w:tc>
          <w:tcPr>
            <w:tcW w:w="4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2022年</w:t>
            </w:r>
          </w:p>
        </w:tc>
        <w:tc>
          <w:tcPr>
            <w:tcW w:w="8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隆回县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优秀育秧主体</w:t>
            </w:r>
          </w:p>
        </w:tc>
        <w:tc>
          <w:tcPr>
            <w:tcW w:w="8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肖祥果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申报资料中的申报表：其中，育秧大棚面积为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46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亩。</w:t>
            </w:r>
            <w:r>
              <w:rPr>
                <w:rStyle w:val="28"/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bidi="ar"/>
              </w:rPr>
              <w:t>根据评分标准应得</w:t>
            </w:r>
            <w:r>
              <w:rPr>
                <w:rStyle w:val="28"/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bidi="ar"/>
              </w:rPr>
              <w:t>28</w:t>
            </w:r>
            <w:r>
              <w:rPr>
                <w:rStyle w:val="28"/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bidi="ar"/>
              </w:rPr>
              <w:t>分，但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县市区考核评价为30分，市级复核结果为30分。</w:t>
            </w:r>
          </w:p>
        </w:tc>
        <w:tc>
          <w:tcPr>
            <w:tcW w:w="3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《邵阳市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2022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年粮食生产考核奖补办法》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“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（四）优秀早稻专业化集中育秧大户（合作社）：1.有专业化集中育秧工厂和育秧棚（30分）。有水稻播种专用的流水线、催芽密室和育秧棚，育秧棚面积达到30亩的计20分，育秧棚面积每增加1亩加0.5分，最多加10分。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9" w:hRule="atLeast"/>
          <w:jc w:val="center"/>
        </w:trPr>
        <w:tc>
          <w:tcPr>
            <w:tcW w:w="4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Style w:val="25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年</w:t>
            </w:r>
          </w:p>
        </w:tc>
        <w:tc>
          <w:tcPr>
            <w:tcW w:w="82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隆回县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优秀大豆种植大户</w:t>
            </w:r>
          </w:p>
        </w:tc>
        <w:tc>
          <w:tcPr>
            <w:tcW w:w="8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周卫峰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申报资料中的申报表：其中，大豆种植面积为250.43亩，大豆平均产量75.2公斤/亩，隆回县最高大豆平均产量为94公斤/亩，根据评分标准应得34分，但县市区考核评价为39分，市级复核结果为37.5分。</w:t>
            </w:r>
          </w:p>
        </w:tc>
        <w:tc>
          <w:tcPr>
            <w:tcW w:w="3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《邵阳市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2022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年粮食生产考核奖补办法》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“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（四）优秀大豆种植大户（家庭农场、合作社、村集体）：1.面积和产量（40分）。大豆种植大户（家庭农场）大豆种植面积200亩以上的；鼓励以合作社、村集体为主体发动村民发展大豆生产，合作社、村集体大豆种植面积500亩以上的，计25分，每增加10亩，加1分，最多只加10分。大豆平均产量全县最高的计5分，其他按比例计分。同一个村，大户（家庭农场）、合作社、村集体只能选择其一申报。</w:t>
            </w:r>
            <w:r>
              <w:rPr>
                <w:rStyle w:val="26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4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2022</w:t>
            </w:r>
            <w:r>
              <w:rPr>
                <w:rStyle w:val="28"/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年</w:t>
            </w:r>
          </w:p>
        </w:tc>
        <w:tc>
          <w:tcPr>
            <w:tcW w:w="8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武冈市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优秀种粮大户</w:t>
            </w:r>
          </w:p>
        </w:tc>
        <w:tc>
          <w:tcPr>
            <w:tcW w:w="8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周满姣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申报资料中的申报表：其中，2020年1月以来流转耕地面积为598.61亩；高档优质稻种植面积为598.61亩；占流转耕地面积的100</w:t>
            </w:r>
            <w:r>
              <w:rPr>
                <w:rFonts w:hint="eastAsia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%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（598.61/598.61）。</w:t>
            </w:r>
            <w:r>
              <w:rPr>
                <w:rStyle w:val="28"/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bidi="ar"/>
              </w:rPr>
              <w:t>根据评分标准应</w:t>
            </w:r>
            <w:r>
              <w:rPr>
                <w:rStyle w:val="28"/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bidi="ar"/>
              </w:rPr>
              <w:t>得</w:t>
            </w:r>
            <w:r>
              <w:rPr>
                <w:rStyle w:val="28"/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 w:bidi="ar"/>
              </w:rPr>
              <w:t>15</w:t>
            </w:r>
            <w:r>
              <w:rPr>
                <w:rStyle w:val="28"/>
                <w:rFonts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bidi="ar"/>
              </w:rPr>
              <w:t>分，但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县市区考核评价为10分，市级复核结果为10分。</w:t>
            </w:r>
          </w:p>
        </w:tc>
        <w:tc>
          <w:tcPr>
            <w:tcW w:w="3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《邵阳市2022年粮食生产考核奖补办法》“（二）优秀种粮大户（家庭农场）：3.发展高档优质稻（15分）。高档优质稻种植面积占所流转耕地面积的50%以上的计10分，在此基础上每增加1个百分点加0.1分，最多加5分。”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dotted" w:color="000000" w:sz="4" w:space="0"/>
            <w:insideV w:val="dotted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37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仿宋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0" w:firstLineChars="200"/>
        <w:textAlignment w:val="auto"/>
        <w:rPr>
          <w:rFonts w:eastAsia="黑体"/>
          <w:color w:val="auto"/>
          <w:szCs w:val="32"/>
          <w:highlight w:val="none"/>
        </w:rPr>
      </w:pPr>
      <w:bookmarkStart w:id="29" w:name="_Toc8438"/>
      <w:r>
        <w:rPr>
          <w:rFonts w:hint="eastAsia"/>
          <w:color w:val="auto"/>
          <w:highlight w:val="none"/>
          <w:lang w:val="en-US" w:eastAsia="zh-CN"/>
        </w:rPr>
        <w:t>六</w:t>
      </w:r>
      <w:r>
        <w:rPr>
          <w:color w:val="auto"/>
          <w:highlight w:val="none"/>
        </w:rPr>
        <w:t>、</w:t>
      </w:r>
      <w:r>
        <w:rPr>
          <w:rFonts w:hint="eastAsia"/>
          <w:color w:val="auto"/>
          <w:highlight w:val="none"/>
        </w:rPr>
        <w:t>相关建议</w:t>
      </w:r>
      <w:bookmarkEnd w:id="29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Chars="0" w:firstLine="643" w:firstLineChars="200"/>
        <w:textAlignment w:val="auto"/>
        <w:rPr>
          <w:rFonts w:hint="eastAsia" w:eastAsia="黑体"/>
          <w:color w:val="auto"/>
          <w:szCs w:val="32"/>
          <w:highlight w:val="none"/>
        </w:rPr>
      </w:pPr>
      <w:bookmarkStart w:id="30" w:name="_Toc21160"/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一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提高项目预算、绩效管理意识</w:t>
      </w:r>
      <w:bookmarkEnd w:id="3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32" w:firstLineChars="200"/>
        <w:textAlignment w:val="auto"/>
        <w:rPr>
          <w:rFonts w:hint="eastAsia" w:ascii="Times New Roman" w:hAnsi="Times New Roman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被评价单位应严格</w:t>
      </w:r>
      <w:r>
        <w:rPr>
          <w:rFonts w:hint="eastAsia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按照“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谁申请资金，谁编制目标”的原则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结合项目具体内容、预算情况、实施条件以及项目特点，编制有针对性的绩效目标和指标，将整体的绩效目标细化、分解为清晰、可衡量的绩效指标，使项目绩效考核有据可依</w:t>
      </w:r>
      <w:r>
        <w:rPr>
          <w:rFonts w:hint="eastAsia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；开展绩效事中监控，</w:t>
      </w:r>
      <w:r>
        <w:rPr>
          <w:rFonts w:hint="eastAsia" w:ascii="Times New Roman" w:hAnsi="Times New Roman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提高资金执行率，确保奖补资金及时拨付到位。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Chars="0"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color w:val="auto"/>
          <w:spacing w:val="-2"/>
          <w:kern w:val="2"/>
          <w:szCs w:val="32"/>
          <w:highlight w:val="none"/>
          <w:lang w:val="en-US" w:eastAsia="zh-CN" w:bidi="ar-SA"/>
        </w:rPr>
      </w:pPr>
      <w:bookmarkStart w:id="31" w:name="_Toc445"/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二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加强</w:t>
      </w:r>
      <w:r>
        <w:rPr>
          <w:rFonts w:hint="eastAsia"/>
          <w:color w:val="auto"/>
          <w:highlight w:val="none"/>
          <w:lang w:val="en-US" w:eastAsia="zh-CN"/>
        </w:rPr>
        <w:t>考核评定</w:t>
      </w:r>
      <w:r>
        <w:rPr>
          <w:rFonts w:hint="eastAsia"/>
          <w:color w:val="auto"/>
          <w:highlight w:val="none"/>
        </w:rPr>
        <w:t>过程管理</w:t>
      </w:r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被评价单位</w:t>
      </w:r>
      <w:r>
        <w:rPr>
          <w:rFonts w:hint="default" w:ascii="Times New Roman" w:hAnsi="Times New Roman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严格按照粮食生产考核奖补办法</w:t>
      </w:r>
      <w:r>
        <w:rPr>
          <w:rFonts w:hint="eastAsia" w:eastAsia="仿宋_GB2312" w:cs="Times New Roman"/>
          <w:b w:val="0"/>
          <w:color w:val="auto"/>
          <w:spacing w:val="-2"/>
          <w:kern w:val="2"/>
          <w:sz w:val="32"/>
          <w:szCs w:val="32"/>
          <w:highlight w:val="none"/>
          <w:lang w:val="en-US" w:eastAsia="zh-CN" w:bidi="ar-SA"/>
        </w:rPr>
        <w:t>中的考核内容、评分标准、考核评定办法对申报主体资料展开考核，及时、准确报送推荐资料，加快项目实施进度，确保考评结果真实、透明。</w:t>
      </w:r>
      <w:bookmarkStart w:id="32" w:name="_GoBack"/>
      <w:bookmarkEnd w:id="32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</w:pP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rPr>
        <w:rFonts w:hint="default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F5098F"/>
    <w:multiLevelType w:val="singleLevel"/>
    <w:tmpl w:val="E4F5098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89F1320"/>
    <w:multiLevelType w:val="singleLevel"/>
    <w:tmpl w:val="E89F1320"/>
    <w:lvl w:ilvl="0" w:tentative="0">
      <w:start w:val="2"/>
      <w:numFmt w:val="decimal"/>
      <w:suff w:val="nothing"/>
      <w:lvlText w:val="%1、"/>
      <w:lvlJc w:val="left"/>
      <w:pPr>
        <w:ind w:left="-1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lNTM2OTM0NmYwMDMwOWM3NjBlYWQ3NzM1NTdjZjYifQ=="/>
  </w:docVars>
  <w:rsids>
    <w:rsidRoot w:val="68236772"/>
    <w:rsid w:val="0011760F"/>
    <w:rsid w:val="00D412AC"/>
    <w:rsid w:val="01330018"/>
    <w:rsid w:val="01527669"/>
    <w:rsid w:val="01803356"/>
    <w:rsid w:val="01ED021B"/>
    <w:rsid w:val="02321450"/>
    <w:rsid w:val="02913121"/>
    <w:rsid w:val="02D20A78"/>
    <w:rsid w:val="0391457B"/>
    <w:rsid w:val="03BB1930"/>
    <w:rsid w:val="040C7964"/>
    <w:rsid w:val="048645E5"/>
    <w:rsid w:val="04C95241"/>
    <w:rsid w:val="050054AB"/>
    <w:rsid w:val="05324131"/>
    <w:rsid w:val="05C16F5E"/>
    <w:rsid w:val="05D20A53"/>
    <w:rsid w:val="05DE272F"/>
    <w:rsid w:val="05E11832"/>
    <w:rsid w:val="06E21934"/>
    <w:rsid w:val="071543B8"/>
    <w:rsid w:val="07B66443"/>
    <w:rsid w:val="07C4463C"/>
    <w:rsid w:val="07CD6512"/>
    <w:rsid w:val="08540243"/>
    <w:rsid w:val="087302B2"/>
    <w:rsid w:val="08937B69"/>
    <w:rsid w:val="09C474A0"/>
    <w:rsid w:val="09ED515A"/>
    <w:rsid w:val="0D054058"/>
    <w:rsid w:val="0E844C62"/>
    <w:rsid w:val="0ECF595A"/>
    <w:rsid w:val="0EF46096"/>
    <w:rsid w:val="0F533D22"/>
    <w:rsid w:val="0F6B1328"/>
    <w:rsid w:val="0FF17A19"/>
    <w:rsid w:val="10E05C4A"/>
    <w:rsid w:val="11323006"/>
    <w:rsid w:val="1184606E"/>
    <w:rsid w:val="1193257A"/>
    <w:rsid w:val="11AD53A6"/>
    <w:rsid w:val="11C44408"/>
    <w:rsid w:val="11E3705D"/>
    <w:rsid w:val="123272ED"/>
    <w:rsid w:val="14FF0009"/>
    <w:rsid w:val="15A85FF0"/>
    <w:rsid w:val="160C28FB"/>
    <w:rsid w:val="173D0AE0"/>
    <w:rsid w:val="17405A86"/>
    <w:rsid w:val="174264C4"/>
    <w:rsid w:val="17A33D3C"/>
    <w:rsid w:val="17C957B1"/>
    <w:rsid w:val="181825BE"/>
    <w:rsid w:val="1A330456"/>
    <w:rsid w:val="1A9F1FA3"/>
    <w:rsid w:val="1ABF24A7"/>
    <w:rsid w:val="1ACC7021"/>
    <w:rsid w:val="1ADA6B24"/>
    <w:rsid w:val="1B0032DD"/>
    <w:rsid w:val="1BEB0073"/>
    <w:rsid w:val="1C1E4C5F"/>
    <w:rsid w:val="1C5B4C3E"/>
    <w:rsid w:val="1CAB3E9B"/>
    <w:rsid w:val="1D297DCB"/>
    <w:rsid w:val="1D900946"/>
    <w:rsid w:val="1DC0433C"/>
    <w:rsid w:val="1DD03494"/>
    <w:rsid w:val="1E1428DB"/>
    <w:rsid w:val="1F7312F5"/>
    <w:rsid w:val="1FBE4E4D"/>
    <w:rsid w:val="20196340"/>
    <w:rsid w:val="20401BB4"/>
    <w:rsid w:val="21CF315A"/>
    <w:rsid w:val="21DA565B"/>
    <w:rsid w:val="22020F91"/>
    <w:rsid w:val="229E793E"/>
    <w:rsid w:val="22EB22D6"/>
    <w:rsid w:val="235D2722"/>
    <w:rsid w:val="23FD66C5"/>
    <w:rsid w:val="246A147B"/>
    <w:rsid w:val="24FB7DC2"/>
    <w:rsid w:val="253329C3"/>
    <w:rsid w:val="259F3E4E"/>
    <w:rsid w:val="25BA3796"/>
    <w:rsid w:val="25BE71CC"/>
    <w:rsid w:val="25F960F2"/>
    <w:rsid w:val="26033C2C"/>
    <w:rsid w:val="26574BD3"/>
    <w:rsid w:val="26FC2B7E"/>
    <w:rsid w:val="273906CF"/>
    <w:rsid w:val="27BA057A"/>
    <w:rsid w:val="27DD6237"/>
    <w:rsid w:val="28123DA1"/>
    <w:rsid w:val="285B547A"/>
    <w:rsid w:val="29526BB4"/>
    <w:rsid w:val="29954C89"/>
    <w:rsid w:val="29BC37D7"/>
    <w:rsid w:val="2A5F4B55"/>
    <w:rsid w:val="2A88031D"/>
    <w:rsid w:val="2A88034A"/>
    <w:rsid w:val="2A9F6E04"/>
    <w:rsid w:val="2AFB1421"/>
    <w:rsid w:val="2B56688F"/>
    <w:rsid w:val="2C1A76C8"/>
    <w:rsid w:val="2C621647"/>
    <w:rsid w:val="2C8E761A"/>
    <w:rsid w:val="2CD51019"/>
    <w:rsid w:val="2D7264DA"/>
    <w:rsid w:val="2D954CC4"/>
    <w:rsid w:val="2EAD0784"/>
    <w:rsid w:val="2EB3456A"/>
    <w:rsid w:val="2ED932C2"/>
    <w:rsid w:val="300D7C42"/>
    <w:rsid w:val="30572D9F"/>
    <w:rsid w:val="30C547FD"/>
    <w:rsid w:val="31745184"/>
    <w:rsid w:val="32147EFA"/>
    <w:rsid w:val="32521CDE"/>
    <w:rsid w:val="32812D59"/>
    <w:rsid w:val="32B764E8"/>
    <w:rsid w:val="32CD09A2"/>
    <w:rsid w:val="333013C7"/>
    <w:rsid w:val="333506DB"/>
    <w:rsid w:val="337376BE"/>
    <w:rsid w:val="343C2BD4"/>
    <w:rsid w:val="34DE3A40"/>
    <w:rsid w:val="35426614"/>
    <w:rsid w:val="36110667"/>
    <w:rsid w:val="36E64AC3"/>
    <w:rsid w:val="37EC20DC"/>
    <w:rsid w:val="38250003"/>
    <w:rsid w:val="38462BBC"/>
    <w:rsid w:val="392A081F"/>
    <w:rsid w:val="3939592F"/>
    <w:rsid w:val="398D4C8E"/>
    <w:rsid w:val="3A4F69E5"/>
    <w:rsid w:val="3AC404B4"/>
    <w:rsid w:val="3AE51C64"/>
    <w:rsid w:val="3AF5452C"/>
    <w:rsid w:val="3B071FA8"/>
    <w:rsid w:val="3B131EB2"/>
    <w:rsid w:val="3B1A4233"/>
    <w:rsid w:val="3B2D6667"/>
    <w:rsid w:val="3B471B5C"/>
    <w:rsid w:val="3BC6195C"/>
    <w:rsid w:val="3BF13876"/>
    <w:rsid w:val="3C511A7E"/>
    <w:rsid w:val="3D12350E"/>
    <w:rsid w:val="3DB6044B"/>
    <w:rsid w:val="3DCE4BDC"/>
    <w:rsid w:val="3ECF4342"/>
    <w:rsid w:val="3F0E330E"/>
    <w:rsid w:val="3F540192"/>
    <w:rsid w:val="3F5B1673"/>
    <w:rsid w:val="3F8D306D"/>
    <w:rsid w:val="3FB4641E"/>
    <w:rsid w:val="3FE67B95"/>
    <w:rsid w:val="411C29C0"/>
    <w:rsid w:val="41F44B61"/>
    <w:rsid w:val="42560F30"/>
    <w:rsid w:val="425D2088"/>
    <w:rsid w:val="429743FD"/>
    <w:rsid w:val="431C2112"/>
    <w:rsid w:val="437A6829"/>
    <w:rsid w:val="43EF14F4"/>
    <w:rsid w:val="4433222B"/>
    <w:rsid w:val="44DF429F"/>
    <w:rsid w:val="46963997"/>
    <w:rsid w:val="471E0E29"/>
    <w:rsid w:val="47E25F15"/>
    <w:rsid w:val="48677399"/>
    <w:rsid w:val="4985657D"/>
    <w:rsid w:val="4A7F4E6E"/>
    <w:rsid w:val="4ACB7329"/>
    <w:rsid w:val="4B92297F"/>
    <w:rsid w:val="4B9761E7"/>
    <w:rsid w:val="4BBF3B43"/>
    <w:rsid w:val="4C3F0B47"/>
    <w:rsid w:val="4D2A54F6"/>
    <w:rsid w:val="4D531D2C"/>
    <w:rsid w:val="4DD03C33"/>
    <w:rsid w:val="4EDD6607"/>
    <w:rsid w:val="4F26070A"/>
    <w:rsid w:val="4F5F701C"/>
    <w:rsid w:val="4FC86025"/>
    <w:rsid w:val="4FF05EC6"/>
    <w:rsid w:val="500214FB"/>
    <w:rsid w:val="50377A0F"/>
    <w:rsid w:val="50C00363"/>
    <w:rsid w:val="50EA7ED6"/>
    <w:rsid w:val="511931FB"/>
    <w:rsid w:val="51361422"/>
    <w:rsid w:val="514E2612"/>
    <w:rsid w:val="522E39DA"/>
    <w:rsid w:val="5285190D"/>
    <w:rsid w:val="528555AE"/>
    <w:rsid w:val="52992845"/>
    <w:rsid w:val="529B1077"/>
    <w:rsid w:val="5315663D"/>
    <w:rsid w:val="53DB5F37"/>
    <w:rsid w:val="545405D2"/>
    <w:rsid w:val="54792773"/>
    <w:rsid w:val="5490090F"/>
    <w:rsid w:val="54C2232B"/>
    <w:rsid w:val="54FA0C2F"/>
    <w:rsid w:val="552C68FC"/>
    <w:rsid w:val="55932D67"/>
    <w:rsid w:val="56135E24"/>
    <w:rsid w:val="566E042F"/>
    <w:rsid w:val="56A01AA7"/>
    <w:rsid w:val="57E91C1D"/>
    <w:rsid w:val="583354EA"/>
    <w:rsid w:val="58861E86"/>
    <w:rsid w:val="592F5CB1"/>
    <w:rsid w:val="59796F2C"/>
    <w:rsid w:val="59ED480A"/>
    <w:rsid w:val="5A4564CC"/>
    <w:rsid w:val="5B635E23"/>
    <w:rsid w:val="5B7B51DE"/>
    <w:rsid w:val="5BA2677E"/>
    <w:rsid w:val="5BA26C0E"/>
    <w:rsid w:val="5BD42B40"/>
    <w:rsid w:val="5BF9175D"/>
    <w:rsid w:val="5C0F3B78"/>
    <w:rsid w:val="5C4C29C7"/>
    <w:rsid w:val="5C6B5F1C"/>
    <w:rsid w:val="5DB228B1"/>
    <w:rsid w:val="5DEB176A"/>
    <w:rsid w:val="5E18320E"/>
    <w:rsid w:val="5EB4268B"/>
    <w:rsid w:val="5ECC478B"/>
    <w:rsid w:val="60163727"/>
    <w:rsid w:val="60303907"/>
    <w:rsid w:val="60DF6241"/>
    <w:rsid w:val="60E04D82"/>
    <w:rsid w:val="61065FA1"/>
    <w:rsid w:val="61202B3F"/>
    <w:rsid w:val="637D0E6D"/>
    <w:rsid w:val="64216B3E"/>
    <w:rsid w:val="64810A22"/>
    <w:rsid w:val="64D13507"/>
    <w:rsid w:val="65833BAB"/>
    <w:rsid w:val="65CF2C6F"/>
    <w:rsid w:val="65F913A3"/>
    <w:rsid w:val="6600147C"/>
    <w:rsid w:val="6646724B"/>
    <w:rsid w:val="67B059A7"/>
    <w:rsid w:val="68236772"/>
    <w:rsid w:val="68882938"/>
    <w:rsid w:val="68BF3CEC"/>
    <w:rsid w:val="6A4B784D"/>
    <w:rsid w:val="6B725B1B"/>
    <w:rsid w:val="6B8F1FD6"/>
    <w:rsid w:val="6D7F3FFA"/>
    <w:rsid w:val="6F014AA4"/>
    <w:rsid w:val="6F525DFE"/>
    <w:rsid w:val="6FCE744B"/>
    <w:rsid w:val="6FF24B04"/>
    <w:rsid w:val="719E770A"/>
    <w:rsid w:val="71BD4B42"/>
    <w:rsid w:val="726B64D9"/>
    <w:rsid w:val="730748F8"/>
    <w:rsid w:val="735203F8"/>
    <w:rsid w:val="73797DFD"/>
    <w:rsid w:val="741C7CF5"/>
    <w:rsid w:val="74FF07D6"/>
    <w:rsid w:val="75D24F78"/>
    <w:rsid w:val="76311B65"/>
    <w:rsid w:val="78267E28"/>
    <w:rsid w:val="78FD779B"/>
    <w:rsid w:val="79123CA4"/>
    <w:rsid w:val="7951144C"/>
    <w:rsid w:val="79EA0A41"/>
    <w:rsid w:val="7A3B40C6"/>
    <w:rsid w:val="7A7E03EF"/>
    <w:rsid w:val="7AE6048D"/>
    <w:rsid w:val="7B2B12F7"/>
    <w:rsid w:val="7B3812FC"/>
    <w:rsid w:val="7BAB6FC2"/>
    <w:rsid w:val="7BE91173"/>
    <w:rsid w:val="7C2A1162"/>
    <w:rsid w:val="7C4124B4"/>
    <w:rsid w:val="7C4F46E6"/>
    <w:rsid w:val="7CE531A1"/>
    <w:rsid w:val="7DCF2D2B"/>
    <w:rsid w:val="7E5E0D27"/>
    <w:rsid w:val="7E710B09"/>
    <w:rsid w:val="7E97390A"/>
    <w:rsid w:val="7EB80BC2"/>
    <w:rsid w:val="7EEC5C98"/>
    <w:rsid w:val="7EF62D77"/>
    <w:rsid w:val="7F200785"/>
    <w:rsid w:val="7F2C6927"/>
    <w:rsid w:val="7F7F1144"/>
    <w:rsid w:val="7FAA5A71"/>
    <w:rsid w:val="7FC468A4"/>
    <w:rsid w:val="7FD12C50"/>
    <w:rsid w:val="7FF06BB2"/>
    <w:rsid w:val="7FFF9514"/>
    <w:rsid w:val="B3FD42E4"/>
    <w:rsid w:val="DDEE6296"/>
    <w:rsid w:val="EFDFA96F"/>
    <w:rsid w:val="FDEFD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80" w:lineRule="exact"/>
      <w:ind w:firstLine="732" w:firstLineChars="200"/>
      <w:outlineLvl w:val="0"/>
    </w:pPr>
    <w:rPr>
      <w:rFonts w:ascii="Times New Roman" w:hAnsi="Times New Roman" w:eastAsia="黑体"/>
      <w:kern w:val="44"/>
      <w:sz w:val="32"/>
    </w:rPr>
  </w:style>
  <w:style w:type="paragraph" w:styleId="4">
    <w:name w:val="heading 2"/>
    <w:basedOn w:val="1"/>
    <w:next w:val="1"/>
    <w:link w:val="22"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732" w:firstLineChars="200"/>
      <w:outlineLvl w:val="1"/>
    </w:pPr>
    <w:rPr>
      <w:rFonts w:ascii="Arial" w:hAnsi="Arial" w:eastAsia="楷体_GB2312"/>
      <w:b/>
      <w:sz w:val="32"/>
    </w:rPr>
  </w:style>
  <w:style w:type="character" w:default="1" w:styleId="20">
    <w:name w:val="Default Paragraph Font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  <w:style w:type="paragraph" w:styleId="6">
    <w:name w:val="index 5"/>
    <w:basedOn w:val="1"/>
    <w:next w:val="1"/>
    <w:qFormat/>
    <w:uiPriority w:val="0"/>
    <w:pPr>
      <w:ind w:left="16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/>
    </w:pPr>
  </w:style>
  <w:style w:type="paragraph" w:styleId="9">
    <w:name w:val="Body Text Indent 2"/>
    <w:basedOn w:val="1"/>
    <w:next w:val="10"/>
    <w:unhideWhenUsed/>
    <w:qFormat/>
    <w:uiPriority w:val="99"/>
    <w:pPr>
      <w:spacing w:after="120" w:line="480" w:lineRule="auto"/>
      <w:ind w:left="420" w:leftChars="200"/>
    </w:pPr>
  </w:style>
  <w:style w:type="paragraph" w:customStyle="1" w:styleId="10">
    <w:name w:val="p0"/>
    <w:next w:val="11"/>
    <w:qFormat/>
    <w:uiPriority w:val="0"/>
    <w:pPr>
      <w:spacing w:line="365" w:lineRule="atLeast"/>
      <w:ind w:left="1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11">
    <w:name w:val="header"/>
    <w:basedOn w:val="1"/>
    <w:next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toc 1"/>
    <w:basedOn w:val="1"/>
    <w:next w:val="1"/>
    <w:qFormat/>
    <w:uiPriority w:val="39"/>
  </w:style>
  <w:style w:type="paragraph" w:styleId="14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7">
    <w:name w:val="Body Text First Indent 2"/>
    <w:basedOn w:val="1"/>
    <w:qFormat/>
    <w:uiPriority w:val="0"/>
    <w:pPr>
      <w:ind w:left="420" w:leftChars="200" w:firstLine="210"/>
    </w:p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0"/>
    <w:rPr>
      <w:b/>
    </w:rPr>
  </w:style>
  <w:style w:type="character" w:customStyle="1" w:styleId="22">
    <w:name w:val="标题 2 Char"/>
    <w:link w:val="4"/>
    <w:qFormat/>
    <w:uiPriority w:val="0"/>
    <w:rPr>
      <w:rFonts w:ascii="Arial" w:hAnsi="Arial" w:eastAsia="楷体_GB2312"/>
      <w:b/>
      <w:sz w:val="32"/>
    </w:rPr>
  </w:style>
  <w:style w:type="character" w:customStyle="1" w:styleId="23">
    <w:name w:val="font21"/>
    <w:basedOn w:val="20"/>
    <w:qFormat/>
    <w:uiPriority w:val="0"/>
    <w:rPr>
      <w:rFonts w:hint="eastAsia" w:ascii="仿宋_GB2312" w:eastAsia="仿宋_GB2312" w:cs="仿宋_GB2312"/>
      <w:b/>
      <w:bCs/>
      <w:color w:val="000000"/>
      <w:sz w:val="21"/>
      <w:szCs w:val="21"/>
      <w:u w:val="none"/>
    </w:rPr>
  </w:style>
  <w:style w:type="character" w:customStyle="1" w:styleId="24">
    <w:name w:val="font31"/>
    <w:basedOn w:val="20"/>
    <w:qFormat/>
    <w:uiPriority w:val="0"/>
    <w:rPr>
      <w:rFonts w:hint="eastAsia" w:ascii="仿宋_GB2312" w:eastAsia="仿宋_GB2312" w:cs="仿宋_GB2312"/>
      <w:b/>
      <w:bCs/>
      <w:color w:val="000000"/>
      <w:sz w:val="21"/>
      <w:szCs w:val="21"/>
      <w:u w:val="none"/>
    </w:rPr>
  </w:style>
  <w:style w:type="character" w:customStyle="1" w:styleId="25">
    <w:name w:val="font81"/>
    <w:basedOn w:val="20"/>
    <w:qFormat/>
    <w:uiPriority w:val="0"/>
    <w:rPr>
      <w:rFonts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26">
    <w:name w:val="font61"/>
    <w:basedOn w:val="2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7">
    <w:name w:val="font71"/>
    <w:basedOn w:val="20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28">
    <w:name w:val="font51"/>
    <w:basedOn w:val="2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9">
    <w:name w:val="font01"/>
    <w:basedOn w:val="20"/>
    <w:qFormat/>
    <w:uiPriority w:val="0"/>
    <w:rPr>
      <w:rFonts w:ascii="MingLiU" w:hAnsi="MingLiU" w:eastAsia="MingLiU" w:cs="MingLiU"/>
      <w:color w:val="000000"/>
      <w:sz w:val="18"/>
      <w:szCs w:val="18"/>
      <w:u w:val="none"/>
    </w:rPr>
  </w:style>
  <w:style w:type="character" w:customStyle="1" w:styleId="30">
    <w:name w:val="font91"/>
    <w:basedOn w:val="20"/>
    <w:qFormat/>
    <w:uiPriority w:val="0"/>
    <w:rPr>
      <w:rFonts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31">
    <w:name w:val="font41"/>
    <w:basedOn w:val="2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2">
    <w:name w:val="font11"/>
    <w:basedOn w:val="2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font101"/>
    <w:basedOn w:val="20"/>
    <w:qFormat/>
    <w:uiPriority w:val="0"/>
    <w:rPr>
      <w:rFonts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34">
    <w:name w:val="font112"/>
    <w:basedOn w:val="2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5">
    <w:name w:val="font121"/>
    <w:basedOn w:val="2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customStyle="1" w:styleId="36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12431</Words>
  <Characters>14417</Characters>
  <Lines>0</Lines>
  <Paragraphs>0</Paragraphs>
  <TotalTime>20</TotalTime>
  <ScaleCrop>false</ScaleCrop>
  <LinksUpToDate>false</LinksUpToDate>
  <CharactersWithSpaces>14556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2023-08-16T18:14:00Z</dcterms:created>
  <dc:creator>是不是哪里出了问题</dc:creator>
  <cp:lastModifiedBy>双双</cp:lastModifiedBy>
  <dcterms:modified xsi:type="dcterms:W3CDTF">2023-10-17T06:52:18Z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AF5F7EFC2BFA48FBBF5293B772551C08</vt:lpwstr>
  </property>
</Properties>
</file>