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after="0" w:line="240" w:lineRule="auto"/>
        <w:ind w:left="0" w:firstLine="0" w:firstLineChars="0"/>
        <w:jc w:val="both"/>
        <w:rPr>
          <w:rFonts w:hint="eastAsia"/>
          <w:sz w:val="10"/>
          <w:szCs w:val="10"/>
          <w:highlight w:val="none"/>
        </w:rPr>
      </w:pPr>
    </w:p>
    <w:p>
      <w:pPr>
        <w:pStyle w:val="4"/>
        <w:pageBreakBefore w:val="0"/>
        <w:wordWrap/>
        <w:overflowPunct/>
        <w:topLinePunct w:val="0"/>
        <w:bidi w:val="0"/>
        <w:spacing w:before="0" w:after="0" w:line="560" w:lineRule="exact"/>
        <w:ind w:left="0" w:firstLine="0" w:firstLineChars="0"/>
        <w:jc w:val="center"/>
        <w:rPr>
          <w:rFonts w:hint="eastAsia" w:ascii="宋体" w:hAnsi="宋体" w:eastAsia="宋体" w:cs="宋体"/>
          <w:sz w:val="40"/>
          <w:szCs w:val="40"/>
          <w:highlight w:val="none"/>
          <w:lang w:eastAsia="zh-CN"/>
        </w:rPr>
      </w:pPr>
      <w:r>
        <w:rPr>
          <w:rFonts w:hint="eastAsia" w:ascii="宋体" w:hAnsi="宋体" w:eastAsia="宋体" w:cs="宋体"/>
          <w:sz w:val="40"/>
          <w:szCs w:val="40"/>
          <w:highlight w:val="none"/>
          <w:lang w:val="en-US" w:eastAsia="zh-CN"/>
        </w:rPr>
        <w:t>2020</w:t>
      </w:r>
      <w:r>
        <w:rPr>
          <w:rFonts w:hint="eastAsia" w:ascii="仿宋_GB2312" w:hAnsi="仿宋_GB2312" w:eastAsia="仿宋_GB2312" w:cs="仿宋_GB2312"/>
          <w:b w:val="0"/>
          <w:bCs w:val="0"/>
          <w:sz w:val="32"/>
          <w:szCs w:val="32"/>
          <w:highlight w:val="none"/>
          <w:lang w:val="en-US" w:eastAsia="zh-CN"/>
        </w:rPr>
        <w:t>-</w:t>
      </w:r>
      <w:r>
        <w:rPr>
          <w:rFonts w:hint="eastAsia" w:ascii="宋体" w:hAnsi="宋体" w:cs="宋体"/>
          <w:sz w:val="40"/>
          <w:szCs w:val="40"/>
          <w:highlight w:val="none"/>
          <w:lang w:val="en-US" w:eastAsia="zh-CN"/>
        </w:rPr>
        <w:t>2022</w:t>
      </w:r>
      <w:r>
        <w:rPr>
          <w:rFonts w:hint="eastAsia" w:ascii="宋体" w:hAnsi="宋体" w:eastAsia="宋体" w:cs="宋体"/>
          <w:sz w:val="40"/>
          <w:szCs w:val="40"/>
          <w:highlight w:val="none"/>
          <w:lang w:val="en-US" w:eastAsia="zh-CN"/>
        </w:rPr>
        <w:t>年</w:t>
      </w:r>
      <w:r>
        <w:rPr>
          <w:rFonts w:hint="eastAsia" w:ascii="宋体" w:hAnsi="宋体" w:cs="宋体"/>
          <w:sz w:val="40"/>
          <w:szCs w:val="40"/>
          <w:highlight w:val="none"/>
          <w:lang w:val="en-US" w:eastAsia="zh-CN"/>
        </w:rPr>
        <w:t>度科技创新</w:t>
      </w:r>
      <w:r>
        <w:rPr>
          <w:rFonts w:hint="eastAsia" w:ascii="宋体" w:hAnsi="宋体" w:eastAsia="宋体" w:cs="宋体"/>
          <w:sz w:val="40"/>
          <w:szCs w:val="40"/>
          <w:highlight w:val="none"/>
          <w:lang w:eastAsia="zh-CN"/>
        </w:rPr>
        <w:t>专项资金</w:t>
      </w:r>
    </w:p>
    <w:p>
      <w:pPr>
        <w:pStyle w:val="4"/>
        <w:pageBreakBefore w:val="0"/>
        <w:wordWrap/>
        <w:overflowPunct/>
        <w:topLinePunct w:val="0"/>
        <w:bidi w:val="0"/>
        <w:spacing w:before="0" w:after="0" w:line="560" w:lineRule="exact"/>
        <w:ind w:left="0" w:firstLine="0" w:firstLineChars="0"/>
        <w:jc w:val="center"/>
        <w:rPr>
          <w:rFonts w:hint="eastAsia" w:ascii="宋体" w:hAnsi="宋体" w:eastAsia="宋体" w:cs="宋体"/>
          <w:sz w:val="40"/>
          <w:szCs w:val="40"/>
          <w:highlight w:val="none"/>
        </w:rPr>
      </w:pPr>
      <w:r>
        <w:rPr>
          <w:rFonts w:hint="eastAsia" w:ascii="宋体" w:hAnsi="宋体" w:eastAsia="宋体" w:cs="宋体"/>
          <w:sz w:val="40"/>
          <w:szCs w:val="40"/>
          <w:highlight w:val="none"/>
        </w:rPr>
        <w:t>绩效评价报告</w:t>
      </w:r>
    </w:p>
    <w:p>
      <w:pPr>
        <w:pageBreakBefore w:val="0"/>
        <w:wordWrap/>
        <w:overflowPunct/>
        <w:topLinePunct w:val="0"/>
        <w:bidi w:val="0"/>
        <w:spacing w:line="560" w:lineRule="exact"/>
        <w:rPr>
          <w:rFonts w:hint="eastAsia"/>
          <w:highlight w:val="none"/>
          <w:lang w:val="en-US" w:eastAsia="zh-CN"/>
        </w:rPr>
      </w:pPr>
    </w:p>
    <w:p>
      <w:pPr>
        <w:pageBreakBefore w:val="0"/>
        <w:wordWrap/>
        <w:overflowPunct/>
        <w:topLinePunct w:val="0"/>
        <w:bidi w:val="0"/>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sz w:val="32"/>
          <w:szCs w:val="32"/>
          <w:highlight w:val="none"/>
          <w:lang w:val="en-US" w:eastAsia="zh-CN"/>
        </w:rPr>
        <w:t>为全面贯彻落实中共中央、国务院关于全面实施预算绩效管理的决策部署，进一步加强和规范专项资金的管理，切实提高专项资金使用效益，根据</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中华人民共和国预算法</w:t>
      </w:r>
      <w:r>
        <w:rPr>
          <w:rFonts w:hint="eastAsia" w:ascii="仿宋" w:hAnsi="仿宋" w:eastAsia="仿宋" w:cs="仿宋"/>
          <w:sz w:val="32"/>
          <w:szCs w:val="32"/>
          <w:highlight w:val="none"/>
        </w:rPr>
        <w:t>》《中共中央 国务院关于全面实施预算绩效管理的意见》（中发〔2018〕34号）《中共湖南省委办公厅 湖南省人民政府办公厅关于全面实施预算绩效管理的实施意见》（湘办发〔2019〕10号）《</w:t>
      </w:r>
      <w:r>
        <w:rPr>
          <w:rFonts w:hint="eastAsia" w:ascii="仿宋" w:hAnsi="仿宋" w:eastAsia="仿宋" w:cs="仿宋"/>
          <w:sz w:val="32"/>
          <w:szCs w:val="32"/>
          <w:highlight w:val="none"/>
          <w:lang w:eastAsia="zh-CN"/>
        </w:rPr>
        <w:t>湖南省预算支出绩效评价管理办法</w:t>
      </w:r>
      <w:r>
        <w:rPr>
          <w:rFonts w:hint="eastAsia" w:ascii="仿宋" w:hAnsi="仿宋" w:eastAsia="仿宋" w:cs="仿宋"/>
          <w:sz w:val="32"/>
          <w:szCs w:val="32"/>
          <w:highlight w:val="none"/>
        </w:rPr>
        <w:t>》（湘</w:t>
      </w:r>
      <w:r>
        <w:rPr>
          <w:rFonts w:hint="eastAsia" w:ascii="仿宋" w:hAnsi="仿宋" w:eastAsia="仿宋" w:cs="仿宋"/>
          <w:sz w:val="32"/>
          <w:szCs w:val="32"/>
          <w:highlight w:val="none"/>
          <w:lang w:eastAsia="zh-CN"/>
        </w:rPr>
        <w:t>财绩</w:t>
      </w:r>
      <w:r>
        <w:rPr>
          <w:rFonts w:hint="eastAsia" w:ascii="仿宋" w:hAnsi="仿宋" w:eastAsia="仿宋" w:cs="仿宋"/>
          <w:sz w:val="32"/>
          <w:szCs w:val="32"/>
          <w:highlight w:val="none"/>
        </w:rPr>
        <w:t>〔20</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号）及《</w:t>
      </w:r>
      <w:r>
        <w:rPr>
          <w:rFonts w:hint="eastAsia" w:ascii="仿宋" w:hAnsi="仿宋" w:eastAsia="仿宋" w:cs="仿宋"/>
          <w:sz w:val="32"/>
          <w:szCs w:val="32"/>
          <w:highlight w:val="none"/>
          <w:lang w:val="en-US" w:eastAsia="zh-CN"/>
        </w:rPr>
        <w:t>邵阳市财政局</w:t>
      </w:r>
      <w:r>
        <w:rPr>
          <w:rFonts w:hint="eastAsia" w:ascii="仿宋_GB2312" w:hAnsi="仿宋_GB2312" w:eastAsia="仿宋_GB2312" w:cs="仿宋_GB2312"/>
          <w:b w:val="0"/>
          <w:bCs w:val="0"/>
          <w:sz w:val="32"/>
          <w:szCs w:val="32"/>
          <w:highlight w:val="none"/>
          <w:lang w:val="en-US" w:eastAsia="zh-CN"/>
        </w:rPr>
        <w:t>关于开展2020-2022年度科技创新专项资金绩效评价工作的通知</w:t>
      </w:r>
      <w:r>
        <w:rPr>
          <w:rFonts w:hint="eastAsia" w:ascii="仿宋" w:hAnsi="仿宋" w:eastAsia="仿宋" w:cs="仿宋"/>
          <w:sz w:val="32"/>
          <w:szCs w:val="32"/>
          <w:highlight w:val="none"/>
        </w:rPr>
        <w:t>》（邵财绩〔202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号）</w:t>
      </w:r>
      <w:r>
        <w:rPr>
          <w:rFonts w:hint="eastAsia" w:ascii="仿宋" w:hAnsi="仿宋" w:eastAsia="仿宋" w:cs="仿宋"/>
          <w:sz w:val="32"/>
          <w:szCs w:val="32"/>
          <w:highlight w:val="none"/>
          <w:lang w:val="en-US" w:eastAsia="zh-CN"/>
        </w:rPr>
        <w:t>等有关规定</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我所</w:t>
      </w:r>
      <w:r>
        <w:rPr>
          <w:rFonts w:hint="eastAsia" w:ascii="仿宋" w:hAnsi="仿宋" w:eastAsia="仿宋" w:cs="仿宋"/>
          <w:sz w:val="32"/>
          <w:szCs w:val="32"/>
          <w:highlight w:val="none"/>
          <w:lang w:eastAsia="zh-CN"/>
        </w:rPr>
        <w:t>成立绩</w:t>
      </w:r>
      <w:r>
        <w:rPr>
          <w:rFonts w:hint="eastAsia" w:ascii="仿宋" w:hAnsi="仿宋" w:eastAsia="仿宋" w:cs="仿宋"/>
          <w:sz w:val="32"/>
          <w:szCs w:val="32"/>
          <w:highlight w:val="none"/>
          <w:lang w:val="en-US" w:eastAsia="zh-CN"/>
        </w:rPr>
        <w:t>效评价工作组，对2020-2022年度科技创新专项资金进行了绩效评价，</w:t>
      </w:r>
      <w:r>
        <w:rPr>
          <w:rFonts w:hint="eastAsia" w:ascii="仿宋" w:hAnsi="仿宋" w:eastAsia="仿宋" w:cs="仿宋"/>
          <w:color w:val="000000" w:themeColor="text1"/>
          <w:sz w:val="32"/>
          <w:szCs w:val="32"/>
          <w:highlight w:val="none"/>
          <w:lang w:val="en-US" w:eastAsia="zh-CN"/>
          <w14:textFill>
            <w14:solidFill>
              <w14:schemeClr w14:val="tx1"/>
            </w14:solidFill>
          </w14:textFill>
        </w:rPr>
        <w:t>现将评价情况报告如下：</w:t>
      </w:r>
    </w:p>
    <w:p>
      <w:pPr>
        <w:pageBreakBefore w:val="0"/>
        <w:wordWrap/>
        <w:overflowPunct/>
        <w:topLinePunct w:val="0"/>
        <w:bidi w:val="0"/>
        <w:spacing w:line="560" w:lineRule="exact"/>
        <w:ind w:firstLine="640" w:firstLineChars="200"/>
        <w:rPr>
          <w:rFonts w:eastAsia="黑体"/>
          <w:sz w:val="32"/>
          <w:szCs w:val="32"/>
          <w:highlight w:val="none"/>
        </w:rPr>
      </w:pPr>
      <w:r>
        <w:rPr>
          <w:rFonts w:eastAsia="黑体"/>
          <w:sz w:val="32"/>
          <w:szCs w:val="32"/>
          <w:highlight w:val="none"/>
        </w:rPr>
        <w:t>一、</w:t>
      </w:r>
      <w:r>
        <w:rPr>
          <w:rFonts w:hint="eastAsia" w:eastAsia="黑体"/>
          <w:sz w:val="32"/>
          <w:szCs w:val="32"/>
          <w:highlight w:val="none"/>
          <w:lang w:eastAsia="zh-CN"/>
        </w:rPr>
        <w:t>项目</w:t>
      </w:r>
      <w:r>
        <w:rPr>
          <w:rFonts w:eastAsia="黑体"/>
          <w:sz w:val="32"/>
          <w:szCs w:val="32"/>
          <w:highlight w:val="none"/>
        </w:rPr>
        <w:t>支出基本情况</w:t>
      </w:r>
    </w:p>
    <w:p>
      <w:pPr>
        <w:pageBreakBefore w:val="0"/>
        <w:wordWrap/>
        <w:overflowPunct/>
        <w:topLinePunct w:val="0"/>
        <w:bidi w:val="0"/>
        <w:spacing w:line="560" w:lineRule="exact"/>
        <w:ind w:firstLine="643" w:firstLineChars="200"/>
        <w:rPr>
          <w:rFonts w:eastAsia="楷体_GB2312"/>
          <w:b/>
          <w:sz w:val="32"/>
          <w:szCs w:val="32"/>
          <w:highlight w:val="none"/>
        </w:rPr>
      </w:pPr>
      <w:r>
        <w:rPr>
          <w:rFonts w:eastAsia="楷体_GB2312"/>
          <w:b/>
          <w:sz w:val="32"/>
          <w:szCs w:val="32"/>
          <w:highlight w:val="none"/>
        </w:rPr>
        <w:t>（一）</w:t>
      </w:r>
      <w:r>
        <w:rPr>
          <w:rFonts w:hint="eastAsia" w:eastAsia="楷体_GB2312"/>
          <w:b/>
          <w:sz w:val="32"/>
          <w:szCs w:val="32"/>
          <w:highlight w:val="none"/>
          <w:lang w:eastAsia="zh-CN"/>
        </w:rPr>
        <w:t>项目</w:t>
      </w:r>
      <w:r>
        <w:rPr>
          <w:rFonts w:eastAsia="楷体_GB2312"/>
          <w:b/>
          <w:sz w:val="32"/>
          <w:szCs w:val="32"/>
          <w:highlight w:val="none"/>
        </w:rPr>
        <w:t>概况</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党的十八大以来，国家高度重视科技创新，强调科技是国家强盛之基，创新是民族进步之魂，将科技自立自强作为国家发展的战略支撑。</w:t>
      </w:r>
      <w:r>
        <w:rPr>
          <w:rFonts w:hint="eastAsia" w:ascii="仿宋" w:hAnsi="仿宋" w:eastAsia="仿宋" w:cs="仿宋"/>
          <w:kern w:val="2"/>
          <w:sz w:val="32"/>
          <w:szCs w:val="32"/>
          <w:highlight w:val="none"/>
          <w:lang w:val="en-US" w:eastAsia="zh-CN" w:bidi="ar-SA"/>
        </w:rPr>
        <w:t>为深入贯彻落实创新驱动发展战略，</w:t>
      </w:r>
      <w:r>
        <w:rPr>
          <w:rFonts w:hint="eastAsia" w:ascii="仿宋_GB2312" w:hAnsi="仿宋_GB2312" w:eastAsia="仿宋_GB2312" w:cs="仿宋_GB2312"/>
          <w:b w:val="0"/>
          <w:bCs w:val="0"/>
          <w:sz w:val="32"/>
          <w:szCs w:val="32"/>
          <w:highlight w:val="none"/>
          <w:lang w:val="en-US" w:eastAsia="zh-CN"/>
        </w:rPr>
        <w:t>根据中共邵阳市委办公室、邵阳市人民政府办公室印发的《关于实施高新技术企业倍增计划的激励措施》（邵市办发〔2020〕5号）文件，</w:t>
      </w:r>
      <w:r>
        <w:rPr>
          <w:rFonts w:hint="eastAsia" w:ascii="仿宋" w:hAnsi="仿宋" w:eastAsia="仿宋" w:cs="仿宋"/>
          <w:kern w:val="2"/>
          <w:sz w:val="32"/>
          <w:szCs w:val="32"/>
          <w:highlight w:val="none"/>
          <w:lang w:val="en-US" w:eastAsia="zh-CN" w:bidi="ar-SA"/>
        </w:rPr>
        <w:t>邵阳市设立了科技创新专项资金项目，</w:t>
      </w:r>
      <w:r>
        <w:rPr>
          <w:rFonts w:hint="eastAsia" w:ascii="仿宋_GB2312" w:hAnsi="仿宋_GB2312" w:eastAsia="仿宋_GB2312" w:cs="仿宋_GB2312"/>
          <w:b w:val="0"/>
          <w:bCs w:val="0"/>
          <w:sz w:val="32"/>
          <w:szCs w:val="32"/>
          <w:highlight w:val="none"/>
          <w:lang w:val="en-US" w:eastAsia="zh-CN"/>
        </w:rPr>
        <w:t>实行创新创业奖励，</w:t>
      </w:r>
      <w:r>
        <w:rPr>
          <w:rFonts w:hint="eastAsia" w:ascii="仿宋_GB2312" w:hAnsi="仿宋_GB2312" w:eastAsia="仿宋_GB2312" w:cs="仿宋_GB2312"/>
          <w:b w:val="0"/>
          <w:bCs w:val="0"/>
          <w:sz w:val="32"/>
          <w:szCs w:val="32"/>
          <w:highlight w:val="none"/>
          <w:lang w:val="en-US" w:eastAsia="zh-CN"/>
        </w:rPr>
        <w:t>推动高新技术企业发展</w:t>
      </w:r>
      <w:r>
        <w:rPr>
          <w:rFonts w:hint="eastAsia" w:ascii="仿宋" w:hAnsi="仿宋" w:eastAsia="仿宋" w:cs="仿宋"/>
          <w:kern w:val="2"/>
          <w:sz w:val="32"/>
          <w:szCs w:val="32"/>
          <w:highlight w:val="none"/>
          <w:lang w:val="en-US" w:eastAsia="zh-CN" w:bidi="ar-SA"/>
        </w:rPr>
        <w:t>。</w:t>
      </w:r>
    </w:p>
    <w:p>
      <w:pPr>
        <w:pageBreakBefore w:val="0"/>
        <w:wordWrap/>
        <w:overflowPunct/>
        <w:topLinePunct w:val="0"/>
        <w:bidi w:val="0"/>
        <w:spacing w:line="560" w:lineRule="exact"/>
        <w:ind w:firstLine="640" w:firstLineChars="200"/>
        <w:rPr>
          <w:rFonts w:hint="default"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该项目的主管部门是邵阳市科学技术局（以下简称邵阳市科技局），</w:t>
      </w:r>
      <w:r>
        <w:rPr>
          <w:rFonts w:hint="eastAsia" w:ascii="仿宋" w:hAnsi="仿宋" w:eastAsia="仿宋" w:cs="仿宋"/>
          <w:kern w:val="2"/>
          <w:sz w:val="32"/>
          <w:szCs w:val="32"/>
          <w:highlight w:val="none"/>
          <w:lang w:val="en-US" w:eastAsia="zh-CN" w:bidi="ar-SA"/>
        </w:rPr>
        <w:t>实施单位为邵阳市科技局、市辖三区及邵阳市经开区。</w:t>
      </w:r>
      <w:r>
        <w:rPr>
          <w:rFonts w:hint="eastAsia" w:ascii="仿宋" w:hAnsi="仿宋" w:eastAsia="仿宋" w:cs="仿宋"/>
          <w:kern w:val="2"/>
          <w:sz w:val="32"/>
          <w:szCs w:val="32"/>
          <w:highlight w:val="none"/>
          <w:lang w:val="en-US" w:eastAsia="zh-CN" w:bidi="ar-SA"/>
        </w:rPr>
        <w:t>该项目由邵阳市科技局</w:t>
      </w:r>
      <w:r>
        <w:rPr>
          <w:rFonts w:hint="default" w:ascii="仿宋" w:hAnsi="仿宋" w:eastAsia="仿宋" w:cs="仿宋"/>
          <w:kern w:val="2"/>
          <w:sz w:val="32"/>
          <w:szCs w:val="32"/>
          <w:highlight w:val="none"/>
          <w:lang w:val="en-US" w:eastAsia="zh-CN" w:bidi="ar-SA"/>
        </w:rPr>
        <w:t>在高</w:t>
      </w:r>
      <w:r>
        <w:rPr>
          <w:rFonts w:hint="eastAsia" w:ascii="仿宋" w:hAnsi="仿宋" w:eastAsia="仿宋" w:cs="仿宋"/>
          <w:kern w:val="2"/>
          <w:sz w:val="32"/>
          <w:szCs w:val="32"/>
          <w:highlight w:val="none"/>
          <w:lang w:val="en-US" w:eastAsia="zh-CN" w:bidi="ar-SA"/>
        </w:rPr>
        <w:t>新技术</w:t>
      </w:r>
      <w:r>
        <w:rPr>
          <w:rFonts w:hint="default" w:ascii="仿宋" w:hAnsi="仿宋" w:eastAsia="仿宋" w:cs="仿宋"/>
          <w:kern w:val="2"/>
          <w:sz w:val="32"/>
          <w:szCs w:val="32"/>
          <w:highlight w:val="none"/>
          <w:lang w:val="en-US" w:eastAsia="zh-CN" w:bidi="ar-SA"/>
        </w:rPr>
        <w:t>企</w:t>
      </w:r>
      <w:r>
        <w:rPr>
          <w:rFonts w:hint="eastAsia" w:ascii="仿宋" w:hAnsi="仿宋" w:eastAsia="仿宋" w:cs="仿宋"/>
          <w:kern w:val="2"/>
          <w:sz w:val="32"/>
          <w:szCs w:val="32"/>
          <w:highlight w:val="none"/>
          <w:lang w:val="en-US" w:eastAsia="zh-CN" w:bidi="ar-SA"/>
        </w:rPr>
        <w:t>业</w:t>
      </w:r>
      <w:r>
        <w:rPr>
          <w:rFonts w:hint="default" w:ascii="仿宋" w:hAnsi="仿宋" w:eastAsia="仿宋" w:cs="仿宋"/>
          <w:kern w:val="2"/>
          <w:sz w:val="32"/>
          <w:szCs w:val="32"/>
          <w:highlight w:val="none"/>
          <w:lang w:val="en-US" w:eastAsia="zh-CN" w:bidi="ar-SA"/>
        </w:rPr>
        <w:t>认</w:t>
      </w:r>
      <w:r>
        <w:rPr>
          <w:rFonts w:hint="default" w:ascii="仿宋" w:hAnsi="仿宋" w:eastAsia="仿宋" w:cs="仿宋"/>
          <w:kern w:val="2"/>
          <w:sz w:val="32"/>
          <w:szCs w:val="32"/>
          <w:highlight w:val="none"/>
          <w:lang w:val="en-US" w:eastAsia="zh-CN" w:bidi="ar-SA"/>
        </w:rPr>
        <w:t>定后</w:t>
      </w:r>
      <w:r>
        <w:rPr>
          <w:rFonts w:hint="eastAsia" w:ascii="仿宋" w:hAnsi="仿宋" w:eastAsia="仿宋" w:cs="仿宋"/>
          <w:kern w:val="2"/>
          <w:sz w:val="32"/>
          <w:szCs w:val="32"/>
          <w:highlight w:val="none"/>
          <w:lang w:val="en-US" w:eastAsia="zh-CN" w:bidi="ar-SA"/>
        </w:rPr>
        <w:t>次</w:t>
      </w:r>
      <w:r>
        <w:rPr>
          <w:rFonts w:hint="default" w:ascii="仿宋" w:hAnsi="仿宋" w:eastAsia="仿宋" w:cs="仿宋"/>
          <w:kern w:val="2"/>
          <w:sz w:val="32"/>
          <w:szCs w:val="32"/>
          <w:highlight w:val="none"/>
          <w:lang w:val="en-US" w:eastAsia="zh-CN" w:bidi="ar-SA"/>
        </w:rPr>
        <w:t>年年初向市财政局</w:t>
      </w:r>
      <w:r>
        <w:rPr>
          <w:rFonts w:hint="eastAsia" w:ascii="仿宋" w:hAnsi="仿宋" w:eastAsia="仿宋" w:cs="仿宋"/>
          <w:kern w:val="2"/>
          <w:sz w:val="32"/>
          <w:szCs w:val="32"/>
          <w:highlight w:val="none"/>
          <w:lang w:val="en-US" w:eastAsia="zh-CN" w:bidi="ar-SA"/>
        </w:rPr>
        <w:t>提交</w:t>
      </w:r>
      <w:r>
        <w:rPr>
          <w:rFonts w:hint="default" w:ascii="仿宋" w:hAnsi="仿宋" w:eastAsia="仿宋" w:cs="仿宋"/>
          <w:kern w:val="2"/>
          <w:sz w:val="32"/>
          <w:szCs w:val="32"/>
          <w:highlight w:val="none"/>
          <w:lang w:val="en-US" w:eastAsia="zh-CN" w:bidi="ar-SA"/>
        </w:rPr>
        <w:t>申请兑现</w:t>
      </w:r>
      <w:r>
        <w:rPr>
          <w:rFonts w:hint="eastAsia" w:ascii="仿宋" w:hAnsi="仿宋" w:eastAsia="仿宋" w:cs="仿宋"/>
          <w:kern w:val="2"/>
          <w:sz w:val="32"/>
          <w:szCs w:val="32"/>
          <w:highlight w:val="none"/>
          <w:lang w:val="en-US" w:eastAsia="zh-CN" w:bidi="ar-SA"/>
        </w:rPr>
        <w:t>高新技术企业</w:t>
      </w:r>
      <w:r>
        <w:rPr>
          <w:rFonts w:hint="default" w:ascii="仿宋" w:hAnsi="仿宋" w:eastAsia="仿宋" w:cs="仿宋"/>
          <w:kern w:val="2"/>
          <w:sz w:val="32"/>
          <w:szCs w:val="32"/>
          <w:highlight w:val="none"/>
          <w:lang w:val="en-US" w:eastAsia="zh-CN" w:bidi="ar-SA"/>
        </w:rPr>
        <w:t>奖励资金报告</w:t>
      </w:r>
      <w:r>
        <w:rPr>
          <w:rFonts w:hint="eastAsia" w:ascii="仿宋" w:hAnsi="仿宋" w:eastAsia="仿宋" w:cs="仿宋"/>
          <w:kern w:val="2"/>
          <w:sz w:val="32"/>
          <w:szCs w:val="32"/>
          <w:highlight w:val="none"/>
          <w:lang w:val="en-US" w:eastAsia="zh-CN" w:bidi="ar-SA"/>
        </w:rPr>
        <w:t>，市财政局审核批复后将奖金下拨至市辖三区及邵阳经开区财政局，再由市辖三区及邵阳经开区财政局将奖励资金拨付至各高新技术企业。</w:t>
      </w:r>
    </w:p>
    <w:p>
      <w:pPr>
        <w:pageBreakBefore w:val="0"/>
        <w:numPr>
          <w:ilvl w:val="0"/>
          <w:numId w:val="0"/>
        </w:numPr>
        <w:wordWrap/>
        <w:overflowPunct/>
        <w:topLinePunct w:val="0"/>
        <w:bidi w:val="0"/>
        <w:spacing w:line="560" w:lineRule="exact"/>
        <w:ind w:firstLine="643" w:firstLineChars="200"/>
        <w:rPr>
          <w:rFonts w:eastAsia="楷体_GB2312"/>
          <w:b/>
          <w:sz w:val="32"/>
          <w:szCs w:val="32"/>
          <w:highlight w:val="none"/>
        </w:rPr>
      </w:pPr>
      <w:r>
        <w:rPr>
          <w:rFonts w:hint="eastAsia" w:eastAsia="楷体_GB2312"/>
          <w:b/>
          <w:sz w:val="32"/>
          <w:szCs w:val="32"/>
          <w:highlight w:val="none"/>
          <w:lang w:eastAsia="zh-CN"/>
        </w:rPr>
        <w:t>（</w:t>
      </w:r>
      <w:r>
        <w:rPr>
          <w:rFonts w:hint="eastAsia" w:eastAsia="楷体_GB2312"/>
          <w:b/>
          <w:sz w:val="32"/>
          <w:szCs w:val="32"/>
          <w:highlight w:val="none"/>
          <w:lang w:val="en-US" w:eastAsia="zh-CN"/>
        </w:rPr>
        <w:t>二</w:t>
      </w:r>
      <w:r>
        <w:rPr>
          <w:rFonts w:hint="eastAsia" w:eastAsia="楷体_GB2312"/>
          <w:b/>
          <w:sz w:val="32"/>
          <w:szCs w:val="32"/>
          <w:highlight w:val="none"/>
          <w:lang w:eastAsia="zh-CN"/>
        </w:rPr>
        <w:t>）项目</w:t>
      </w:r>
      <w:r>
        <w:rPr>
          <w:rFonts w:eastAsia="楷体_GB2312"/>
          <w:b/>
          <w:sz w:val="32"/>
          <w:szCs w:val="32"/>
          <w:highlight w:val="none"/>
        </w:rPr>
        <w:t>资金使用管理情况</w:t>
      </w:r>
    </w:p>
    <w:p>
      <w:pPr>
        <w:pStyle w:val="8"/>
        <w:keepNext w:val="0"/>
        <w:keepLines w:val="0"/>
        <w:pageBreakBefore w:val="0"/>
        <w:widowControl/>
        <w:kinsoku/>
        <w:wordWrap/>
        <w:overflowPunct/>
        <w:topLinePunct w:val="0"/>
        <w:autoSpaceDE/>
        <w:autoSpaceDN/>
        <w:bidi w:val="0"/>
        <w:adjustRightInd/>
        <w:snapToGrid w:val="0"/>
        <w:spacing w:before="0" w:beforeLines="0" w:beforeAutospacing="0" w:after="120" w:afterLines="0" w:afterAutospacing="0" w:line="560" w:lineRule="exact"/>
        <w:ind w:left="0" w:leftChars="0" w:firstLine="640" w:firstLineChars="200"/>
        <w:textAlignment w:val="baseline"/>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2020</w:t>
      </w:r>
      <w:r>
        <w:rPr>
          <w:rFonts w:hint="eastAsia" w:ascii="仿宋" w:hAnsi="仿宋" w:eastAsia="仿宋" w:cs="仿宋"/>
          <w:kern w:val="2"/>
          <w:sz w:val="32"/>
          <w:szCs w:val="32"/>
          <w:highlight w:val="none"/>
          <w:lang w:val="en-US" w:eastAsia="zh-CN" w:bidi="ar-SA"/>
        </w:rPr>
        <w:t>年度</w:t>
      </w:r>
      <w:r>
        <w:rPr>
          <w:rFonts w:hint="eastAsia" w:ascii="仿宋" w:hAnsi="仿宋" w:eastAsia="仿宋" w:cs="仿宋"/>
          <w:kern w:val="2"/>
          <w:sz w:val="32"/>
          <w:szCs w:val="32"/>
          <w:highlight w:val="none"/>
          <w:lang w:val="en-US" w:eastAsia="zh-CN" w:bidi="ar-SA"/>
        </w:rPr>
        <w:t>该项目预算0万元，未发生2019年度认定的高新技术企业奖励资金拨付（因科技创新专项资金项目从2021年度开始设立）。</w:t>
      </w:r>
    </w:p>
    <w:p>
      <w:pPr>
        <w:pStyle w:val="8"/>
        <w:keepNext w:val="0"/>
        <w:keepLines w:val="0"/>
        <w:pageBreakBefore w:val="0"/>
        <w:widowControl/>
        <w:kinsoku/>
        <w:wordWrap/>
        <w:overflowPunct/>
        <w:topLinePunct w:val="0"/>
        <w:autoSpaceDE/>
        <w:autoSpaceDN/>
        <w:bidi w:val="0"/>
        <w:adjustRightInd/>
        <w:snapToGrid w:val="0"/>
        <w:spacing w:before="0" w:beforeLines="0" w:beforeAutospacing="0" w:after="120" w:afterLines="0" w:afterAutospacing="0" w:line="560" w:lineRule="exact"/>
        <w:ind w:left="0" w:leftChars="0" w:firstLine="640" w:firstLineChars="200"/>
        <w:textAlignment w:val="baseline"/>
        <w:rPr>
          <w:rFonts w:hint="default" w:ascii="仿宋_GB2312" w:hAnsi="仿宋"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仿宋" w:hAnsi="仿宋" w:eastAsia="仿宋" w:cs="仿宋"/>
          <w:kern w:val="2"/>
          <w:sz w:val="32"/>
          <w:szCs w:val="32"/>
          <w:highlight w:val="none"/>
          <w:lang w:val="en-US" w:eastAsia="zh-CN" w:bidi="ar-SA"/>
        </w:rPr>
        <w:t>2021</w:t>
      </w:r>
      <w:r>
        <w:rPr>
          <w:rFonts w:hint="eastAsia" w:ascii="仿宋" w:hAnsi="仿宋" w:eastAsia="仿宋" w:cs="仿宋"/>
          <w:kern w:val="2"/>
          <w:sz w:val="32"/>
          <w:szCs w:val="32"/>
          <w:highlight w:val="none"/>
          <w:lang w:val="en-US" w:eastAsia="zh-CN" w:bidi="ar-SA"/>
        </w:rPr>
        <w:t>年度</w:t>
      </w:r>
      <w:r>
        <w:rPr>
          <w:rFonts w:hint="eastAsia" w:ascii="仿宋" w:hAnsi="仿宋" w:eastAsia="仿宋" w:cs="仿宋"/>
          <w:kern w:val="2"/>
          <w:sz w:val="32"/>
          <w:szCs w:val="32"/>
          <w:highlight w:val="none"/>
          <w:lang w:val="en-US" w:eastAsia="zh-CN" w:bidi="ar-SA"/>
        </w:rPr>
        <w:t>该项目预算2000万元。</w:t>
      </w:r>
      <w:r>
        <w:rPr>
          <w:rFonts w:hint="eastAsia" w:ascii="仿宋_GB2312" w:hAnsi="仿宋" w:eastAsia="仿宋_GB2312" w:cs="Times New Roman"/>
          <w:color w:val="000000" w:themeColor="text1"/>
          <w:kern w:val="2"/>
          <w:sz w:val="32"/>
          <w:szCs w:val="32"/>
          <w:highlight w:val="none"/>
          <w:lang w:val="en-US" w:eastAsia="zh-CN" w:bidi="ar-SA"/>
          <w14:textFill>
            <w14:solidFill>
              <w14:schemeClr w14:val="tx1"/>
            </w14:solidFill>
          </w14:textFill>
        </w:rPr>
        <w:t>2021</w:t>
      </w:r>
      <w:r>
        <w:rPr>
          <w:rFonts w:hint="eastAsia" w:ascii="仿宋" w:hAnsi="仿宋" w:eastAsia="仿宋" w:cs="仿宋"/>
          <w:kern w:val="2"/>
          <w:sz w:val="32"/>
          <w:szCs w:val="32"/>
          <w:highlight w:val="none"/>
          <w:lang w:val="en-US" w:eastAsia="zh-CN" w:bidi="ar-SA"/>
        </w:rPr>
        <w:t>年度</w:t>
      </w:r>
      <w:r>
        <w:rPr>
          <w:rFonts w:hint="eastAsia" w:ascii="仿宋_GB2312" w:hAnsi="仿宋" w:eastAsia="仿宋_GB2312" w:cs="Times New Roman"/>
          <w:color w:val="000000" w:themeColor="text1"/>
          <w:kern w:val="2"/>
          <w:sz w:val="32"/>
          <w:szCs w:val="32"/>
          <w:highlight w:val="none"/>
          <w:lang w:val="en-US" w:eastAsia="zh-CN" w:bidi="ar-SA"/>
          <w14:textFill>
            <w14:solidFill>
              <w14:schemeClr w14:val="tx1"/>
            </w14:solidFill>
          </w14:textFill>
        </w:rPr>
        <w:t>市财政局下拨2020年度认定的高新技术企业奖励资金1131万元，具体如下：新认定高新技术企业奖励1065万元，重新认定高新技术企业奖励66万元。</w:t>
      </w:r>
      <w:r>
        <w:rPr>
          <w:rFonts w:hint="eastAsia" w:ascii="仿宋_GB2312" w:hAnsi="仿宋_GB2312" w:eastAsia="仿宋_GB2312" w:cs="仿宋_GB2312"/>
          <w:b w:val="0"/>
          <w:bCs w:val="0"/>
          <w:sz w:val="32"/>
          <w:szCs w:val="32"/>
          <w:highlight w:val="none"/>
          <w:lang w:val="en-US" w:eastAsia="zh-CN"/>
        </w:rPr>
        <w:t>其中双清区132万元，大祥区300万元，北塔区150万元，经开区549万元。2021</w:t>
      </w:r>
      <w:r>
        <w:rPr>
          <w:rFonts w:hint="eastAsia" w:ascii="仿宋" w:hAnsi="仿宋" w:eastAsia="仿宋" w:cs="仿宋"/>
          <w:kern w:val="2"/>
          <w:sz w:val="32"/>
          <w:szCs w:val="32"/>
          <w:highlight w:val="none"/>
          <w:lang w:val="en-US" w:eastAsia="zh-CN" w:bidi="ar-SA"/>
        </w:rPr>
        <w:t>年度</w:t>
      </w:r>
      <w:r>
        <w:rPr>
          <w:rFonts w:hint="eastAsia" w:ascii="仿宋_GB2312" w:hAnsi="仿宋_GB2312" w:eastAsia="仿宋_GB2312" w:cs="仿宋_GB2312"/>
          <w:b w:val="0"/>
          <w:bCs w:val="0"/>
          <w:sz w:val="32"/>
          <w:szCs w:val="32"/>
          <w:highlight w:val="none"/>
          <w:lang w:val="en-US" w:eastAsia="zh-CN"/>
        </w:rPr>
        <w:t>实际拨付到单位1044万元，预算执行率92.31%。</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rPr>
          <w:rFonts w:hint="eastAsia" w:ascii="仿宋_GB2312" w:hAnsi="仿宋" w:eastAsia="仿宋_GB2312"/>
          <w:color w:val="000000" w:themeColor="text1"/>
          <w:sz w:val="32"/>
          <w:szCs w:val="32"/>
          <w:highlight w:val="none"/>
          <w:lang w:val="en-US" w:eastAsia="zh-CN"/>
          <w14:textFill>
            <w14:solidFill>
              <w14:schemeClr w14:val="tx1"/>
            </w14:solidFill>
          </w14:textFill>
        </w:rPr>
      </w:pPr>
      <w:r>
        <w:rPr>
          <w:rFonts w:hint="eastAsia" w:ascii="仿宋" w:hAnsi="仿宋" w:eastAsia="仿宋" w:cs="仿宋"/>
          <w:kern w:val="2"/>
          <w:sz w:val="32"/>
          <w:szCs w:val="32"/>
          <w:highlight w:val="none"/>
          <w:lang w:val="en-US" w:eastAsia="zh-CN" w:bidi="ar-SA"/>
        </w:rPr>
        <w:t>2022</w:t>
      </w:r>
      <w:r>
        <w:rPr>
          <w:rFonts w:hint="eastAsia" w:ascii="仿宋" w:hAnsi="仿宋" w:eastAsia="仿宋" w:cs="仿宋"/>
          <w:kern w:val="2"/>
          <w:sz w:val="32"/>
          <w:szCs w:val="32"/>
          <w:highlight w:val="none"/>
          <w:lang w:val="en-US" w:eastAsia="zh-CN" w:bidi="ar-SA"/>
        </w:rPr>
        <w:t>年度</w:t>
      </w:r>
      <w:r>
        <w:rPr>
          <w:rFonts w:hint="eastAsia" w:ascii="仿宋" w:hAnsi="仿宋" w:eastAsia="仿宋" w:cs="仿宋"/>
          <w:kern w:val="2"/>
          <w:sz w:val="32"/>
          <w:szCs w:val="32"/>
          <w:highlight w:val="none"/>
          <w:lang w:val="en-US" w:eastAsia="zh-CN" w:bidi="ar-SA"/>
        </w:rPr>
        <w:t>该项目预算1600万元，</w:t>
      </w:r>
      <w:r>
        <w:rPr>
          <w:rFonts w:hint="eastAsia" w:ascii="仿宋_GB2312" w:hAnsi="仿宋" w:eastAsia="仿宋_GB2312" w:cs="Times New Roman"/>
          <w:color w:val="000000" w:themeColor="text1"/>
          <w:kern w:val="2"/>
          <w:sz w:val="32"/>
          <w:szCs w:val="32"/>
          <w:highlight w:val="none"/>
          <w:lang w:val="en-US" w:eastAsia="zh-CN" w:bidi="ar-SA"/>
          <w14:textFill>
            <w14:solidFill>
              <w14:schemeClr w14:val="tx1"/>
            </w14:solidFill>
          </w14:textFill>
        </w:rPr>
        <w:t>2022</w:t>
      </w:r>
      <w:r>
        <w:rPr>
          <w:rFonts w:hint="eastAsia" w:ascii="仿宋" w:hAnsi="仿宋" w:eastAsia="仿宋" w:cs="仿宋"/>
          <w:kern w:val="2"/>
          <w:sz w:val="32"/>
          <w:szCs w:val="32"/>
          <w:highlight w:val="none"/>
          <w:lang w:val="en-US" w:eastAsia="zh-CN" w:bidi="ar-SA"/>
        </w:rPr>
        <w:t>年度</w:t>
      </w:r>
      <w:r>
        <w:rPr>
          <w:rFonts w:hint="eastAsia" w:ascii="仿宋_GB2312" w:hAnsi="仿宋" w:eastAsia="仿宋_GB2312" w:cs="Times New Roman"/>
          <w:color w:val="000000" w:themeColor="text1"/>
          <w:kern w:val="2"/>
          <w:sz w:val="32"/>
          <w:szCs w:val="32"/>
          <w:highlight w:val="none"/>
          <w:lang w:val="en-US" w:eastAsia="zh-CN" w:bidi="ar-SA"/>
          <w14:textFill>
            <w14:solidFill>
              <w14:schemeClr w14:val="tx1"/>
            </w14:solidFill>
          </w14:textFill>
        </w:rPr>
        <w:t>市财政局下拨2021年度认定的高新技术企业及众创空间奖励资金1068万元，具体如下：新认定高新技术企业奖励900万元，重新认定高新技术企业奖励126万元，</w:t>
      </w:r>
      <w:r>
        <w:rPr>
          <w:rFonts w:hint="eastAsia" w:ascii="仿宋_GB2312" w:hAnsi="仿宋_GB2312" w:eastAsia="仿宋_GB2312" w:cs="仿宋_GB2312"/>
          <w:b w:val="0"/>
          <w:bCs w:val="0"/>
          <w:sz w:val="32"/>
          <w:szCs w:val="32"/>
          <w:highlight w:val="none"/>
          <w:lang w:val="en-US" w:eastAsia="zh-CN"/>
        </w:rPr>
        <w:t>国家级众创空间奖励30万元，省级众创空间奖励12万元</w:t>
      </w:r>
      <w:r>
        <w:rPr>
          <w:rFonts w:hint="eastAsia" w:ascii="仿宋_GB2312" w:hAnsi="仿宋"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b w:val="0"/>
          <w:bCs w:val="0"/>
          <w:sz w:val="32"/>
          <w:szCs w:val="32"/>
          <w:highlight w:val="none"/>
          <w:lang w:val="en-US" w:eastAsia="zh-CN"/>
        </w:rPr>
        <w:t>其中：双清区330万元，大祥区294万元，北塔区42万元，经开区402万元。2022年实际拨付至单位1035万元，预算执行率96.91%。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eastAsia="楷体_GB2312"/>
          <w:b/>
          <w:sz w:val="32"/>
          <w:szCs w:val="32"/>
          <w:highlight w:val="none"/>
        </w:rPr>
      </w:pPr>
      <w:r>
        <w:rPr>
          <w:rFonts w:hint="eastAsia" w:eastAsia="楷体_GB2312"/>
          <w:b/>
          <w:sz w:val="32"/>
          <w:szCs w:val="32"/>
          <w:highlight w:val="none"/>
          <w:lang w:eastAsia="zh-CN"/>
        </w:rPr>
        <w:t>（</w:t>
      </w:r>
      <w:r>
        <w:rPr>
          <w:rFonts w:hint="eastAsia" w:eastAsia="楷体_GB2312"/>
          <w:b/>
          <w:sz w:val="32"/>
          <w:szCs w:val="32"/>
          <w:highlight w:val="none"/>
          <w:lang w:val="en-US" w:eastAsia="zh-CN"/>
        </w:rPr>
        <w:t>三</w:t>
      </w:r>
      <w:r>
        <w:rPr>
          <w:rFonts w:hint="eastAsia" w:eastAsia="楷体_GB2312"/>
          <w:b/>
          <w:sz w:val="32"/>
          <w:szCs w:val="32"/>
          <w:highlight w:val="none"/>
          <w:lang w:eastAsia="zh-CN"/>
        </w:rPr>
        <w:t>）项目</w:t>
      </w:r>
      <w:r>
        <w:rPr>
          <w:rFonts w:eastAsia="楷体_GB2312"/>
          <w:b/>
          <w:sz w:val="32"/>
          <w:szCs w:val="32"/>
          <w:highlight w:val="none"/>
        </w:rPr>
        <w:t>支出绩效目标完成程度</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rPr>
          <w:rFonts w:hint="default" w:ascii="仿宋_GB2312" w:hAnsi="仿宋"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仿宋_GB2312" w:hAnsi="仿宋" w:eastAsia="仿宋_GB2312" w:cs="Times New Roman"/>
          <w:color w:val="000000" w:themeColor="text1"/>
          <w:kern w:val="2"/>
          <w:sz w:val="32"/>
          <w:szCs w:val="32"/>
          <w:highlight w:val="none"/>
          <w:lang w:val="en-US" w:eastAsia="zh-CN" w:bidi="ar-SA"/>
          <w14:textFill>
            <w14:solidFill>
              <w14:schemeClr w14:val="tx1"/>
            </w14:solidFill>
          </w14:textFill>
        </w:rPr>
        <w:t>该项目绩效目标为围绕装备制造、显示功能材料、智能家居、循环经济、中医药、时尚用品、互联网等七大工业新兴优势产业链，五年内，每年全市引进80家以上、培育80家以上高新技术企业。2019年度至2021年度实际完成培育高新技术企业分别为68家、185家、200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eastAsia="黑体"/>
          <w:sz w:val="32"/>
          <w:szCs w:val="32"/>
          <w:highlight w:val="none"/>
        </w:rPr>
      </w:pPr>
      <w:r>
        <w:rPr>
          <w:rFonts w:eastAsia="黑体"/>
          <w:sz w:val="32"/>
          <w:szCs w:val="32"/>
          <w:highlight w:val="none"/>
        </w:rPr>
        <w:t>二、绩效评价工作情况</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楷体" w:hAnsi="楷体" w:eastAsia="楷体" w:cs="楷体"/>
          <w:b/>
          <w:bCs/>
          <w:kern w:val="2"/>
          <w:sz w:val="32"/>
          <w:szCs w:val="32"/>
          <w:highlight w:val="none"/>
          <w:lang w:val="en-US" w:eastAsia="zh-CN" w:bidi="ar-SA"/>
        </w:rPr>
      </w:pPr>
      <w:r>
        <w:rPr>
          <w:rFonts w:hint="eastAsia" w:ascii="楷体" w:hAnsi="楷体" w:eastAsia="楷体" w:cs="楷体"/>
          <w:b/>
          <w:bCs/>
          <w:kern w:val="2"/>
          <w:sz w:val="32"/>
          <w:szCs w:val="32"/>
          <w:highlight w:val="none"/>
          <w:lang w:val="en-US" w:eastAsia="zh-CN" w:bidi="ar-SA"/>
        </w:rPr>
        <w:t>（一）绩效评价政策依据</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仿宋_GB2312" w:hAnsi="宋体" w:eastAsia="仿宋_GB2312" w:cs="宋体"/>
          <w:kern w:val="2"/>
          <w:sz w:val="32"/>
          <w:szCs w:val="32"/>
          <w:highlight w:val="none"/>
          <w:lang w:val="en-US" w:eastAsia="zh-CN" w:bidi="ar-SA"/>
        </w:rPr>
      </w:pPr>
      <w:r>
        <w:rPr>
          <w:rFonts w:hint="eastAsia" w:ascii="仿宋_GB2312" w:hAnsi="宋体" w:eastAsia="仿宋_GB2312" w:cs="宋体"/>
          <w:b w:val="0"/>
          <w:bCs w:val="0"/>
          <w:kern w:val="2"/>
          <w:sz w:val="32"/>
          <w:szCs w:val="32"/>
          <w:highlight w:val="none"/>
          <w:lang w:val="en-US" w:eastAsia="zh-CN" w:bidi="ar-SA"/>
        </w:rPr>
        <w:t>1.</w:t>
      </w:r>
      <w:r>
        <w:rPr>
          <w:rFonts w:hint="default" w:ascii="仿宋_GB2312" w:hAnsi="宋体" w:eastAsia="仿宋_GB2312" w:cs="宋体"/>
          <w:kern w:val="2"/>
          <w:sz w:val="32"/>
          <w:szCs w:val="32"/>
          <w:highlight w:val="none"/>
          <w:lang w:val="en-US" w:eastAsia="zh-CN" w:bidi="ar-SA"/>
        </w:rPr>
        <w:t>《中华人民共和国预算法》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仿宋_GB2312" w:hAnsi="宋体" w:eastAsia="仿宋_GB2312" w:cs="宋体"/>
          <w:kern w:val="2"/>
          <w:sz w:val="32"/>
          <w:szCs w:val="32"/>
          <w:highlight w:val="none"/>
          <w:lang w:val="en-US" w:eastAsia="zh-CN" w:bidi="ar-SA"/>
        </w:rPr>
      </w:pPr>
      <w:r>
        <w:rPr>
          <w:rFonts w:hint="eastAsia" w:ascii="仿宋_GB2312" w:hAnsi="宋体" w:eastAsia="仿宋_GB2312" w:cs="宋体"/>
          <w:kern w:val="2"/>
          <w:sz w:val="32"/>
          <w:szCs w:val="32"/>
          <w:highlight w:val="none"/>
          <w:lang w:val="en-US" w:eastAsia="zh-CN" w:bidi="ar-SA"/>
        </w:rPr>
        <w:t>2.</w:t>
      </w:r>
      <w:r>
        <w:rPr>
          <w:rFonts w:hint="default" w:ascii="仿宋_GB2312" w:hAnsi="宋体" w:eastAsia="仿宋_GB2312" w:cs="宋体"/>
          <w:kern w:val="2"/>
          <w:sz w:val="32"/>
          <w:szCs w:val="32"/>
          <w:highlight w:val="none"/>
          <w:lang w:val="en-US" w:eastAsia="zh-CN" w:bidi="ar-SA"/>
        </w:rPr>
        <w:t>《中共中央 国务院关于全面实施预算绩效管理的意见》（中发〔2018〕34号）</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仿宋_GB2312" w:hAnsi="宋体" w:eastAsia="仿宋_GB2312" w:cs="宋体"/>
          <w:kern w:val="2"/>
          <w:sz w:val="32"/>
          <w:szCs w:val="32"/>
          <w:highlight w:val="none"/>
          <w:lang w:val="en-US" w:eastAsia="zh-CN" w:bidi="ar-SA"/>
        </w:rPr>
      </w:pPr>
      <w:r>
        <w:rPr>
          <w:rFonts w:hint="eastAsia" w:ascii="仿宋_GB2312" w:hAnsi="宋体" w:eastAsia="仿宋_GB2312" w:cs="宋体"/>
          <w:kern w:val="2"/>
          <w:sz w:val="32"/>
          <w:szCs w:val="32"/>
          <w:highlight w:val="none"/>
          <w:lang w:val="en-US" w:eastAsia="zh-CN" w:bidi="ar-SA"/>
        </w:rPr>
        <w:t>3.</w:t>
      </w:r>
      <w:r>
        <w:rPr>
          <w:rFonts w:hint="default" w:ascii="仿宋_GB2312" w:hAnsi="宋体" w:eastAsia="仿宋_GB2312" w:cs="宋体"/>
          <w:kern w:val="2"/>
          <w:sz w:val="32"/>
          <w:szCs w:val="32"/>
          <w:highlight w:val="none"/>
          <w:lang w:val="en-US" w:eastAsia="zh-CN" w:bidi="ar-SA"/>
        </w:rPr>
        <w:t>财政部《项目支出绩效评价管理办法》（财预〔2020〕10号）</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highlight w:val="none"/>
          <w:lang w:val="en-US" w:eastAsia="zh-CN"/>
        </w:rPr>
      </w:pPr>
      <w:r>
        <w:rPr>
          <w:rFonts w:hint="eastAsia" w:ascii="仿宋_GB2312" w:hAnsi="宋体" w:eastAsia="仿宋_GB2312" w:cs="宋体"/>
          <w:kern w:val="2"/>
          <w:sz w:val="32"/>
          <w:szCs w:val="32"/>
          <w:highlight w:val="none"/>
          <w:lang w:val="en-US" w:eastAsia="zh-CN" w:bidi="ar-SA"/>
        </w:rPr>
        <w:t>4.</w:t>
      </w:r>
      <w:r>
        <w:rPr>
          <w:rFonts w:hint="default" w:ascii="仿宋_GB2312" w:hAnsi="宋体" w:eastAsia="仿宋_GB2312" w:cs="宋体"/>
          <w:kern w:val="2"/>
          <w:sz w:val="32"/>
          <w:szCs w:val="32"/>
          <w:highlight w:val="none"/>
          <w:lang w:val="en-US" w:eastAsia="zh-CN" w:bidi="ar-SA"/>
        </w:rPr>
        <w:t>《中共湖南省委办公厅 湖南省人民政府办公厅关于全面实施预算绩效管理的实施意见》（湘办发〔2019〕10号）</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宋体"/>
          <w:kern w:val="2"/>
          <w:sz w:val="32"/>
          <w:szCs w:val="32"/>
          <w:highlight w:val="none"/>
          <w:lang w:val="en-US" w:eastAsia="zh-CN" w:bidi="ar-SA"/>
        </w:rPr>
      </w:pPr>
      <w:r>
        <w:rPr>
          <w:rFonts w:hint="eastAsia" w:ascii="仿宋_GB2312" w:hAnsi="宋体" w:eastAsia="仿宋_GB2312" w:cs="宋体"/>
          <w:kern w:val="2"/>
          <w:sz w:val="32"/>
          <w:szCs w:val="32"/>
          <w:highlight w:val="none"/>
          <w:lang w:val="en-US" w:eastAsia="zh-CN" w:bidi="ar-SA"/>
        </w:rPr>
        <w:t>5.《湖南省财政厅关于印发〈湖南省预算绩效目标管理办法〉的通知》（湘财绩〔2020〕6号）</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宋体"/>
          <w:kern w:val="2"/>
          <w:sz w:val="32"/>
          <w:szCs w:val="32"/>
          <w:highlight w:val="none"/>
          <w:lang w:val="en-US" w:eastAsia="zh-CN" w:bidi="ar-SA"/>
        </w:rPr>
      </w:pPr>
      <w:r>
        <w:rPr>
          <w:rFonts w:hint="eastAsia" w:ascii="仿宋_GB2312" w:hAnsi="宋体" w:eastAsia="仿宋_GB2312" w:cs="宋体"/>
          <w:kern w:val="2"/>
          <w:sz w:val="32"/>
          <w:szCs w:val="32"/>
          <w:highlight w:val="none"/>
          <w:lang w:val="en-US" w:eastAsia="zh-CN" w:bidi="ar-SA"/>
        </w:rPr>
        <w:t>6.湖南省财政厅《湖南省预算支出绩效评价管理办法》（湘财绩〔2020〕7号）</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宋体"/>
          <w:kern w:val="2"/>
          <w:sz w:val="32"/>
          <w:szCs w:val="32"/>
          <w:highlight w:val="none"/>
          <w:lang w:val="en-US" w:eastAsia="zh-CN" w:bidi="ar-SA"/>
        </w:rPr>
      </w:pPr>
      <w:r>
        <w:rPr>
          <w:rFonts w:hint="eastAsia" w:ascii="仿宋_GB2312" w:hAnsi="宋体" w:eastAsia="仿宋_GB2312" w:cs="宋体"/>
          <w:kern w:val="2"/>
          <w:sz w:val="32"/>
          <w:szCs w:val="32"/>
          <w:highlight w:val="none"/>
          <w:lang w:val="en-US" w:eastAsia="zh-CN" w:bidi="ar-SA"/>
        </w:rPr>
        <w:t>7.现行相关政策规定和财务会计制度</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宋体"/>
          <w:kern w:val="2"/>
          <w:sz w:val="32"/>
          <w:szCs w:val="32"/>
          <w:highlight w:val="none"/>
          <w:lang w:val="en-US" w:eastAsia="zh-CN" w:bidi="ar-SA"/>
        </w:rPr>
      </w:pPr>
      <w:r>
        <w:rPr>
          <w:rFonts w:hint="eastAsia" w:ascii="仿宋_GB2312" w:hAnsi="宋体" w:eastAsia="仿宋_GB2312" w:cs="宋体"/>
          <w:kern w:val="2"/>
          <w:sz w:val="32"/>
          <w:szCs w:val="32"/>
          <w:highlight w:val="none"/>
          <w:lang w:val="en-US" w:eastAsia="zh-CN" w:bidi="ar-SA"/>
        </w:rPr>
        <w:t>8.项目资金的指标文件、预算执行和项目实施的有关材料等</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highlight w:val="none"/>
          <w:lang w:val="en-US" w:eastAsia="zh-CN"/>
        </w:rPr>
      </w:pPr>
      <w:r>
        <w:rPr>
          <w:rFonts w:hint="eastAsia" w:ascii="仿宋_GB2312" w:hAnsi="宋体" w:eastAsia="仿宋_GB2312" w:cs="宋体"/>
          <w:kern w:val="2"/>
          <w:sz w:val="32"/>
          <w:szCs w:val="32"/>
          <w:highlight w:val="none"/>
          <w:lang w:val="en-US" w:eastAsia="zh-CN" w:bidi="ar-SA"/>
        </w:rPr>
        <w:t>9.现场评价查阅的相关资料</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楷体" w:hAnsi="楷体" w:eastAsia="楷体" w:cs="楷体"/>
          <w:b/>
          <w:bCs/>
          <w:kern w:val="2"/>
          <w:sz w:val="32"/>
          <w:szCs w:val="32"/>
          <w:highlight w:val="none"/>
          <w:lang w:val="en-US" w:eastAsia="zh-CN" w:bidi="ar-SA"/>
        </w:rPr>
      </w:pPr>
      <w:r>
        <w:rPr>
          <w:rFonts w:hint="eastAsia" w:ascii="楷体" w:hAnsi="楷体" w:eastAsia="楷体" w:cs="楷体"/>
          <w:b/>
          <w:bCs/>
          <w:kern w:val="2"/>
          <w:sz w:val="32"/>
          <w:szCs w:val="32"/>
          <w:highlight w:val="none"/>
          <w:lang w:val="en-US" w:eastAsia="zh-CN" w:bidi="ar-SA"/>
        </w:rPr>
        <w:t>（二）绩效评价的主要内容及指标设置</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default" w:ascii="仿宋_GB2312" w:hAnsi="宋体" w:eastAsia="仿宋_GB2312" w:cs="宋体"/>
          <w:kern w:val="2"/>
          <w:sz w:val="32"/>
          <w:szCs w:val="32"/>
          <w:highlight w:val="none"/>
          <w:lang w:val="en-US" w:eastAsia="zh-CN" w:bidi="ar-SA"/>
        </w:rPr>
      </w:pPr>
      <w:r>
        <w:rPr>
          <w:rFonts w:hint="eastAsia" w:ascii="仿宋_GB2312" w:hAnsi="宋体" w:eastAsia="仿宋_GB2312" w:cs="宋体"/>
          <w:b/>
          <w:bCs/>
          <w:kern w:val="2"/>
          <w:sz w:val="32"/>
          <w:szCs w:val="32"/>
          <w:highlight w:val="none"/>
          <w:lang w:val="en-US" w:eastAsia="zh-CN" w:bidi="ar-SA"/>
        </w:rPr>
        <w:t>1.</w:t>
      </w:r>
      <w:r>
        <w:rPr>
          <w:rFonts w:hint="default" w:ascii="仿宋_GB2312" w:hAnsi="宋体" w:eastAsia="仿宋_GB2312" w:cs="宋体"/>
          <w:b/>
          <w:bCs/>
          <w:kern w:val="2"/>
          <w:sz w:val="32"/>
          <w:szCs w:val="32"/>
          <w:highlight w:val="none"/>
          <w:lang w:val="en-US" w:eastAsia="zh-CN" w:bidi="ar-SA"/>
        </w:rPr>
        <w:t>项目决策</w:t>
      </w:r>
      <w:r>
        <w:rPr>
          <w:rFonts w:hint="eastAsia" w:ascii="仿宋_GB2312" w:hAnsi="宋体" w:eastAsia="仿宋_GB2312" w:cs="宋体"/>
          <w:b/>
          <w:bCs/>
          <w:kern w:val="2"/>
          <w:sz w:val="32"/>
          <w:szCs w:val="32"/>
          <w:highlight w:val="none"/>
          <w:lang w:val="en-US" w:eastAsia="zh-CN" w:bidi="ar-SA"/>
        </w:rPr>
        <w:t>方面</w:t>
      </w:r>
      <w:r>
        <w:rPr>
          <w:rFonts w:hint="default" w:ascii="仿宋_GB2312" w:hAnsi="宋体" w:eastAsia="仿宋_GB2312" w:cs="宋体"/>
          <w:b/>
          <w:bCs/>
          <w:kern w:val="2"/>
          <w:sz w:val="32"/>
          <w:szCs w:val="32"/>
          <w:highlight w:val="none"/>
          <w:lang w:val="en-US" w:eastAsia="zh-CN" w:bidi="ar-SA"/>
        </w:rPr>
        <w:t>。</w:t>
      </w:r>
      <w:r>
        <w:rPr>
          <w:rFonts w:hint="default" w:ascii="仿宋_GB2312" w:hAnsi="宋体" w:eastAsia="仿宋_GB2312" w:cs="宋体"/>
          <w:kern w:val="2"/>
          <w:sz w:val="32"/>
          <w:szCs w:val="32"/>
          <w:highlight w:val="none"/>
          <w:lang w:val="en-US" w:eastAsia="zh-CN" w:bidi="ar-SA"/>
        </w:rPr>
        <w:t>主要包括项目立项</w:t>
      </w:r>
      <w:r>
        <w:rPr>
          <w:rFonts w:hint="eastAsia" w:ascii="仿宋_GB2312" w:hAnsi="宋体" w:eastAsia="仿宋_GB2312" w:cs="宋体"/>
          <w:kern w:val="2"/>
          <w:sz w:val="32"/>
          <w:szCs w:val="32"/>
          <w:highlight w:val="none"/>
          <w:lang w:val="en-US" w:eastAsia="zh-CN" w:bidi="ar-SA"/>
        </w:rPr>
        <w:t>批复情况，项目绩效目标设定情况，项目预算编制和资金分配情况。分6个指标：立项依据充分性、立项程序规范性、绩效目标合理性、绩效指标明确性、预算编制科学性、资金分配合理性。</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default" w:ascii="仿宋_GB2312" w:hAnsi="宋体" w:eastAsia="仿宋_GB2312" w:cs="宋体"/>
          <w:kern w:val="2"/>
          <w:sz w:val="32"/>
          <w:szCs w:val="32"/>
          <w:highlight w:val="none"/>
          <w:lang w:val="en-US" w:eastAsia="zh-CN" w:bidi="ar-SA"/>
        </w:rPr>
      </w:pPr>
      <w:r>
        <w:rPr>
          <w:rFonts w:hint="eastAsia" w:ascii="仿宋_GB2312" w:hAnsi="宋体" w:eastAsia="仿宋_GB2312" w:cs="宋体"/>
          <w:b/>
          <w:bCs/>
          <w:kern w:val="2"/>
          <w:sz w:val="32"/>
          <w:szCs w:val="32"/>
          <w:highlight w:val="none"/>
          <w:lang w:val="en-US" w:eastAsia="zh-CN" w:bidi="ar-SA"/>
        </w:rPr>
        <w:t>2.项目过程管理方面</w:t>
      </w:r>
      <w:r>
        <w:rPr>
          <w:rFonts w:hint="default" w:ascii="仿宋_GB2312" w:hAnsi="宋体" w:eastAsia="仿宋_GB2312" w:cs="宋体"/>
          <w:b/>
          <w:bCs/>
          <w:kern w:val="2"/>
          <w:sz w:val="32"/>
          <w:szCs w:val="32"/>
          <w:highlight w:val="none"/>
          <w:lang w:val="en-US" w:eastAsia="zh-CN" w:bidi="ar-SA"/>
        </w:rPr>
        <w:t>。</w:t>
      </w:r>
      <w:r>
        <w:rPr>
          <w:rFonts w:hint="default" w:ascii="仿宋_GB2312" w:hAnsi="宋体" w:eastAsia="仿宋_GB2312" w:cs="宋体"/>
          <w:kern w:val="2"/>
          <w:sz w:val="32"/>
          <w:szCs w:val="32"/>
          <w:highlight w:val="none"/>
          <w:lang w:val="en-US" w:eastAsia="zh-CN" w:bidi="ar-SA"/>
        </w:rPr>
        <w:t>主要</w:t>
      </w:r>
      <w:r>
        <w:rPr>
          <w:rFonts w:hint="eastAsia" w:ascii="仿宋_GB2312" w:hAnsi="宋体" w:eastAsia="仿宋_GB2312" w:cs="宋体"/>
          <w:kern w:val="2"/>
          <w:sz w:val="32"/>
          <w:szCs w:val="32"/>
          <w:highlight w:val="none"/>
          <w:lang w:val="en-US" w:eastAsia="zh-CN" w:bidi="ar-SA"/>
        </w:rPr>
        <w:t>包括项目资金管理情况、项目组织实施情况。分7个指标：资金到位率、预算执行率、资金使用合规性、组织机构设置、管理制度健全性、制度执行有效性、质量控制。</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default" w:ascii="仿宋_GB2312" w:hAnsi="宋体" w:eastAsia="仿宋_GB2312" w:cs="宋体"/>
          <w:kern w:val="2"/>
          <w:sz w:val="32"/>
          <w:szCs w:val="32"/>
          <w:highlight w:val="none"/>
          <w:lang w:val="en-US" w:eastAsia="zh-CN" w:bidi="ar-SA"/>
        </w:rPr>
      </w:pPr>
      <w:r>
        <w:rPr>
          <w:rFonts w:hint="eastAsia" w:ascii="仿宋_GB2312" w:hAnsi="宋体" w:eastAsia="仿宋_GB2312" w:cs="宋体"/>
          <w:b/>
          <w:bCs/>
          <w:kern w:val="2"/>
          <w:sz w:val="32"/>
          <w:szCs w:val="32"/>
          <w:highlight w:val="none"/>
          <w:lang w:val="en-US" w:eastAsia="zh-CN" w:bidi="ar-SA"/>
        </w:rPr>
        <w:t>3.</w:t>
      </w:r>
      <w:r>
        <w:rPr>
          <w:rFonts w:hint="default" w:ascii="仿宋_GB2312" w:hAnsi="宋体" w:eastAsia="仿宋_GB2312" w:cs="宋体"/>
          <w:b/>
          <w:bCs/>
          <w:kern w:val="2"/>
          <w:sz w:val="32"/>
          <w:szCs w:val="32"/>
          <w:highlight w:val="none"/>
          <w:lang w:val="en-US" w:eastAsia="zh-CN" w:bidi="ar-SA"/>
        </w:rPr>
        <w:t>项目产出</w:t>
      </w:r>
      <w:r>
        <w:rPr>
          <w:rFonts w:hint="eastAsia" w:ascii="仿宋_GB2312" w:hAnsi="宋体" w:eastAsia="仿宋_GB2312" w:cs="宋体"/>
          <w:b/>
          <w:bCs/>
          <w:kern w:val="2"/>
          <w:sz w:val="32"/>
          <w:szCs w:val="32"/>
          <w:highlight w:val="none"/>
          <w:lang w:val="en-US" w:eastAsia="zh-CN" w:bidi="ar-SA"/>
        </w:rPr>
        <w:t>方面</w:t>
      </w:r>
      <w:r>
        <w:rPr>
          <w:rFonts w:hint="default" w:ascii="仿宋_GB2312" w:hAnsi="宋体" w:eastAsia="仿宋_GB2312" w:cs="宋体"/>
          <w:b/>
          <w:bCs/>
          <w:kern w:val="2"/>
          <w:sz w:val="32"/>
          <w:szCs w:val="32"/>
          <w:highlight w:val="none"/>
          <w:lang w:val="en-US" w:eastAsia="zh-CN" w:bidi="ar-SA"/>
        </w:rPr>
        <w:t>。</w:t>
      </w:r>
      <w:r>
        <w:rPr>
          <w:rFonts w:hint="eastAsia" w:ascii="仿宋_GB2312" w:hAnsi="宋体" w:eastAsia="仿宋_GB2312" w:cs="宋体"/>
          <w:kern w:val="2"/>
          <w:sz w:val="32"/>
          <w:szCs w:val="32"/>
          <w:highlight w:val="none"/>
          <w:lang w:val="en-US" w:eastAsia="zh-CN" w:bidi="ar-SA"/>
        </w:rPr>
        <w:t>主要包括项目产出、形成资产的相关状况。分4个指标：</w:t>
      </w:r>
      <w:r>
        <w:rPr>
          <w:rFonts w:hint="default" w:ascii="仿宋_GB2312" w:hAnsi="宋体" w:eastAsia="仿宋_GB2312" w:cs="宋体"/>
          <w:kern w:val="2"/>
          <w:sz w:val="32"/>
          <w:szCs w:val="32"/>
          <w:highlight w:val="none"/>
          <w:lang w:val="en-US" w:eastAsia="zh-CN" w:bidi="ar-SA"/>
        </w:rPr>
        <w:t>项目</w:t>
      </w:r>
      <w:r>
        <w:rPr>
          <w:rFonts w:hint="eastAsia" w:ascii="仿宋_GB2312" w:hAnsi="宋体" w:eastAsia="仿宋_GB2312" w:cs="宋体"/>
          <w:kern w:val="2"/>
          <w:sz w:val="32"/>
          <w:szCs w:val="32"/>
          <w:highlight w:val="none"/>
          <w:lang w:val="en-US" w:eastAsia="zh-CN" w:bidi="ar-SA"/>
        </w:rPr>
        <w:t>产出数量、项目产出质量、项目产出成本、项目完成及时性。</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default" w:ascii="仿宋_GB2312" w:hAnsi="宋体" w:eastAsia="仿宋_GB2312" w:cs="宋体"/>
          <w:kern w:val="2"/>
          <w:sz w:val="32"/>
          <w:szCs w:val="32"/>
          <w:highlight w:val="none"/>
          <w:lang w:val="en-US" w:eastAsia="zh-CN" w:bidi="ar-SA"/>
        </w:rPr>
      </w:pPr>
      <w:r>
        <w:rPr>
          <w:rFonts w:hint="eastAsia" w:ascii="仿宋_GB2312" w:hAnsi="宋体" w:eastAsia="仿宋_GB2312" w:cs="宋体"/>
          <w:b/>
          <w:bCs/>
          <w:kern w:val="2"/>
          <w:sz w:val="32"/>
          <w:szCs w:val="32"/>
          <w:highlight w:val="none"/>
          <w:lang w:val="en-US" w:eastAsia="zh-CN" w:bidi="ar-SA"/>
        </w:rPr>
        <w:t>4.</w:t>
      </w:r>
      <w:r>
        <w:rPr>
          <w:rFonts w:hint="default" w:ascii="仿宋_GB2312" w:hAnsi="宋体" w:eastAsia="仿宋_GB2312" w:cs="宋体"/>
          <w:b/>
          <w:bCs/>
          <w:kern w:val="2"/>
          <w:sz w:val="32"/>
          <w:szCs w:val="32"/>
          <w:highlight w:val="none"/>
          <w:lang w:val="en-US" w:eastAsia="zh-CN" w:bidi="ar-SA"/>
        </w:rPr>
        <w:t>项目</w:t>
      </w:r>
      <w:r>
        <w:rPr>
          <w:rFonts w:hint="eastAsia" w:ascii="仿宋_GB2312" w:hAnsi="宋体" w:eastAsia="仿宋_GB2312" w:cs="宋体"/>
          <w:b/>
          <w:bCs/>
          <w:kern w:val="2"/>
          <w:sz w:val="32"/>
          <w:szCs w:val="32"/>
          <w:highlight w:val="none"/>
          <w:lang w:val="en-US" w:eastAsia="zh-CN" w:bidi="ar-SA"/>
        </w:rPr>
        <w:t>效益方面</w:t>
      </w:r>
      <w:r>
        <w:rPr>
          <w:rFonts w:hint="default" w:ascii="仿宋_GB2312" w:hAnsi="宋体" w:eastAsia="仿宋_GB2312" w:cs="宋体"/>
          <w:b/>
          <w:bCs/>
          <w:kern w:val="2"/>
          <w:sz w:val="32"/>
          <w:szCs w:val="32"/>
          <w:highlight w:val="none"/>
          <w:lang w:val="en-US" w:eastAsia="zh-CN" w:bidi="ar-SA"/>
        </w:rPr>
        <w:t>。</w:t>
      </w:r>
      <w:r>
        <w:rPr>
          <w:rFonts w:hint="eastAsia" w:ascii="仿宋_GB2312" w:hAnsi="宋体" w:eastAsia="仿宋_GB2312" w:cs="宋体"/>
          <w:kern w:val="2"/>
          <w:sz w:val="32"/>
          <w:szCs w:val="32"/>
          <w:highlight w:val="none"/>
          <w:lang w:val="en-US" w:eastAsia="zh-CN" w:bidi="ar-SA"/>
        </w:rPr>
        <w:t>主要包括项目完成产生的效益情况，分4个指标：</w:t>
      </w:r>
      <w:r>
        <w:rPr>
          <w:rFonts w:hint="default" w:ascii="仿宋_GB2312" w:hAnsi="宋体" w:eastAsia="仿宋_GB2312" w:cs="宋体"/>
          <w:kern w:val="2"/>
          <w:sz w:val="32"/>
          <w:szCs w:val="32"/>
          <w:highlight w:val="none"/>
          <w:lang w:val="en-US" w:eastAsia="zh-CN" w:bidi="ar-SA"/>
        </w:rPr>
        <w:t>经济效益、社会效益、可持续性影响</w:t>
      </w:r>
      <w:r>
        <w:rPr>
          <w:rFonts w:hint="eastAsia" w:ascii="仿宋_GB2312" w:hAnsi="宋体" w:eastAsia="仿宋_GB2312" w:cs="宋体"/>
          <w:kern w:val="2"/>
          <w:sz w:val="32"/>
          <w:szCs w:val="32"/>
          <w:highlight w:val="none"/>
          <w:lang w:val="en-US" w:eastAsia="zh-CN" w:bidi="ar-SA"/>
        </w:rPr>
        <w:t>情况、</w:t>
      </w:r>
      <w:r>
        <w:rPr>
          <w:rFonts w:hint="default" w:ascii="仿宋_GB2312" w:hAnsi="宋体" w:eastAsia="仿宋_GB2312" w:cs="宋体"/>
          <w:kern w:val="2"/>
          <w:sz w:val="32"/>
          <w:szCs w:val="32"/>
          <w:highlight w:val="none"/>
          <w:lang w:val="en-US" w:eastAsia="zh-CN" w:bidi="ar-SA"/>
        </w:rPr>
        <w:t>社会公众或服务对象满意度等。</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楷体" w:hAnsi="楷体" w:eastAsia="楷体" w:cs="楷体"/>
          <w:b/>
          <w:bCs/>
          <w:kern w:val="2"/>
          <w:sz w:val="32"/>
          <w:szCs w:val="32"/>
          <w:highlight w:val="none"/>
          <w:lang w:val="en-US" w:eastAsia="zh-CN" w:bidi="ar-SA"/>
        </w:rPr>
      </w:pPr>
      <w:r>
        <w:rPr>
          <w:rFonts w:hint="eastAsia" w:ascii="楷体" w:hAnsi="楷体" w:eastAsia="楷体" w:cs="楷体"/>
          <w:b/>
          <w:bCs/>
          <w:kern w:val="2"/>
          <w:sz w:val="32"/>
          <w:szCs w:val="32"/>
          <w:highlight w:val="none"/>
          <w:lang w:val="en-US" w:eastAsia="zh-CN" w:bidi="ar-SA"/>
        </w:rPr>
        <w:t>（三）绩效评价实施程序</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仿宋_GB2312" w:hAnsi="宋体" w:eastAsia="仿宋_GB2312" w:cs="宋体"/>
          <w:kern w:val="2"/>
          <w:sz w:val="32"/>
          <w:szCs w:val="32"/>
          <w:highlight w:val="none"/>
          <w:lang w:val="en-US" w:eastAsia="zh-CN" w:bidi="ar-SA"/>
        </w:rPr>
      </w:pPr>
      <w:r>
        <w:rPr>
          <w:rFonts w:hint="eastAsia" w:ascii="仿宋_GB2312" w:hAnsi="宋体" w:eastAsia="仿宋_GB2312" w:cs="宋体"/>
          <w:kern w:val="2"/>
          <w:sz w:val="32"/>
          <w:szCs w:val="32"/>
          <w:highlight w:val="none"/>
          <w:lang w:val="en-US" w:eastAsia="zh-CN" w:bidi="ar-SA"/>
        </w:rPr>
        <w:t>根据《邵阳市财政局关于开展2020</w:t>
      </w:r>
      <w:r>
        <w:rPr>
          <w:rFonts w:hint="eastAsia" w:ascii="仿宋_GB2312" w:hAnsi="仿宋_GB2312" w:eastAsia="仿宋_GB2312" w:cs="仿宋_GB2312"/>
          <w:b w:val="0"/>
          <w:bCs w:val="0"/>
          <w:sz w:val="32"/>
          <w:szCs w:val="32"/>
          <w:highlight w:val="none"/>
          <w:lang w:val="en-US" w:eastAsia="zh-CN"/>
        </w:rPr>
        <w:t>-</w:t>
      </w:r>
      <w:r>
        <w:rPr>
          <w:rFonts w:hint="eastAsia" w:ascii="仿宋_GB2312" w:hAnsi="宋体" w:eastAsia="仿宋_GB2312" w:cs="宋体"/>
          <w:kern w:val="2"/>
          <w:sz w:val="32"/>
          <w:szCs w:val="32"/>
          <w:highlight w:val="none"/>
          <w:lang w:val="en-US" w:eastAsia="zh-CN" w:bidi="ar-SA"/>
        </w:rPr>
        <w:t>2022年度科技创新专项资金绩效评价工作的通知》（邵财绩〔2023〕7号），邵阳益宏联合会计师事务所(普通合伙)成立了绩效评价工作小组，重点对邵阳市科技局、邵阳市财政局、大祥区财政局、双清区财政局、北塔区财政局、经开区财政局等6家单位进行现场评价。绩效评价实施程序主要内容有：</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宋体" w:eastAsia="仿宋_GB2312" w:cs="宋体"/>
          <w:kern w:val="2"/>
          <w:sz w:val="32"/>
          <w:szCs w:val="32"/>
          <w:highlight w:val="none"/>
          <w:lang w:val="en-US" w:eastAsia="zh-CN" w:bidi="ar-SA"/>
        </w:rPr>
      </w:pPr>
      <w:r>
        <w:rPr>
          <w:rFonts w:hint="eastAsia" w:ascii="仿宋_GB2312" w:hAnsi="宋体" w:eastAsia="仿宋_GB2312" w:cs="宋体"/>
          <w:b/>
          <w:bCs/>
          <w:kern w:val="2"/>
          <w:sz w:val="32"/>
          <w:szCs w:val="32"/>
          <w:highlight w:val="none"/>
          <w:lang w:val="en-US" w:eastAsia="zh-CN" w:bidi="ar-SA"/>
        </w:rPr>
        <w:t>1.查阅资料。</w:t>
      </w:r>
      <w:r>
        <w:rPr>
          <w:rFonts w:hint="eastAsia" w:ascii="仿宋_GB2312" w:hAnsi="宋体" w:eastAsia="仿宋_GB2312" w:cs="宋体"/>
          <w:kern w:val="2"/>
          <w:sz w:val="32"/>
          <w:szCs w:val="32"/>
          <w:highlight w:val="none"/>
          <w:lang w:val="en-US" w:eastAsia="zh-CN" w:bidi="ar-SA"/>
        </w:rPr>
        <w:t>查阅2020</w:t>
      </w:r>
      <w:r>
        <w:rPr>
          <w:rFonts w:hint="eastAsia" w:ascii="仿宋_GB2312" w:hAnsi="仿宋_GB2312" w:eastAsia="仿宋_GB2312" w:cs="仿宋_GB2312"/>
          <w:b w:val="0"/>
          <w:bCs w:val="0"/>
          <w:sz w:val="32"/>
          <w:szCs w:val="32"/>
          <w:highlight w:val="none"/>
          <w:lang w:val="en-US" w:eastAsia="zh-CN"/>
        </w:rPr>
        <w:t>-</w:t>
      </w:r>
      <w:r>
        <w:rPr>
          <w:rFonts w:hint="eastAsia" w:ascii="仿宋_GB2312" w:hAnsi="宋体" w:eastAsia="仿宋_GB2312" w:cs="宋体"/>
          <w:kern w:val="2"/>
          <w:sz w:val="32"/>
          <w:szCs w:val="32"/>
          <w:highlight w:val="none"/>
          <w:lang w:val="en-US" w:eastAsia="zh-CN" w:bidi="ar-SA"/>
        </w:rPr>
        <w:t>2022</w:t>
      </w:r>
      <w:r>
        <w:rPr>
          <w:rFonts w:hint="eastAsia" w:ascii="仿宋" w:hAnsi="仿宋" w:eastAsia="仿宋" w:cs="仿宋"/>
          <w:kern w:val="2"/>
          <w:sz w:val="32"/>
          <w:szCs w:val="32"/>
          <w:highlight w:val="none"/>
          <w:lang w:val="en-US" w:eastAsia="zh-CN" w:bidi="ar-SA"/>
        </w:rPr>
        <w:t>年度</w:t>
      </w:r>
      <w:r>
        <w:rPr>
          <w:rFonts w:hint="eastAsia" w:ascii="仿宋_GB2312" w:hAnsi="宋体" w:eastAsia="仿宋_GB2312" w:cs="宋体"/>
          <w:kern w:val="2"/>
          <w:sz w:val="32"/>
          <w:szCs w:val="32"/>
          <w:highlight w:val="none"/>
          <w:lang w:val="en-US" w:eastAsia="zh-CN" w:bidi="ar-SA"/>
        </w:rPr>
        <w:t>科技创新专项资金相关的文件资料和财务凭证。</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 w:hAnsi="仿宋" w:eastAsia="仿宋" w:cs="仿宋"/>
          <w:sz w:val="32"/>
          <w:szCs w:val="32"/>
          <w:highlight w:val="none"/>
          <w:lang w:eastAsia="zh-CN"/>
        </w:rPr>
      </w:pPr>
      <w:r>
        <w:rPr>
          <w:rFonts w:hint="eastAsia" w:ascii="仿宋_GB2312" w:hAnsi="宋体" w:eastAsia="仿宋_GB2312" w:cs="宋体"/>
          <w:b/>
          <w:bCs/>
          <w:kern w:val="2"/>
          <w:sz w:val="32"/>
          <w:szCs w:val="32"/>
          <w:highlight w:val="none"/>
          <w:lang w:val="en-US" w:eastAsia="zh-CN" w:bidi="ar-SA"/>
        </w:rPr>
        <w:t>2.核实数据。</w:t>
      </w:r>
      <w:r>
        <w:rPr>
          <w:rFonts w:hint="eastAsia" w:ascii="仿宋_GB2312" w:hAnsi="宋体" w:eastAsia="仿宋_GB2312" w:cs="宋体"/>
          <w:kern w:val="2"/>
          <w:sz w:val="32"/>
          <w:szCs w:val="32"/>
          <w:highlight w:val="none"/>
          <w:lang w:val="en-US" w:eastAsia="zh-CN" w:bidi="ar-SA"/>
        </w:rPr>
        <w:t>核实2020</w:t>
      </w:r>
      <w:r>
        <w:rPr>
          <w:rFonts w:hint="eastAsia" w:ascii="仿宋_GB2312" w:hAnsi="仿宋_GB2312" w:eastAsia="仿宋_GB2312" w:cs="仿宋_GB2312"/>
          <w:b w:val="0"/>
          <w:bCs w:val="0"/>
          <w:sz w:val="32"/>
          <w:szCs w:val="32"/>
          <w:highlight w:val="none"/>
          <w:lang w:val="en-US" w:eastAsia="zh-CN"/>
        </w:rPr>
        <w:t>-</w:t>
      </w:r>
      <w:r>
        <w:rPr>
          <w:rFonts w:hint="eastAsia" w:ascii="仿宋_GB2312" w:hAnsi="宋体" w:eastAsia="仿宋_GB2312" w:cs="宋体"/>
          <w:kern w:val="2"/>
          <w:sz w:val="32"/>
          <w:szCs w:val="32"/>
          <w:highlight w:val="none"/>
          <w:lang w:val="en-US" w:eastAsia="zh-CN" w:bidi="ar-SA"/>
        </w:rPr>
        <w:t>2022</w:t>
      </w:r>
      <w:r>
        <w:rPr>
          <w:rFonts w:hint="eastAsia" w:ascii="仿宋" w:hAnsi="仿宋" w:eastAsia="仿宋" w:cs="仿宋"/>
          <w:kern w:val="2"/>
          <w:sz w:val="32"/>
          <w:szCs w:val="32"/>
          <w:highlight w:val="none"/>
          <w:lang w:val="en-US" w:eastAsia="zh-CN" w:bidi="ar-SA"/>
        </w:rPr>
        <w:t>年度</w:t>
      </w:r>
      <w:r>
        <w:rPr>
          <w:rFonts w:hint="eastAsia" w:ascii="仿宋_GB2312" w:hAnsi="宋体" w:eastAsia="仿宋_GB2312" w:cs="宋体"/>
          <w:kern w:val="2"/>
          <w:sz w:val="32"/>
          <w:szCs w:val="32"/>
          <w:highlight w:val="none"/>
          <w:lang w:val="en-US" w:eastAsia="zh-CN" w:bidi="ar-SA"/>
        </w:rPr>
        <w:t>科技创新专项资金支出数据的准确性、真实性</w:t>
      </w:r>
      <w:r>
        <w:rPr>
          <w:rFonts w:hint="eastAsia" w:ascii="仿宋" w:hAnsi="仿宋" w:eastAsia="仿宋" w:cs="仿宋"/>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宋体" w:eastAsia="仿宋_GB2312" w:cs="宋体"/>
          <w:kern w:val="2"/>
          <w:sz w:val="32"/>
          <w:szCs w:val="32"/>
          <w:highlight w:val="none"/>
          <w:lang w:val="en-US" w:eastAsia="zh-CN" w:bidi="ar-SA"/>
        </w:rPr>
      </w:pPr>
      <w:r>
        <w:rPr>
          <w:rFonts w:hint="eastAsia" w:ascii="仿宋_GB2312" w:hAnsi="宋体" w:eastAsia="仿宋_GB2312" w:cs="宋体"/>
          <w:b/>
          <w:bCs/>
          <w:kern w:val="2"/>
          <w:sz w:val="32"/>
          <w:szCs w:val="32"/>
          <w:highlight w:val="none"/>
          <w:lang w:val="en-US" w:eastAsia="zh-CN" w:bidi="ar-SA"/>
        </w:rPr>
        <w:t>3.实地查看。</w:t>
      </w:r>
      <w:r>
        <w:rPr>
          <w:rFonts w:hint="eastAsia" w:ascii="仿宋_GB2312" w:hAnsi="宋体" w:eastAsia="仿宋_GB2312" w:cs="宋体"/>
          <w:kern w:val="2"/>
          <w:sz w:val="32"/>
          <w:szCs w:val="32"/>
          <w:highlight w:val="none"/>
          <w:lang w:val="en-US" w:eastAsia="zh-CN" w:bidi="ar-SA"/>
        </w:rPr>
        <w:t>现场查看项目完成情况等。</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宋体" w:eastAsia="仿宋_GB2312" w:cs="宋体"/>
          <w:kern w:val="2"/>
          <w:sz w:val="32"/>
          <w:szCs w:val="32"/>
          <w:highlight w:val="none"/>
          <w:lang w:val="en-US" w:eastAsia="zh-CN" w:bidi="ar-SA"/>
        </w:rPr>
      </w:pPr>
      <w:r>
        <w:rPr>
          <w:rFonts w:hint="eastAsia" w:ascii="仿宋_GB2312" w:hAnsi="宋体" w:eastAsia="仿宋_GB2312" w:cs="宋体"/>
          <w:b/>
          <w:bCs/>
          <w:kern w:val="2"/>
          <w:sz w:val="32"/>
          <w:szCs w:val="32"/>
          <w:highlight w:val="none"/>
          <w:lang w:val="en-US" w:eastAsia="zh-CN" w:bidi="ar-SA"/>
        </w:rPr>
        <w:t>4.问卷调查。</w:t>
      </w:r>
      <w:r>
        <w:rPr>
          <w:rFonts w:hint="eastAsia" w:ascii="仿宋_GB2312" w:hAnsi="宋体" w:eastAsia="仿宋_GB2312" w:cs="宋体"/>
          <w:kern w:val="2"/>
          <w:sz w:val="32"/>
          <w:szCs w:val="32"/>
          <w:highlight w:val="none"/>
          <w:lang w:val="en-US" w:eastAsia="zh-CN" w:bidi="ar-SA"/>
        </w:rPr>
        <w:t>向社会各界人士发放关于科技创新专项资金相关问题的调查问卷，进行问卷调查。</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宋体" w:eastAsia="仿宋_GB2312" w:cs="宋体"/>
          <w:kern w:val="2"/>
          <w:sz w:val="32"/>
          <w:szCs w:val="32"/>
          <w:highlight w:val="none"/>
          <w:lang w:val="en-US" w:eastAsia="zh-CN" w:bidi="ar-SA"/>
        </w:rPr>
      </w:pPr>
      <w:r>
        <w:rPr>
          <w:rFonts w:hint="eastAsia" w:ascii="仿宋_GB2312" w:hAnsi="宋体" w:eastAsia="仿宋_GB2312" w:cs="宋体"/>
          <w:b/>
          <w:bCs/>
          <w:kern w:val="2"/>
          <w:sz w:val="32"/>
          <w:szCs w:val="32"/>
          <w:highlight w:val="none"/>
          <w:lang w:val="en-US" w:eastAsia="zh-CN" w:bidi="ar-SA"/>
        </w:rPr>
        <w:t>5.综合分析。</w:t>
      </w:r>
      <w:r>
        <w:rPr>
          <w:rFonts w:hint="eastAsia" w:ascii="仿宋_GB2312" w:hAnsi="宋体" w:eastAsia="仿宋_GB2312" w:cs="宋体"/>
          <w:kern w:val="2"/>
          <w:sz w:val="32"/>
          <w:szCs w:val="32"/>
          <w:highlight w:val="none"/>
          <w:lang w:val="en-US" w:eastAsia="zh-CN" w:bidi="ar-SA"/>
        </w:rPr>
        <w:t>评价组召开讨论会，归纳汇总提供的材料及自评报告，结合现场调查情况进行综合分析。</w:t>
      </w:r>
    </w:p>
    <w:p>
      <w:pPr>
        <w:pStyle w:val="10"/>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560" w:lineRule="exact"/>
        <w:ind w:left="0" w:right="0" w:firstLine="640"/>
        <w:jc w:val="both"/>
        <w:textAlignment w:val="auto"/>
        <w:rPr>
          <w:rFonts w:hint="eastAsia" w:ascii="仿宋_GB2312" w:hAnsi="宋体" w:eastAsia="仿宋_GB2312" w:cs="宋体"/>
          <w:kern w:val="2"/>
          <w:sz w:val="32"/>
          <w:szCs w:val="32"/>
          <w:highlight w:val="none"/>
          <w:lang w:val="en-US" w:eastAsia="zh-CN" w:bidi="ar-SA"/>
        </w:rPr>
      </w:pPr>
      <w:r>
        <w:rPr>
          <w:rFonts w:hint="eastAsia" w:ascii="仿宋_GB2312" w:hAnsi="宋体" w:eastAsia="仿宋_GB2312" w:cs="宋体"/>
          <w:b/>
          <w:bCs/>
          <w:kern w:val="2"/>
          <w:sz w:val="32"/>
          <w:szCs w:val="32"/>
          <w:highlight w:val="none"/>
          <w:lang w:val="en-US" w:eastAsia="zh-CN" w:bidi="ar-SA"/>
        </w:rPr>
        <w:t>6</w:t>
      </w:r>
      <w:r>
        <w:rPr>
          <w:rFonts w:hint="eastAsia" w:ascii="仿宋_GB2312" w:eastAsia="仿宋_GB2312" w:cs="宋体"/>
          <w:b/>
          <w:bCs/>
          <w:kern w:val="2"/>
          <w:sz w:val="32"/>
          <w:szCs w:val="32"/>
          <w:highlight w:val="none"/>
          <w:lang w:val="en-US" w:eastAsia="zh-CN" w:bidi="ar-SA"/>
        </w:rPr>
        <w:t>.</w:t>
      </w:r>
      <w:r>
        <w:rPr>
          <w:rFonts w:hint="eastAsia" w:ascii="仿宋_GB2312" w:hAnsi="宋体" w:eastAsia="仿宋_GB2312" w:cs="宋体"/>
          <w:b/>
          <w:bCs/>
          <w:kern w:val="2"/>
          <w:sz w:val="32"/>
          <w:szCs w:val="32"/>
          <w:highlight w:val="none"/>
          <w:lang w:val="en-US" w:eastAsia="zh-CN" w:bidi="ar-SA"/>
        </w:rPr>
        <w:t>评价结论。</w:t>
      </w:r>
      <w:r>
        <w:rPr>
          <w:rFonts w:hint="eastAsia" w:ascii="仿宋_GB2312" w:hAnsi="宋体" w:eastAsia="仿宋_GB2312" w:cs="宋体"/>
          <w:kern w:val="2"/>
          <w:sz w:val="32"/>
          <w:szCs w:val="32"/>
          <w:highlight w:val="none"/>
          <w:lang w:val="en-US" w:eastAsia="zh-CN" w:bidi="ar-SA"/>
        </w:rPr>
        <w:t>根据2020</w:t>
      </w:r>
      <w:r>
        <w:rPr>
          <w:rFonts w:hint="eastAsia" w:ascii="仿宋_GB2312" w:hAnsi="仿宋_GB2312" w:eastAsia="仿宋_GB2312" w:cs="仿宋_GB2312"/>
          <w:b w:val="0"/>
          <w:bCs w:val="0"/>
          <w:sz w:val="32"/>
          <w:szCs w:val="32"/>
          <w:highlight w:val="none"/>
          <w:lang w:val="en-US" w:eastAsia="zh-CN"/>
        </w:rPr>
        <w:t>-</w:t>
      </w:r>
      <w:r>
        <w:rPr>
          <w:rFonts w:hint="eastAsia" w:ascii="仿宋_GB2312" w:hAnsi="宋体" w:eastAsia="仿宋_GB2312" w:cs="宋体"/>
          <w:kern w:val="2"/>
          <w:sz w:val="32"/>
          <w:szCs w:val="32"/>
          <w:highlight w:val="none"/>
          <w:lang w:val="en-US" w:eastAsia="zh-CN" w:bidi="ar-SA"/>
        </w:rPr>
        <w:t>2022</w:t>
      </w:r>
      <w:r>
        <w:rPr>
          <w:rFonts w:hint="eastAsia" w:ascii="仿宋" w:hAnsi="仿宋" w:eastAsia="仿宋" w:cs="仿宋"/>
          <w:kern w:val="2"/>
          <w:sz w:val="32"/>
          <w:szCs w:val="32"/>
          <w:highlight w:val="none"/>
          <w:lang w:val="en-US" w:eastAsia="zh-CN" w:bidi="ar-SA"/>
        </w:rPr>
        <w:t>年度</w:t>
      </w:r>
      <w:r>
        <w:rPr>
          <w:rFonts w:hint="eastAsia" w:ascii="仿宋_GB2312" w:hAnsi="宋体" w:eastAsia="仿宋_GB2312" w:cs="宋体"/>
          <w:kern w:val="2"/>
          <w:sz w:val="32"/>
          <w:szCs w:val="32"/>
          <w:highlight w:val="none"/>
          <w:lang w:val="en-US" w:eastAsia="zh-CN" w:bidi="ar-SA"/>
        </w:rPr>
        <w:t>科技创新专项资金绩效评价指标，逐项打分，得出评价结论。</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cs="宋体"/>
          <w:kern w:val="2"/>
          <w:sz w:val="32"/>
          <w:szCs w:val="32"/>
          <w:highlight w:val="none"/>
          <w:lang w:val="en-US" w:eastAsia="zh-CN" w:bidi="ar-SA"/>
        </w:rPr>
      </w:pPr>
      <w:r>
        <w:rPr>
          <w:rFonts w:hint="eastAsia" w:ascii="仿宋_GB2312" w:hAnsi="宋体" w:eastAsia="仿宋_GB2312" w:cs="宋体"/>
          <w:b/>
          <w:bCs/>
          <w:kern w:val="2"/>
          <w:sz w:val="32"/>
          <w:szCs w:val="32"/>
          <w:highlight w:val="none"/>
          <w:lang w:val="en-US" w:eastAsia="zh-CN" w:bidi="ar-SA"/>
        </w:rPr>
        <w:t>7.撰写评价报告。</w:t>
      </w:r>
      <w:r>
        <w:rPr>
          <w:rFonts w:hint="eastAsia" w:ascii="仿宋_GB2312" w:hAnsi="宋体" w:eastAsia="仿宋_GB2312" w:cs="宋体"/>
          <w:kern w:val="2"/>
          <w:sz w:val="32"/>
          <w:szCs w:val="32"/>
          <w:highlight w:val="none"/>
          <w:lang w:val="en-US" w:eastAsia="zh-CN" w:bidi="ar-SA"/>
        </w:rPr>
        <w:t>评价组汇总相关资料，综合分析，形成绩效评价报告。</w:t>
      </w:r>
    </w:p>
    <w:p>
      <w:pPr>
        <w:pageBreakBefore w:val="0"/>
        <w:wordWrap/>
        <w:overflowPunct/>
        <w:topLinePunct w:val="0"/>
        <w:bidi w:val="0"/>
        <w:spacing w:line="560" w:lineRule="exact"/>
        <w:ind w:firstLine="640" w:firstLineChars="200"/>
        <w:rPr>
          <w:rFonts w:eastAsia="黑体"/>
          <w:sz w:val="32"/>
          <w:szCs w:val="32"/>
          <w:highlight w:val="none"/>
        </w:rPr>
      </w:pPr>
      <w:r>
        <w:rPr>
          <w:rFonts w:eastAsia="黑体"/>
          <w:sz w:val="32"/>
          <w:szCs w:val="32"/>
          <w:highlight w:val="none"/>
        </w:rPr>
        <w:t>三、</w:t>
      </w:r>
      <w:r>
        <w:rPr>
          <w:rFonts w:hint="eastAsia" w:eastAsia="黑体"/>
          <w:sz w:val="32"/>
          <w:szCs w:val="32"/>
          <w:highlight w:val="none"/>
          <w:lang w:eastAsia="zh-CN"/>
        </w:rPr>
        <w:t>项目</w:t>
      </w:r>
      <w:r>
        <w:rPr>
          <w:rFonts w:eastAsia="黑体"/>
          <w:sz w:val="32"/>
          <w:szCs w:val="32"/>
          <w:highlight w:val="none"/>
        </w:rPr>
        <w:t>支出主要绩效及评价结论</w:t>
      </w:r>
    </w:p>
    <w:p>
      <w:pPr>
        <w:pageBreakBefore w:val="0"/>
        <w:wordWrap/>
        <w:overflowPunct/>
        <w:topLinePunct w:val="0"/>
        <w:bidi w:val="0"/>
        <w:spacing w:line="560" w:lineRule="exact"/>
        <w:ind w:firstLine="643" w:firstLineChars="200"/>
        <w:rPr>
          <w:rFonts w:hint="eastAsia" w:eastAsia="楷体_GB2312"/>
          <w:b/>
          <w:sz w:val="32"/>
          <w:szCs w:val="32"/>
          <w:highlight w:val="none"/>
          <w:lang w:val="en-US" w:eastAsia="zh-CN"/>
        </w:rPr>
      </w:pPr>
      <w:r>
        <w:rPr>
          <w:rFonts w:eastAsia="楷体_GB2312"/>
          <w:b/>
          <w:sz w:val="32"/>
          <w:szCs w:val="32"/>
          <w:highlight w:val="none"/>
        </w:rPr>
        <w:t>（一）</w:t>
      </w:r>
      <w:r>
        <w:rPr>
          <w:rFonts w:hint="eastAsia" w:eastAsia="楷体_GB2312"/>
          <w:b/>
          <w:sz w:val="32"/>
          <w:szCs w:val="32"/>
          <w:highlight w:val="none"/>
          <w:lang w:eastAsia="zh-CN"/>
        </w:rPr>
        <w:t>主要绩效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bidi="ar-SA"/>
        </w:rPr>
        <w:t>邵阳市科技局通过实施科技创新专项资金激励，加快推进全市高新技术产业的发展，提高全市科技强市能力。</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宋体" w:eastAsia="仿宋_GB2312" w:cs="宋体"/>
          <w:b/>
          <w:bCs/>
          <w:kern w:val="2"/>
          <w:sz w:val="32"/>
          <w:szCs w:val="32"/>
          <w:highlight w:val="none"/>
          <w:lang w:val="en-US" w:eastAsia="zh-CN" w:bidi="ar-SA"/>
        </w:rPr>
        <w:t>1.积极引导企业创新。</w:t>
      </w:r>
      <w:r>
        <w:rPr>
          <w:rFonts w:hint="eastAsia" w:ascii="仿宋_GB2312" w:hAnsi="仿宋_GB2312" w:eastAsia="仿宋_GB2312" w:cs="仿宋_GB2312"/>
          <w:kern w:val="2"/>
          <w:sz w:val="32"/>
          <w:szCs w:val="32"/>
          <w:highlight w:val="none"/>
          <w:lang w:val="en-US" w:eastAsia="zh-CN" w:bidi="ar-SA"/>
        </w:rPr>
        <w:t>邵阳市科技局频繁到企业调研，鼓励企业积极申报科技创新项目，持续投入科研经费，督促企业注重产学研合作，大胆开展技术革新，不断提升企业核心竞争力。</w:t>
      </w:r>
      <w:r>
        <w:rPr>
          <w:rFonts w:hint="eastAsia" w:ascii="仿宋_GB2312" w:hAnsi="仿宋_GB2312" w:eastAsia="仿宋_GB2312" w:cs="仿宋_GB2312"/>
          <w:kern w:val="2"/>
          <w:sz w:val="32"/>
          <w:szCs w:val="32"/>
          <w:highlight w:val="none"/>
          <w:lang w:val="en-US" w:eastAsia="zh-CN" w:bidi="ar-SA"/>
        </w:rPr>
        <w:t>邵阳市高新技术企业由2019</w:t>
      </w:r>
      <w:r>
        <w:rPr>
          <w:rFonts w:hint="eastAsia" w:ascii="仿宋" w:hAnsi="仿宋" w:eastAsia="仿宋" w:cs="仿宋"/>
          <w:kern w:val="2"/>
          <w:sz w:val="32"/>
          <w:szCs w:val="32"/>
          <w:highlight w:val="none"/>
          <w:lang w:val="en-US" w:eastAsia="zh-CN" w:bidi="ar-SA"/>
        </w:rPr>
        <w:t>年度</w:t>
      </w:r>
      <w:r>
        <w:rPr>
          <w:rFonts w:hint="eastAsia" w:ascii="仿宋_GB2312" w:hAnsi="仿宋_GB2312" w:eastAsia="仿宋_GB2312" w:cs="仿宋_GB2312"/>
          <w:kern w:val="2"/>
          <w:sz w:val="32"/>
          <w:szCs w:val="32"/>
          <w:highlight w:val="none"/>
          <w:lang w:val="en-US" w:eastAsia="zh-CN" w:bidi="ar-SA"/>
        </w:rPr>
        <w:t>的163家增长至2021</w:t>
      </w:r>
      <w:r>
        <w:rPr>
          <w:rFonts w:hint="eastAsia" w:ascii="仿宋" w:hAnsi="仿宋" w:eastAsia="仿宋" w:cs="仿宋"/>
          <w:kern w:val="2"/>
          <w:sz w:val="32"/>
          <w:szCs w:val="32"/>
          <w:highlight w:val="none"/>
          <w:lang w:val="en-US" w:eastAsia="zh-CN" w:bidi="ar-SA"/>
        </w:rPr>
        <w:t>年度</w:t>
      </w:r>
      <w:r>
        <w:rPr>
          <w:rFonts w:hint="eastAsia" w:ascii="仿宋_GB2312" w:hAnsi="仿宋_GB2312" w:eastAsia="仿宋_GB2312" w:cs="仿宋_GB2312"/>
          <w:kern w:val="2"/>
          <w:sz w:val="32"/>
          <w:szCs w:val="32"/>
          <w:highlight w:val="none"/>
          <w:lang w:val="en-US" w:eastAsia="zh-CN" w:bidi="ar-SA"/>
        </w:rPr>
        <w:t>的452家。</w:t>
      </w:r>
    </w:p>
    <w:p>
      <w:pPr>
        <w:keepNext w:val="0"/>
        <w:keepLines w:val="0"/>
        <w:pageBreakBefore w:val="0"/>
        <w:widowControl w:val="0"/>
        <w:numPr>
          <w:ilvl w:val="0"/>
          <w:numId w:val="0"/>
        </w:numPr>
        <w:kinsoku/>
        <w:wordWrap/>
        <w:overflowPunct/>
        <w:topLinePunct w:val="0"/>
        <w:autoSpaceDE/>
        <w:autoSpaceDN/>
        <w:bidi w:val="0"/>
        <w:spacing w:line="560" w:lineRule="exact"/>
        <w:ind w:firstLine="643"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宋体" w:eastAsia="仿宋_GB2312" w:cs="宋体"/>
          <w:b/>
          <w:bCs/>
          <w:kern w:val="2"/>
          <w:sz w:val="32"/>
          <w:szCs w:val="32"/>
          <w:highlight w:val="none"/>
          <w:lang w:val="en-US" w:eastAsia="zh-CN" w:bidi="ar-SA"/>
        </w:rPr>
        <w:t>2.完善科技创新服务体系建设。</w:t>
      </w:r>
      <w:r>
        <w:rPr>
          <w:rFonts w:hint="eastAsia" w:ascii="仿宋_GB2312" w:hAnsi="仿宋_GB2312" w:eastAsia="仿宋_GB2312" w:cs="仿宋_GB2312"/>
          <w:kern w:val="2"/>
          <w:sz w:val="32"/>
          <w:szCs w:val="32"/>
          <w:highlight w:val="none"/>
          <w:lang w:val="en-US" w:eastAsia="zh-CN" w:bidi="ar-SA"/>
        </w:rPr>
        <w:t>邵阳市科技局为积极开展高新技术企业培育和认定工作、积极落实高新技术企业奖励激励政策兑现，实行区域负责制，分片区联系指导市区科技创新工作。</w:t>
      </w:r>
    </w:p>
    <w:p>
      <w:pPr>
        <w:pageBreakBefore w:val="0"/>
        <w:wordWrap/>
        <w:overflowPunct/>
        <w:topLinePunct w:val="0"/>
        <w:bidi w:val="0"/>
        <w:spacing w:line="560" w:lineRule="exact"/>
        <w:ind w:firstLine="643" w:firstLineChars="200"/>
        <w:rPr>
          <w:rFonts w:hint="eastAsia" w:ascii="Times New Roman" w:hAnsi="Times New Roman" w:eastAsia="楷体_GB2312" w:cs="Times New Roman"/>
          <w:b/>
          <w:kern w:val="2"/>
          <w:sz w:val="32"/>
          <w:szCs w:val="32"/>
          <w:highlight w:val="none"/>
          <w:lang w:val="en-US" w:eastAsia="zh-CN" w:bidi="ar-SA"/>
        </w:rPr>
      </w:pPr>
      <w:r>
        <w:rPr>
          <w:rFonts w:eastAsia="楷体_GB2312"/>
          <w:b/>
          <w:sz w:val="32"/>
          <w:szCs w:val="32"/>
          <w:highlight w:val="none"/>
        </w:rPr>
        <w:t>（</w:t>
      </w:r>
      <w:r>
        <w:rPr>
          <w:rFonts w:hint="eastAsia" w:ascii="Times New Roman" w:hAnsi="Times New Roman" w:eastAsia="楷体_GB2312" w:cs="Times New Roman"/>
          <w:b/>
          <w:kern w:val="2"/>
          <w:sz w:val="32"/>
          <w:szCs w:val="32"/>
          <w:highlight w:val="none"/>
          <w:lang w:val="en-US" w:eastAsia="zh-CN" w:bidi="ar-SA"/>
        </w:rPr>
        <w:t>二）评价结论</w:t>
      </w:r>
    </w:p>
    <w:p>
      <w:pPr>
        <w:pStyle w:val="2"/>
        <w:keepNext w:val="0"/>
        <w:keepLines w:val="0"/>
        <w:pageBreakBefore w:val="0"/>
        <w:widowControl w:val="0"/>
        <w:kinsoku w:val="0"/>
        <w:wordWrap/>
        <w:overflowPunct/>
        <w:topLinePunct w:val="0"/>
        <w:autoSpaceDE/>
        <w:autoSpaceDN/>
        <w:bidi w:val="0"/>
        <w:adjustRightInd/>
        <w:snapToGrid w:val="0"/>
        <w:spacing w:line="560" w:lineRule="exact"/>
        <w:ind w:firstLine="640" w:firstLineChars="200"/>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根据2020</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kern w:val="2"/>
          <w:sz w:val="32"/>
          <w:szCs w:val="32"/>
          <w:highlight w:val="none"/>
          <w:lang w:val="en-US" w:eastAsia="zh-CN" w:bidi="ar-SA"/>
        </w:rPr>
        <w:t>2022年度科技创新专项资金绩效评价指标综合评价，对各项指标进行逐项打分，得出2020</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kern w:val="2"/>
          <w:sz w:val="32"/>
          <w:szCs w:val="32"/>
          <w:highlight w:val="none"/>
          <w:lang w:val="en-US" w:eastAsia="zh-CN" w:bidi="ar-SA"/>
        </w:rPr>
        <w:t>2022年度科技创新专项资金的绩效评价得分84.44分，等级为“良”。</w:t>
      </w:r>
    </w:p>
    <w:p>
      <w:pPr>
        <w:pageBreakBefore w:val="0"/>
        <w:wordWrap/>
        <w:overflowPunct/>
        <w:topLinePunct w:val="0"/>
        <w:bidi w:val="0"/>
        <w:spacing w:line="560" w:lineRule="exact"/>
        <w:ind w:firstLine="640" w:firstLineChars="200"/>
        <w:rPr>
          <w:rFonts w:eastAsia="黑体"/>
          <w:sz w:val="32"/>
          <w:szCs w:val="32"/>
          <w:highlight w:val="none"/>
        </w:rPr>
      </w:pPr>
      <w:r>
        <w:rPr>
          <w:rFonts w:eastAsia="黑体"/>
          <w:sz w:val="32"/>
          <w:szCs w:val="32"/>
          <w:highlight w:val="none"/>
        </w:rPr>
        <w:t>四、绩效评价指标分析</w:t>
      </w:r>
    </w:p>
    <w:p>
      <w:pPr>
        <w:pageBreakBefore w:val="0"/>
        <w:wordWrap/>
        <w:overflowPunct/>
        <w:topLinePunct w:val="0"/>
        <w:bidi w:val="0"/>
        <w:spacing w:line="560" w:lineRule="exact"/>
        <w:ind w:firstLine="643" w:firstLineChars="200"/>
        <w:rPr>
          <w:rFonts w:eastAsia="楷体_GB2312"/>
          <w:b/>
          <w:sz w:val="32"/>
          <w:szCs w:val="32"/>
          <w:highlight w:val="none"/>
        </w:rPr>
      </w:pPr>
      <w:r>
        <w:rPr>
          <w:rFonts w:eastAsia="楷体_GB2312"/>
          <w:b/>
          <w:sz w:val="32"/>
          <w:szCs w:val="32"/>
          <w:highlight w:val="none"/>
        </w:rPr>
        <w:t>（一）</w:t>
      </w:r>
      <w:r>
        <w:rPr>
          <w:rFonts w:hint="eastAsia" w:eastAsia="楷体_GB2312"/>
          <w:b/>
          <w:sz w:val="32"/>
          <w:szCs w:val="32"/>
          <w:highlight w:val="none"/>
          <w:lang w:eastAsia="zh-CN"/>
        </w:rPr>
        <w:t>项目</w:t>
      </w:r>
      <w:r>
        <w:rPr>
          <w:rFonts w:eastAsia="楷体_GB2312"/>
          <w:b/>
          <w:sz w:val="32"/>
          <w:szCs w:val="32"/>
          <w:highlight w:val="none"/>
        </w:rPr>
        <w:t>支出决策情况</w:t>
      </w:r>
    </w:p>
    <w:p>
      <w:pPr>
        <w:keepNext w:val="0"/>
        <w:keepLines w:val="0"/>
        <w:pageBreakBefore w:val="0"/>
        <w:widowControl/>
        <w:suppressLineNumbers w:val="0"/>
        <w:wordWrap/>
        <w:overflowPunct/>
        <w:topLinePunct w:val="0"/>
        <w:bidi w:val="0"/>
        <w:spacing w:line="560" w:lineRule="exact"/>
        <w:ind w:firstLine="640" w:firstLineChars="200"/>
        <w:jc w:val="left"/>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b w:val="0"/>
          <w:bCs w:val="0"/>
          <w:sz w:val="32"/>
          <w:szCs w:val="32"/>
          <w:highlight w:val="none"/>
          <w:lang w:val="en-US" w:eastAsia="zh-CN"/>
        </w:rPr>
        <w:t>评价组认为该项目的立项依据充分，程序规范，该</w:t>
      </w:r>
      <w:r>
        <w:rPr>
          <w:rFonts w:hint="eastAsia" w:ascii="仿宋_GB2312" w:hAnsi="仿宋_GB2312" w:eastAsia="仿宋_GB2312" w:cs="仿宋_GB2312"/>
          <w:kern w:val="2"/>
          <w:sz w:val="32"/>
          <w:szCs w:val="32"/>
          <w:highlight w:val="none"/>
          <w:lang w:val="en-US" w:eastAsia="zh-CN" w:bidi="ar-SA"/>
        </w:rPr>
        <w:t>项目决策指标共设17分，得分17分。</w:t>
      </w:r>
    </w:p>
    <w:p>
      <w:pPr>
        <w:keepNext w:val="0"/>
        <w:keepLines w:val="0"/>
        <w:pageBreakBefore w:val="0"/>
        <w:widowControl/>
        <w:suppressLineNumbers w:val="0"/>
        <w:wordWrap/>
        <w:overflowPunct/>
        <w:topLinePunct w:val="0"/>
        <w:bidi w:val="0"/>
        <w:spacing w:line="560" w:lineRule="exact"/>
        <w:ind w:firstLine="640" w:firstLineChars="200"/>
        <w:jc w:val="left"/>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bidi="ar-SA"/>
        </w:rPr>
        <w:t>为了大力培育高新技术企业，推动高新技术产业集聚发展，2020年5月，中共邵阳市委办公室、市人民政府办公室印发了《关于实施高新技术企业倍增计划的激励措施》（邵市办发〔2020〕5号），对</w:t>
      </w:r>
      <w:r>
        <w:rPr>
          <w:rFonts w:hint="eastAsia" w:ascii="仿宋_GB2312" w:hAnsi="仿宋_GB2312" w:eastAsia="仿宋_GB2312" w:cs="仿宋_GB2312"/>
          <w:b w:val="0"/>
          <w:bCs w:val="0"/>
          <w:sz w:val="32"/>
          <w:szCs w:val="32"/>
          <w:highlight w:val="none"/>
          <w:lang w:val="en-US" w:eastAsia="zh-CN"/>
        </w:rPr>
        <w:t>新认定为高新技术企业的给予50万元奖励，对原高新技术企业再次认定的给予20万元的奖励。根据文件要求，上述奖励资金由受益财政按照市财政和市辖三区财政按6：4的比例承担，市级财政和邵阳经开区财政按3：7的比例承担。</w:t>
      </w:r>
    </w:p>
    <w:p>
      <w:pPr>
        <w:pageBreakBefore w:val="0"/>
        <w:numPr>
          <w:ilvl w:val="0"/>
          <w:numId w:val="0"/>
        </w:numPr>
        <w:wordWrap/>
        <w:overflowPunct/>
        <w:topLinePunct w:val="0"/>
        <w:bidi w:val="0"/>
        <w:spacing w:line="560" w:lineRule="exact"/>
        <w:ind w:firstLine="643" w:firstLineChars="200"/>
        <w:rPr>
          <w:rFonts w:eastAsia="楷体_GB2312"/>
          <w:b/>
          <w:sz w:val="32"/>
          <w:szCs w:val="32"/>
          <w:highlight w:val="none"/>
        </w:rPr>
      </w:pPr>
      <w:r>
        <w:rPr>
          <w:rFonts w:hint="eastAsia" w:eastAsia="楷体_GB2312"/>
          <w:b/>
          <w:sz w:val="32"/>
          <w:szCs w:val="32"/>
          <w:highlight w:val="none"/>
          <w:lang w:eastAsia="zh-CN"/>
        </w:rPr>
        <w:t>（</w:t>
      </w:r>
      <w:r>
        <w:rPr>
          <w:rFonts w:hint="eastAsia" w:eastAsia="楷体_GB2312"/>
          <w:b/>
          <w:sz w:val="32"/>
          <w:szCs w:val="32"/>
          <w:highlight w:val="none"/>
          <w:lang w:val="en-US" w:eastAsia="zh-CN"/>
        </w:rPr>
        <w:t>二</w:t>
      </w:r>
      <w:r>
        <w:rPr>
          <w:rFonts w:hint="eastAsia" w:eastAsia="楷体_GB2312"/>
          <w:b/>
          <w:sz w:val="32"/>
          <w:szCs w:val="32"/>
          <w:highlight w:val="none"/>
          <w:lang w:eastAsia="zh-CN"/>
        </w:rPr>
        <w:t>）项目</w:t>
      </w:r>
      <w:r>
        <w:rPr>
          <w:rFonts w:eastAsia="楷体_GB2312"/>
          <w:b/>
          <w:sz w:val="32"/>
          <w:szCs w:val="32"/>
          <w:highlight w:val="none"/>
        </w:rPr>
        <w:t>执行过程情况</w:t>
      </w:r>
    </w:p>
    <w:p>
      <w:pPr>
        <w:pStyle w:val="3"/>
        <w:pageBreakBefore w:val="0"/>
        <w:wordWrap/>
        <w:overflowPunct/>
        <w:topLinePunct w:val="0"/>
        <w:bidi w:val="0"/>
        <w:spacing w:line="560" w:lineRule="exact"/>
        <w:ind w:left="0" w:leftChars="0" w:firstLine="0" w:firstLineChars="0"/>
        <w:rPr>
          <w:highlight w:val="none"/>
        </w:rPr>
      </w:pPr>
      <w:r>
        <w:rPr>
          <w:rFonts w:hint="eastAsia" w:ascii="仿宋_GB2312" w:hAnsi="仿宋_GB2312" w:eastAsia="仿宋_GB2312" w:cs="仿宋_GB2312"/>
          <w:kern w:val="2"/>
          <w:sz w:val="32"/>
          <w:szCs w:val="32"/>
          <w:highlight w:val="none"/>
          <w:lang w:val="en-US" w:eastAsia="zh-CN" w:bidi="ar-SA"/>
        </w:rPr>
        <w:t xml:space="preserve">    该项目过程指标共设22分，扣分3分，得分19分。</w:t>
      </w:r>
    </w:p>
    <w:p>
      <w:pPr>
        <w:pStyle w:val="2"/>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1.资金管理情况。</w:t>
      </w:r>
      <w:r>
        <w:rPr>
          <w:rFonts w:hint="eastAsia" w:ascii="仿宋_GB2312" w:hAnsi="仿宋_GB2312" w:eastAsia="仿宋_GB2312" w:cs="仿宋_GB2312"/>
          <w:kern w:val="2"/>
          <w:sz w:val="32"/>
          <w:szCs w:val="32"/>
          <w:highlight w:val="none"/>
          <w:lang w:val="en-US" w:eastAsia="zh-CN" w:bidi="ar-SA"/>
        </w:rPr>
        <w:t>该指标主要从项目资金的到位率，项目资金的执行率，项目资金使用的合规性来考察，</w:t>
      </w:r>
      <w:r>
        <w:rPr>
          <w:rFonts w:hint="eastAsia" w:ascii="仿宋_GB2312" w:hAnsi="仿宋_GB2312" w:eastAsia="仿宋_GB2312" w:cs="仿宋_GB2312"/>
          <w:b w:val="0"/>
          <w:bCs w:val="0"/>
          <w:kern w:val="2"/>
          <w:sz w:val="32"/>
          <w:szCs w:val="32"/>
          <w:highlight w:val="none"/>
          <w:lang w:val="en-US" w:eastAsia="zh-CN" w:bidi="ar-SA"/>
        </w:rPr>
        <w:t>共12分，得分10分。</w:t>
      </w:r>
      <w:r>
        <w:rPr>
          <w:rFonts w:hint="eastAsia" w:ascii="仿宋_GB2312" w:hAnsi="仿宋_GB2312" w:eastAsia="仿宋_GB2312" w:cs="仿宋_GB2312"/>
          <w:kern w:val="2"/>
          <w:sz w:val="32"/>
          <w:szCs w:val="32"/>
          <w:highlight w:val="none"/>
          <w:lang w:val="en-US" w:eastAsia="zh-CN" w:bidi="ar-SA"/>
        </w:rPr>
        <w:t>具体情况如下：</w:t>
      </w:r>
    </w:p>
    <w:p>
      <w:pPr>
        <w:pStyle w:val="3"/>
        <w:pageBreakBefore w:val="0"/>
        <w:wordWrap/>
        <w:overflowPunct/>
        <w:topLinePunct w:val="0"/>
        <w:bidi w:val="0"/>
        <w:spacing w:line="560" w:lineRule="exact"/>
        <w:ind w:left="0" w:leftChars="0" w:firstLine="0" w:firstLineChars="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 xml:space="preserve">    2021</w:t>
      </w:r>
      <w:r>
        <w:rPr>
          <w:rFonts w:hint="eastAsia" w:ascii="仿宋" w:hAnsi="仿宋" w:eastAsia="仿宋" w:cs="仿宋"/>
          <w:kern w:val="2"/>
          <w:sz w:val="32"/>
          <w:szCs w:val="32"/>
          <w:highlight w:val="none"/>
          <w:lang w:val="en-US" w:eastAsia="zh-CN" w:bidi="ar-SA"/>
        </w:rPr>
        <w:t>年度</w:t>
      </w:r>
      <w:r>
        <w:rPr>
          <w:rFonts w:hint="eastAsia" w:ascii="仿宋_GB2312" w:hAnsi="仿宋_GB2312" w:eastAsia="仿宋_GB2312" w:cs="仿宋_GB2312"/>
          <w:kern w:val="2"/>
          <w:sz w:val="32"/>
          <w:szCs w:val="32"/>
          <w:highlight w:val="none"/>
          <w:lang w:val="en-US" w:eastAsia="zh-CN" w:bidi="ar-SA"/>
        </w:rPr>
        <w:t>到位资金1131万元，实际发放至单位资金1044万元，预算执行率92.31%；2022年度到位资金1038万元，实际发放至单位资金1035万元，预算执行率96.91%；两年平均预算执行率未达95%以上，扣1分。</w:t>
      </w:r>
    </w:p>
    <w:p>
      <w:pPr>
        <w:pageBreakBefore w:val="0"/>
        <w:wordWrap/>
        <w:overflowPunct/>
        <w:topLinePunct w:val="0"/>
        <w:bidi w:val="0"/>
        <w:spacing w:line="560" w:lineRule="exact"/>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bidi="ar-SA"/>
        </w:rPr>
        <w:t xml:space="preserve">    2021</w:t>
      </w:r>
      <w:r>
        <w:rPr>
          <w:rFonts w:hint="eastAsia" w:ascii="仿宋" w:hAnsi="仿宋" w:eastAsia="仿宋" w:cs="仿宋"/>
          <w:kern w:val="2"/>
          <w:sz w:val="32"/>
          <w:szCs w:val="32"/>
          <w:highlight w:val="none"/>
          <w:lang w:val="en-US" w:eastAsia="zh-CN" w:bidi="ar-SA"/>
        </w:rPr>
        <w:t>年度</w:t>
      </w:r>
      <w:r>
        <w:rPr>
          <w:rFonts w:hint="eastAsia" w:ascii="仿宋_GB2312" w:hAnsi="仿宋_GB2312" w:eastAsia="仿宋_GB2312" w:cs="仿宋_GB2312"/>
          <w:kern w:val="2"/>
          <w:sz w:val="32"/>
          <w:szCs w:val="32"/>
          <w:highlight w:val="none"/>
          <w:lang w:val="en-US" w:eastAsia="zh-CN" w:bidi="ar-SA"/>
        </w:rPr>
        <w:t>科技创新专项资金中双清区</w:t>
      </w:r>
      <w:r>
        <w:rPr>
          <w:rFonts w:hint="default" w:ascii="仿宋_GB2312" w:hAnsi="仿宋_GB2312" w:eastAsia="仿宋_GB2312" w:cs="仿宋_GB2312"/>
          <w:b w:val="0"/>
          <w:bCs w:val="0"/>
          <w:sz w:val="32"/>
          <w:szCs w:val="32"/>
          <w:highlight w:val="none"/>
          <w:lang w:val="en-US" w:eastAsia="zh-CN"/>
        </w:rPr>
        <w:t>湖南</w:t>
      </w:r>
      <w:r>
        <w:rPr>
          <w:rFonts w:hint="default" w:ascii="仿宋_GB2312" w:hAnsi="仿宋_GB2312" w:eastAsia="仿宋_GB2312" w:cs="仿宋_GB2312"/>
          <w:b w:val="0"/>
          <w:bCs w:val="0"/>
          <w:sz w:val="32"/>
          <w:szCs w:val="32"/>
          <w:highlight w:val="none"/>
          <w:lang w:val="en-US" w:eastAsia="zh-CN"/>
        </w:rPr>
        <w:t>康达尔农牧科技有限公司</w:t>
      </w:r>
      <w:r>
        <w:rPr>
          <w:rFonts w:hint="eastAsia" w:ascii="仿宋_GB2312" w:hAnsi="仿宋_GB2312" w:eastAsia="仿宋_GB2312" w:cs="仿宋_GB2312"/>
          <w:b w:val="0"/>
          <w:bCs w:val="0"/>
          <w:sz w:val="32"/>
          <w:szCs w:val="32"/>
          <w:highlight w:val="none"/>
          <w:lang w:val="en-US" w:eastAsia="zh-CN"/>
        </w:rPr>
        <w:t>30万元、北塔区</w:t>
      </w:r>
      <w:r>
        <w:rPr>
          <w:rFonts w:hint="default" w:ascii="仿宋_GB2312" w:hAnsi="仿宋_GB2312" w:eastAsia="仿宋_GB2312" w:cs="仿宋_GB2312"/>
          <w:b w:val="0"/>
          <w:bCs w:val="0"/>
          <w:sz w:val="32"/>
          <w:szCs w:val="32"/>
          <w:highlight w:val="none"/>
          <w:lang w:val="en-US" w:eastAsia="zh-CN"/>
        </w:rPr>
        <w:t>邵阳东信棉业有限公司</w:t>
      </w:r>
      <w:r>
        <w:rPr>
          <w:rFonts w:hint="eastAsia" w:ascii="仿宋_GB2312" w:hAnsi="仿宋_GB2312" w:eastAsia="仿宋_GB2312" w:cs="仿宋_GB2312"/>
          <w:b w:val="0"/>
          <w:bCs w:val="0"/>
          <w:sz w:val="32"/>
          <w:szCs w:val="32"/>
          <w:highlight w:val="none"/>
          <w:lang w:val="en-US" w:eastAsia="zh-CN"/>
        </w:rPr>
        <w:t>30万元因公司停产未发放到位；经济开发区</w:t>
      </w:r>
      <w:r>
        <w:rPr>
          <w:rFonts w:hint="default" w:ascii="仿宋_GB2312" w:hAnsi="仿宋_GB2312" w:eastAsia="仿宋_GB2312" w:cs="仿宋_GB2312"/>
          <w:b w:val="0"/>
          <w:bCs w:val="0"/>
          <w:sz w:val="32"/>
          <w:szCs w:val="32"/>
          <w:highlight w:val="none"/>
          <w:lang w:val="en-US" w:eastAsia="zh-CN"/>
        </w:rPr>
        <w:t>湖南宝东农牧科技股份有限公司6万元、邵阳中力纺织机械技术有限公司6万元、拓浦精工智能制造（邵阳）有限公司15万元</w:t>
      </w:r>
      <w:r>
        <w:rPr>
          <w:rFonts w:hint="eastAsia" w:ascii="仿宋_GB2312" w:hAnsi="仿宋_GB2312" w:eastAsia="仿宋_GB2312" w:cs="仿宋_GB2312"/>
          <w:b w:val="0"/>
          <w:bCs w:val="0"/>
          <w:sz w:val="32"/>
          <w:szCs w:val="32"/>
          <w:highlight w:val="none"/>
          <w:lang w:val="en-US" w:eastAsia="zh-CN"/>
        </w:rPr>
        <w:t>因欠园区借款暂未支付。2022</w:t>
      </w:r>
      <w:r>
        <w:rPr>
          <w:rFonts w:hint="eastAsia" w:ascii="仿宋" w:hAnsi="仿宋" w:eastAsia="仿宋" w:cs="仿宋"/>
          <w:kern w:val="2"/>
          <w:sz w:val="32"/>
          <w:szCs w:val="32"/>
          <w:highlight w:val="none"/>
          <w:lang w:val="en-US" w:eastAsia="zh-CN" w:bidi="ar-SA"/>
        </w:rPr>
        <w:t>年度</w:t>
      </w:r>
      <w:r>
        <w:rPr>
          <w:rFonts w:hint="eastAsia" w:ascii="仿宋_GB2312" w:hAnsi="仿宋_GB2312" w:eastAsia="仿宋_GB2312" w:cs="仿宋_GB2312"/>
          <w:b w:val="0"/>
          <w:bCs w:val="0"/>
          <w:sz w:val="32"/>
          <w:szCs w:val="32"/>
          <w:highlight w:val="none"/>
          <w:lang w:val="en-US" w:eastAsia="zh-CN"/>
        </w:rPr>
        <w:t>科技创新专项资金中经济开发区</w:t>
      </w:r>
      <w:r>
        <w:rPr>
          <w:rFonts w:hint="default" w:ascii="仿宋_GB2312" w:hAnsi="仿宋_GB2312" w:eastAsia="仿宋_GB2312" w:cs="仿宋_GB2312"/>
          <w:b w:val="0"/>
          <w:bCs w:val="0"/>
          <w:sz w:val="32"/>
          <w:szCs w:val="32"/>
          <w:highlight w:val="none"/>
          <w:lang w:val="en-US" w:eastAsia="zh-CN"/>
        </w:rPr>
        <w:t>邵阳美丽来发制品有限公司6万元、湖南飞力格科技有限公司6万元、亚洲富士电梯股份有限公司6万元、湖南方园重工机械制造有限公司15万元</w:t>
      </w:r>
      <w:r>
        <w:rPr>
          <w:rFonts w:hint="eastAsia" w:ascii="仿宋_GB2312" w:hAnsi="仿宋_GB2312" w:eastAsia="仿宋_GB2312" w:cs="仿宋_GB2312"/>
          <w:b w:val="0"/>
          <w:bCs w:val="0"/>
          <w:sz w:val="32"/>
          <w:szCs w:val="32"/>
          <w:highlight w:val="none"/>
          <w:lang w:val="en-US" w:eastAsia="zh-CN"/>
        </w:rPr>
        <w:t>因欠园区借款暂未支付。未支付到位的资金亦未履行相关手续，资金使用合规性扣1分。</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2.项目组织实施情况。</w:t>
      </w:r>
      <w:r>
        <w:rPr>
          <w:rFonts w:hint="eastAsia" w:ascii="仿宋_GB2312" w:hAnsi="仿宋_GB2312" w:eastAsia="仿宋_GB2312" w:cs="仿宋_GB2312"/>
          <w:kern w:val="2"/>
          <w:sz w:val="32"/>
          <w:szCs w:val="32"/>
          <w:highlight w:val="none"/>
          <w:lang w:val="en-US" w:eastAsia="zh-CN" w:bidi="ar-SA"/>
        </w:rPr>
        <w:t>该指标主要从项目实施单位对项目建立的有效管理机制情况进行评价，该指标分值10分，得分9分。从项目实施情况上看，奖补项目前期工作较为完善，各级科技部门能及时做好政策宣传和培训等工作，项目认定程序严谨，但存在部分奖励资金未拨付到单位亦未退回市财政局的情况，扣1分。</w:t>
      </w:r>
    </w:p>
    <w:p>
      <w:pPr>
        <w:pageBreakBefore w:val="0"/>
        <w:wordWrap/>
        <w:overflowPunct/>
        <w:topLinePunct w:val="0"/>
        <w:bidi w:val="0"/>
        <w:spacing w:line="560" w:lineRule="exact"/>
        <w:ind w:firstLine="643" w:firstLineChars="200"/>
        <w:rPr>
          <w:rFonts w:eastAsia="楷体_GB2312"/>
          <w:b/>
          <w:sz w:val="32"/>
          <w:szCs w:val="32"/>
          <w:highlight w:val="none"/>
        </w:rPr>
      </w:pPr>
      <w:r>
        <w:rPr>
          <w:rFonts w:eastAsia="楷体_GB2312"/>
          <w:b/>
          <w:sz w:val="32"/>
          <w:szCs w:val="32"/>
          <w:highlight w:val="none"/>
        </w:rPr>
        <w:t>（三）</w:t>
      </w:r>
      <w:r>
        <w:rPr>
          <w:rFonts w:hint="eastAsia" w:eastAsia="楷体_GB2312"/>
          <w:b/>
          <w:sz w:val="32"/>
          <w:szCs w:val="32"/>
          <w:highlight w:val="none"/>
          <w:lang w:eastAsia="zh-CN"/>
        </w:rPr>
        <w:t>项目</w:t>
      </w:r>
      <w:r>
        <w:rPr>
          <w:rFonts w:eastAsia="楷体_GB2312"/>
          <w:b/>
          <w:sz w:val="32"/>
          <w:szCs w:val="32"/>
          <w:highlight w:val="none"/>
        </w:rPr>
        <w:t>支出产出情况</w:t>
      </w:r>
    </w:p>
    <w:p>
      <w:pPr>
        <w:pStyle w:val="3"/>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该项目产出指标共设36分，扣分9.73分，得分26.27分。</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textAlignment w:val="auto"/>
        <w:rPr>
          <w:rFonts w:hint="default" w:ascii="仿宋_GB2312" w:hAnsi="仿宋_GB2312" w:eastAsia="仿宋_GB2312" w:cs="仿宋_GB2312"/>
          <w:kern w:val="2"/>
          <w:sz w:val="32"/>
          <w:szCs w:val="32"/>
          <w:highlight w:val="none"/>
          <w:vertAlign w:val="baseli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1.产出数量。</w:t>
      </w:r>
      <w:r>
        <w:rPr>
          <w:rFonts w:hint="eastAsia" w:ascii="仿宋_GB2312" w:hAnsi="仿宋_GB2312" w:eastAsia="仿宋_GB2312" w:cs="仿宋_GB2312"/>
          <w:kern w:val="2"/>
          <w:sz w:val="32"/>
          <w:szCs w:val="32"/>
          <w:highlight w:val="none"/>
          <w:lang w:val="en-US" w:eastAsia="zh-CN" w:bidi="ar-SA"/>
        </w:rPr>
        <w:t>该指标主要利用当年计划数量、当年实际引进高新技术企业数量、当年实际培育高新技术企业数量、当年全省平均认定高新技术企业数量、数量增长率指标来进行比较考核，该指标共12分，得分7.52分。2020</w:t>
      </w:r>
      <w:r>
        <w:rPr>
          <w:rFonts w:hint="eastAsia" w:ascii="仿宋" w:hAnsi="仿宋" w:eastAsia="仿宋" w:cs="仿宋"/>
          <w:kern w:val="2"/>
          <w:sz w:val="32"/>
          <w:szCs w:val="32"/>
          <w:highlight w:val="none"/>
          <w:lang w:val="en-US" w:eastAsia="zh-CN" w:bidi="ar-SA"/>
        </w:rPr>
        <w:t>年度</w:t>
      </w:r>
      <w:r>
        <w:rPr>
          <w:rFonts w:hint="eastAsia" w:ascii="仿宋_GB2312" w:hAnsi="仿宋_GB2312" w:eastAsia="仿宋_GB2312" w:cs="仿宋_GB2312"/>
          <w:kern w:val="2"/>
          <w:sz w:val="32"/>
          <w:szCs w:val="32"/>
          <w:highlight w:val="none"/>
          <w:lang w:val="en-US" w:eastAsia="zh-CN" w:bidi="ar-SA"/>
        </w:rPr>
        <w:t>、2021</w:t>
      </w:r>
      <w:r>
        <w:rPr>
          <w:rFonts w:hint="eastAsia" w:ascii="仿宋" w:hAnsi="仿宋" w:eastAsia="仿宋" w:cs="仿宋"/>
          <w:kern w:val="2"/>
          <w:sz w:val="32"/>
          <w:szCs w:val="32"/>
          <w:highlight w:val="none"/>
          <w:lang w:val="en-US" w:eastAsia="zh-CN" w:bidi="ar-SA"/>
        </w:rPr>
        <w:t>年度</w:t>
      </w:r>
      <w:r>
        <w:rPr>
          <w:rFonts w:hint="eastAsia" w:ascii="仿宋_GB2312" w:hAnsi="仿宋_GB2312" w:eastAsia="仿宋_GB2312" w:cs="仿宋_GB2312"/>
          <w:kern w:val="2"/>
          <w:sz w:val="32"/>
          <w:szCs w:val="32"/>
          <w:highlight w:val="none"/>
          <w:lang w:val="en-US" w:eastAsia="zh-CN" w:bidi="ar-SA"/>
        </w:rPr>
        <w:t>计划引进高新技术企业80家以上，培育高新技术企业80家以上。具体指标完成情况如下表：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89"/>
        <w:gridCol w:w="1063"/>
        <w:gridCol w:w="1063"/>
        <w:gridCol w:w="1142"/>
        <w:gridCol w:w="958"/>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8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指标</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2019</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2020</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2021</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分值</w:t>
            </w: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89" w:type="dxa"/>
            <w:vAlign w:val="top"/>
          </w:tcPr>
          <w:p>
            <w:pPr>
              <w:keepNext w:val="0"/>
              <w:keepLines w:val="0"/>
              <w:pageBreakBefore w:val="0"/>
              <w:widowControl w:val="0"/>
              <w:numPr>
                <w:ilvl w:val="0"/>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实际引进高新技术企业数量</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ind w:left="0" w:leftChars="0" w:firstLine="0" w:firstLineChars="0"/>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ind w:left="0" w:leftChars="0" w:firstLine="0" w:firstLineChars="0"/>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0</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ind w:left="0" w:leftChars="0" w:firstLine="0" w:firstLineChars="0"/>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0</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89" w:type="dxa"/>
            <w:vAlign w:val="top"/>
          </w:tcPr>
          <w:p>
            <w:pPr>
              <w:keepNext w:val="0"/>
              <w:keepLines w:val="0"/>
              <w:pageBreakBefore w:val="0"/>
              <w:widowControl w:val="0"/>
              <w:numPr>
                <w:ilvl w:val="0"/>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实际培育高新技术企业数量</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ind w:left="0" w:leftChars="0" w:firstLine="0" w:firstLineChars="0"/>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68</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ind w:left="0" w:leftChars="0" w:firstLine="0" w:firstLineChars="0"/>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185</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ind w:left="0" w:leftChars="0" w:firstLine="0" w:firstLineChars="0"/>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200</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89" w:type="dxa"/>
            <w:vAlign w:val="top"/>
          </w:tcPr>
          <w:p>
            <w:pPr>
              <w:keepNext w:val="0"/>
              <w:keepLines w:val="0"/>
              <w:pageBreakBefore w:val="0"/>
              <w:widowControl w:val="0"/>
              <w:numPr>
                <w:ilvl w:val="0"/>
                <w:numId w:val="0"/>
              </w:numPr>
              <w:kinsoku/>
              <w:wordWrap/>
              <w:overflowPunct/>
              <w:topLinePunct w:val="0"/>
              <w:autoSpaceDE/>
              <w:autoSpaceDN/>
              <w:bidi w:val="0"/>
              <w:adjustRightInd/>
              <w:spacing w:line="240" w:lineRule="auto"/>
              <w:ind w:left="0" w:leftChars="0" w:firstLine="0" w:firstLineChars="0"/>
              <w:jc w:val="left"/>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当年全省各市平均认定高新技术企业数量</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ind w:left="0" w:leftChars="0" w:firstLine="0" w:firstLineChars="0"/>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ind w:left="0" w:leftChars="0" w:firstLine="0" w:firstLineChars="0"/>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281</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ind w:left="0" w:leftChars="0" w:firstLine="0" w:firstLineChars="0"/>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332</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8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引进高新技术企业完成率</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0</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0</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w:t>
            </w: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8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培育高新技术企业完成率</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231.25%</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250%</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w:t>
            </w: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8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引进高新技术企业数量增长率</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0</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0</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w:t>
            </w: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8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培育高新技术企业数量增长率</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172.06%</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8.11%</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w:t>
            </w: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8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当年认定高新技术企业数量/当年全省各市平均认定高新技术企业数量</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65.84%</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60.24%</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4</w:t>
            </w: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3.52</w:t>
            </w:r>
          </w:p>
        </w:tc>
      </w:tr>
    </w:tbl>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2.产出质量。</w:t>
      </w:r>
      <w:r>
        <w:rPr>
          <w:rFonts w:hint="eastAsia" w:ascii="仿宋_GB2312" w:hAnsi="仿宋_GB2312" w:eastAsia="仿宋_GB2312" w:cs="仿宋_GB2312"/>
          <w:kern w:val="2"/>
          <w:sz w:val="32"/>
          <w:szCs w:val="32"/>
          <w:highlight w:val="none"/>
          <w:lang w:val="en-US" w:eastAsia="zh-CN" w:bidi="ar-SA"/>
        </w:rPr>
        <w:t>该指标主要以全市高新技术产业总产值与全省各市平均高新技术产业总产值、全市高新技术产业增加值与全省各市平均高新技术产业增加值来进行比较考核，该指标共8分，得分5.45分。具体指标完成情况如下表：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59"/>
        <w:gridCol w:w="1215"/>
        <w:gridCol w:w="1305"/>
        <w:gridCol w:w="1095"/>
        <w:gridCol w:w="1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75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指标</w:t>
            </w:r>
          </w:p>
        </w:tc>
        <w:tc>
          <w:tcPr>
            <w:tcW w:w="121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2020</w:t>
            </w:r>
          </w:p>
        </w:tc>
        <w:tc>
          <w:tcPr>
            <w:tcW w:w="130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2021</w:t>
            </w:r>
          </w:p>
        </w:tc>
        <w:tc>
          <w:tcPr>
            <w:tcW w:w="109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分值</w:t>
            </w:r>
          </w:p>
        </w:tc>
        <w:tc>
          <w:tcPr>
            <w:tcW w:w="114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75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全市高新技术产业总产值（万元）</w:t>
            </w:r>
          </w:p>
        </w:tc>
        <w:tc>
          <w:tcPr>
            <w:tcW w:w="121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1584.68</w:t>
            </w:r>
          </w:p>
        </w:tc>
        <w:tc>
          <w:tcPr>
            <w:tcW w:w="130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2158.99</w:t>
            </w:r>
          </w:p>
        </w:tc>
        <w:tc>
          <w:tcPr>
            <w:tcW w:w="109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14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75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全市高新技术产业增加值（万元）</w:t>
            </w:r>
          </w:p>
        </w:tc>
        <w:tc>
          <w:tcPr>
            <w:tcW w:w="121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446.95</w:t>
            </w:r>
          </w:p>
        </w:tc>
        <w:tc>
          <w:tcPr>
            <w:tcW w:w="130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524.77</w:t>
            </w:r>
          </w:p>
        </w:tc>
        <w:tc>
          <w:tcPr>
            <w:tcW w:w="109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14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75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全省各市平均高新技术产业总产值（万元）</w:t>
            </w:r>
          </w:p>
        </w:tc>
        <w:tc>
          <w:tcPr>
            <w:tcW w:w="121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2464.52</w:t>
            </w:r>
          </w:p>
        </w:tc>
        <w:tc>
          <w:tcPr>
            <w:tcW w:w="130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2785.29</w:t>
            </w:r>
          </w:p>
        </w:tc>
        <w:tc>
          <w:tcPr>
            <w:tcW w:w="109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14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75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全省各市平均高新技术产业增加值（万元）</w:t>
            </w:r>
          </w:p>
        </w:tc>
        <w:tc>
          <w:tcPr>
            <w:tcW w:w="121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700.02</w:t>
            </w:r>
          </w:p>
        </w:tc>
        <w:tc>
          <w:tcPr>
            <w:tcW w:w="130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785.33</w:t>
            </w:r>
          </w:p>
        </w:tc>
        <w:tc>
          <w:tcPr>
            <w:tcW w:w="109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14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75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当年全市高新技术产业总产值/当年全省各市平均高新技术产业总产值</w:t>
            </w:r>
          </w:p>
        </w:tc>
        <w:tc>
          <w:tcPr>
            <w:tcW w:w="121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64.3%</w:t>
            </w:r>
          </w:p>
        </w:tc>
        <w:tc>
          <w:tcPr>
            <w:tcW w:w="130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77.51%</w:t>
            </w:r>
          </w:p>
        </w:tc>
        <w:tc>
          <w:tcPr>
            <w:tcW w:w="109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4</w:t>
            </w:r>
          </w:p>
        </w:tc>
        <w:tc>
          <w:tcPr>
            <w:tcW w:w="114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75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当年全市高新技术产业增加值/当年全省各市全市高新技术产业增加值</w:t>
            </w:r>
          </w:p>
        </w:tc>
        <w:tc>
          <w:tcPr>
            <w:tcW w:w="121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63.85%</w:t>
            </w:r>
          </w:p>
        </w:tc>
        <w:tc>
          <w:tcPr>
            <w:tcW w:w="130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66.82%</w:t>
            </w:r>
          </w:p>
        </w:tc>
        <w:tc>
          <w:tcPr>
            <w:tcW w:w="1095"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4</w:t>
            </w:r>
          </w:p>
        </w:tc>
        <w:tc>
          <w:tcPr>
            <w:tcW w:w="114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2.61</w:t>
            </w:r>
          </w:p>
        </w:tc>
      </w:tr>
    </w:tbl>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eastAsia="楷体_GB2312"/>
          <w:b/>
          <w:sz w:val="32"/>
          <w:szCs w:val="32"/>
          <w:highlight w:val="none"/>
          <w:lang w:val="en-US" w:eastAsia="zh-CN"/>
        </w:rPr>
        <w:t>3.产出成本。</w:t>
      </w:r>
      <w:r>
        <w:rPr>
          <w:rFonts w:hint="eastAsia" w:ascii="仿宋_GB2312" w:hAnsi="仿宋_GB2312" w:eastAsia="仿宋_GB2312" w:cs="仿宋_GB2312"/>
          <w:kern w:val="2"/>
          <w:sz w:val="32"/>
          <w:szCs w:val="32"/>
          <w:highlight w:val="none"/>
          <w:lang w:val="en-US" w:eastAsia="zh-CN" w:bidi="ar-SA"/>
        </w:rPr>
        <w:t>该指标主要从实际成本与计划成本相比较来考核，该指标共8分，得分8分。该项目严格按照政策规定的文件对每家公司奖补，未发生超支现象。</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textAlignment w:val="auto"/>
        <w:rPr>
          <w:rFonts w:hint="default" w:ascii="仿宋_GB2312" w:hAnsi="仿宋_GB2312" w:eastAsia="仿宋_GB2312" w:cs="仿宋_GB2312"/>
          <w:kern w:val="2"/>
          <w:sz w:val="32"/>
          <w:szCs w:val="32"/>
          <w:highlight w:val="none"/>
          <w:lang w:val="en-US" w:eastAsia="zh-CN" w:bidi="ar-SA"/>
        </w:rPr>
      </w:pPr>
      <w:r>
        <w:rPr>
          <w:rFonts w:hint="eastAsia" w:eastAsia="楷体_GB2312"/>
          <w:b/>
          <w:sz w:val="32"/>
          <w:szCs w:val="32"/>
          <w:highlight w:val="none"/>
          <w:lang w:val="en-US" w:eastAsia="zh-CN"/>
        </w:rPr>
        <w:t>4.产出时效。</w:t>
      </w:r>
      <w:r>
        <w:rPr>
          <w:rFonts w:hint="eastAsia" w:ascii="仿宋_GB2312" w:hAnsi="仿宋_GB2312" w:eastAsia="仿宋_GB2312" w:cs="仿宋_GB2312"/>
          <w:kern w:val="2"/>
          <w:sz w:val="32"/>
          <w:szCs w:val="32"/>
          <w:highlight w:val="none"/>
          <w:lang w:val="en-US" w:eastAsia="zh-CN" w:bidi="ar-SA"/>
        </w:rPr>
        <w:t>该指标根据政府兑现奖补资金的时效性来考核，该指标共8分，得分5.3分。目前尚有9家单位未发放到位，每发现一家未发放到位扣0.3分，故扣2.7分。</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Chars="200"/>
        <w:textAlignment w:val="auto"/>
        <w:rPr>
          <w:rFonts w:eastAsia="楷体_GB2312"/>
          <w:b/>
          <w:sz w:val="32"/>
          <w:szCs w:val="32"/>
          <w:highlight w:val="none"/>
        </w:rPr>
      </w:pPr>
      <w:r>
        <w:rPr>
          <w:rFonts w:hint="eastAsia" w:eastAsia="楷体_GB2312"/>
          <w:b/>
          <w:sz w:val="32"/>
          <w:szCs w:val="32"/>
          <w:highlight w:val="none"/>
          <w:lang w:eastAsia="zh-CN"/>
        </w:rPr>
        <w:t>（</w:t>
      </w:r>
      <w:r>
        <w:rPr>
          <w:rFonts w:hint="eastAsia" w:eastAsia="楷体_GB2312"/>
          <w:b/>
          <w:sz w:val="32"/>
          <w:szCs w:val="32"/>
          <w:highlight w:val="none"/>
          <w:lang w:val="en-US" w:eastAsia="zh-CN"/>
        </w:rPr>
        <w:t>四</w:t>
      </w:r>
      <w:r>
        <w:rPr>
          <w:rFonts w:hint="eastAsia" w:eastAsia="楷体_GB2312"/>
          <w:b/>
          <w:sz w:val="32"/>
          <w:szCs w:val="32"/>
          <w:highlight w:val="none"/>
          <w:lang w:eastAsia="zh-CN"/>
        </w:rPr>
        <w:t>）项目</w:t>
      </w:r>
      <w:r>
        <w:rPr>
          <w:rFonts w:eastAsia="楷体_GB2312"/>
          <w:b/>
          <w:sz w:val="32"/>
          <w:szCs w:val="32"/>
          <w:highlight w:val="none"/>
        </w:rPr>
        <w:t>支出效益情况</w:t>
      </w:r>
    </w:p>
    <w:p>
      <w:pPr>
        <w:pStyle w:val="11"/>
        <w:pageBreakBefore w:val="0"/>
        <w:numPr>
          <w:ilvl w:val="0"/>
          <w:numId w:val="0"/>
        </w:numPr>
        <w:wordWrap/>
        <w:overflowPunct/>
        <w:topLinePunct w:val="0"/>
        <w:bidi w:val="0"/>
        <w:spacing w:line="560" w:lineRule="exact"/>
        <w:ind w:firstLine="640" w:firstLineChars="200"/>
        <w:rPr>
          <w:highlight w:val="none"/>
        </w:rPr>
      </w:pPr>
      <w:r>
        <w:rPr>
          <w:rFonts w:hint="eastAsia" w:ascii="仿宋_GB2312" w:hAnsi="仿宋_GB2312" w:eastAsia="仿宋_GB2312" w:cs="仿宋_GB2312"/>
          <w:kern w:val="2"/>
          <w:sz w:val="32"/>
          <w:szCs w:val="32"/>
          <w:highlight w:val="none"/>
          <w:lang w:val="en-US" w:eastAsia="zh-CN" w:bidi="ar-SA"/>
        </w:rPr>
        <w:t>该项目支出效益指标共设25分，扣分2.83分，得分22.17分。</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1.经济效益。</w:t>
      </w:r>
      <w:r>
        <w:rPr>
          <w:rFonts w:hint="eastAsia" w:ascii="仿宋_GB2312" w:hAnsi="仿宋_GB2312" w:eastAsia="仿宋_GB2312" w:cs="仿宋_GB2312"/>
          <w:kern w:val="2"/>
          <w:sz w:val="32"/>
          <w:szCs w:val="32"/>
          <w:highlight w:val="none"/>
          <w:lang w:val="en-US" w:eastAsia="zh-CN" w:bidi="ar-SA"/>
        </w:rPr>
        <w:t>该指标主要以全市高新技术产业营业收入、全市高新技术产业利税总额、当年全省各市平均高新技术产业营业收入、当年全省各市平均高新技术产业利税总额来进行比较考核。该指标共8分，得分6.54分。具体指标完成情况如下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89"/>
        <w:gridCol w:w="1063"/>
        <w:gridCol w:w="1063"/>
        <w:gridCol w:w="1142"/>
        <w:gridCol w:w="958"/>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指标</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2019</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2020</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2021</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分值</w:t>
            </w: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全市高新技术产业营业收入（万元）</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1575.38</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1541.11</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1931.76</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全市高新技术产业利税总额（万元）</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80.82</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99.61</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126.29</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全省各市平均高新技术产业营业收入（万元）</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2303.57</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2615.27</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全省各市平均高新技术产业利税总额（万元）</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202.20</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199.28</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全市高新技术产业营业收入增长率</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-2.18%</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25.35%</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w:t>
            </w: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当年全市高新技术产业营业收入与全省各市平均高新技术产业营业收入比率</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66.90%</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73.86%</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w:t>
            </w: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全市高新技术产业利税总额增长率</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23.25%</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26.78%</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w:t>
            </w: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9"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当年全市高新技术产业利税总额与全省各市平均高新技术产业利税总额比率</w:t>
            </w: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1063"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49.26%</w:t>
            </w:r>
          </w:p>
        </w:tc>
        <w:tc>
          <w:tcPr>
            <w:tcW w:w="1142"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63.37%</w:t>
            </w:r>
          </w:p>
        </w:tc>
        <w:tc>
          <w:tcPr>
            <w:tcW w:w="958"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w:t>
            </w:r>
          </w:p>
        </w:tc>
        <w:tc>
          <w:tcPr>
            <w:tcW w:w="1004"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1.13</w:t>
            </w:r>
          </w:p>
        </w:tc>
      </w:tr>
    </w:tbl>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2.</w:t>
      </w:r>
      <w:r>
        <w:rPr>
          <w:rFonts w:hint="eastAsia" w:ascii="仿宋_GB2312" w:hAnsi="仿宋_GB2312" w:eastAsia="仿宋_GB2312" w:cs="仿宋_GB2312"/>
          <w:b/>
          <w:bCs/>
          <w:color w:val="auto"/>
          <w:kern w:val="2"/>
          <w:sz w:val="32"/>
          <w:szCs w:val="32"/>
          <w:highlight w:val="none"/>
          <w:lang w:val="en-US" w:eastAsia="zh-CN" w:bidi="ar-SA"/>
        </w:rPr>
        <w:t>社会效益。</w:t>
      </w:r>
      <w:r>
        <w:rPr>
          <w:rFonts w:hint="eastAsia" w:ascii="仿宋_GB2312" w:hAnsi="仿宋_GB2312" w:eastAsia="仿宋_GB2312" w:cs="仿宋_GB2312"/>
          <w:kern w:val="2"/>
          <w:sz w:val="32"/>
          <w:szCs w:val="32"/>
          <w:highlight w:val="none"/>
          <w:lang w:val="en-US" w:eastAsia="zh-CN" w:bidi="ar-SA"/>
        </w:rPr>
        <w:t>该项目的实施增加了高新技术企业数量，创造了更多的就业机会，提供了各种技能水平的工作岗位，产生了良好的社会效益。该指标共6分，得分6分。</w:t>
      </w:r>
    </w:p>
    <w:p>
      <w:pPr>
        <w:pStyle w:val="16"/>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3.持续性影响。</w:t>
      </w:r>
      <w:r>
        <w:rPr>
          <w:rFonts w:hint="eastAsia" w:ascii="仿宋_GB2312" w:hAnsi="仿宋_GB2312" w:eastAsia="仿宋_GB2312" w:cs="仿宋_GB2312"/>
          <w:kern w:val="2"/>
          <w:sz w:val="32"/>
          <w:szCs w:val="32"/>
          <w:highlight w:val="none"/>
          <w:lang w:val="en-US" w:eastAsia="zh-CN" w:bidi="ar-SA"/>
        </w:rPr>
        <w:t>高新技术企业的发展推动了产业结构的升级和转型。通过引入新的技术和生产方式，提高产品质量和效率。同时，高新技术企业的竞争力提升也有效推动了整个产业链的竞争和创新，促进了经济的可持续发展。该指标共6分，得分6分。</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4.社会公众满意度。</w:t>
      </w:r>
      <w:r>
        <w:rPr>
          <w:rFonts w:hint="eastAsia" w:ascii="仿宋_GB2312" w:hAnsi="仿宋_GB2312" w:eastAsia="仿宋_GB2312" w:cs="仿宋_GB2312"/>
          <w:kern w:val="2"/>
          <w:sz w:val="32"/>
          <w:szCs w:val="32"/>
          <w:highlight w:val="none"/>
          <w:lang w:val="en-US" w:eastAsia="zh-CN" w:bidi="ar-SA"/>
        </w:rPr>
        <w:t>根据评价组进行的科技创新专项资金问卷调查结果，综合满意度72.65%。该指标共5分，得分3.63分。</w:t>
      </w:r>
    </w:p>
    <w:p>
      <w:pPr>
        <w:pStyle w:val="16"/>
        <w:keepNext w:val="0"/>
        <w:keepLines w:val="0"/>
        <w:pageBreakBefore w:val="0"/>
        <w:widowControl w:val="0"/>
        <w:kinsoku/>
        <w:wordWrap/>
        <w:overflowPunct/>
        <w:topLinePunct w:val="0"/>
        <w:autoSpaceDE/>
        <w:autoSpaceDN/>
        <w:bidi w:val="0"/>
        <w:adjustRightInd/>
        <w:spacing w:line="560" w:lineRule="exact"/>
        <w:textAlignment w:val="auto"/>
        <w:rPr>
          <w:rFonts w:eastAsia="黑体"/>
          <w:sz w:val="32"/>
          <w:szCs w:val="32"/>
          <w:highlight w:val="none"/>
        </w:rPr>
      </w:pPr>
      <w:r>
        <w:rPr>
          <w:rFonts w:eastAsia="黑体"/>
          <w:sz w:val="32"/>
          <w:szCs w:val="32"/>
          <w:highlight w:val="none"/>
        </w:rPr>
        <w:t>五、主要经验及做法、存在的问题及原因分析</w:t>
      </w:r>
    </w:p>
    <w:p>
      <w:pPr>
        <w:pStyle w:val="2"/>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Times New Roman" w:hAnsi="Times New Roman" w:eastAsia="楷体_GB2312" w:cs="Times New Roman"/>
          <w:b/>
          <w:kern w:val="2"/>
          <w:sz w:val="32"/>
          <w:szCs w:val="32"/>
          <w:highlight w:val="none"/>
          <w:lang w:val="en-US" w:eastAsia="zh-CN" w:bidi="ar-SA"/>
        </w:rPr>
      </w:pPr>
      <w:r>
        <w:rPr>
          <w:rFonts w:hint="eastAsia" w:ascii="Times New Roman" w:hAnsi="Times New Roman" w:eastAsia="楷体_GB2312" w:cs="Times New Roman"/>
          <w:b/>
          <w:kern w:val="2"/>
          <w:sz w:val="32"/>
          <w:szCs w:val="32"/>
          <w:highlight w:val="none"/>
          <w:lang w:val="en-US" w:eastAsia="zh-CN" w:bidi="ar-SA"/>
        </w:rPr>
        <w:t>（一）主要经验及做法</w:t>
      </w:r>
    </w:p>
    <w:p>
      <w:pPr>
        <w:pStyle w:val="3"/>
        <w:pageBreakBefore w:val="0"/>
        <w:wordWrap/>
        <w:overflowPunct/>
        <w:topLinePunct w:val="0"/>
        <w:bidi w:val="0"/>
        <w:spacing w:line="560" w:lineRule="exact"/>
        <w:ind w:left="0" w:leftChars="0" w:firstLine="642" w:firstLineChars="0"/>
        <w:rPr>
          <w:rFonts w:hint="eastAsia" w:ascii="宋体" w:hAnsi="宋体" w:eastAsia="宋体" w:cs="宋体"/>
          <w:sz w:val="28"/>
          <w:szCs w:val="28"/>
          <w:highlight w:val="none"/>
        </w:rPr>
      </w:pPr>
      <w:r>
        <w:rPr>
          <w:rFonts w:hint="eastAsia" w:ascii="仿宋_GB2312" w:hAnsi="仿宋_GB2312" w:eastAsia="仿宋_GB2312" w:cs="仿宋_GB2312"/>
          <w:b/>
          <w:bCs/>
          <w:kern w:val="2"/>
          <w:sz w:val="32"/>
          <w:szCs w:val="32"/>
          <w:highlight w:val="none"/>
          <w:lang w:val="en-US" w:eastAsia="zh-CN" w:bidi="ar-SA"/>
        </w:rPr>
        <w:t>1.推进产业技术创新。</w:t>
      </w:r>
      <w:r>
        <w:rPr>
          <w:rFonts w:hint="eastAsia" w:ascii="仿宋_GB2312" w:hAnsi="仿宋_GB2312" w:eastAsia="仿宋_GB2312" w:cs="仿宋_GB2312"/>
          <w:b w:val="0"/>
          <w:bCs w:val="0"/>
          <w:sz w:val="32"/>
          <w:szCs w:val="32"/>
          <w:highlight w:val="none"/>
          <w:lang w:val="en-US" w:eastAsia="zh-CN"/>
        </w:rPr>
        <w:t>实施高新技术企业倍增激励措施及平台建设奖励等政策激励，举办创新创业大赛，鼓励创业带动就业，推进了全市高新技术产业的发展，有效提高了全社会科技创新意识。</w:t>
      </w:r>
    </w:p>
    <w:p>
      <w:pPr>
        <w:pStyle w:val="11"/>
        <w:pageBreakBefore w:val="0"/>
        <w:wordWrap/>
        <w:overflowPunct/>
        <w:topLinePunct w:val="0"/>
        <w:bidi w:val="0"/>
        <w:spacing w:line="560" w:lineRule="exact"/>
        <w:ind w:left="0" w:leftChars="0" w:firstLine="643" w:firstLineChars="200"/>
        <w:rPr>
          <w:rFonts w:hint="eastAsia"/>
          <w:highlight w:val="none"/>
          <w:lang w:val="en-US" w:eastAsia="zh-CN"/>
        </w:rPr>
      </w:pPr>
      <w:r>
        <w:rPr>
          <w:rFonts w:hint="eastAsia" w:ascii="仿宋_GB2312" w:hAnsi="仿宋_GB2312" w:eastAsia="仿宋_GB2312" w:cs="仿宋_GB2312"/>
          <w:b/>
          <w:bCs/>
          <w:kern w:val="2"/>
          <w:sz w:val="32"/>
          <w:szCs w:val="32"/>
          <w:highlight w:val="none"/>
          <w:lang w:val="en-US" w:eastAsia="zh-CN" w:bidi="ar-SA"/>
        </w:rPr>
        <w:t>2.做优创新平台载体。</w:t>
      </w:r>
      <w:r>
        <w:rPr>
          <w:rFonts w:hint="eastAsia" w:ascii="仿宋_GB2312" w:hAnsi="仿宋_GB2312" w:eastAsia="仿宋_GB2312" w:cs="仿宋_GB2312"/>
          <w:kern w:val="2"/>
          <w:sz w:val="32"/>
          <w:szCs w:val="32"/>
          <w:highlight w:val="none"/>
          <w:lang w:val="en-US" w:eastAsia="zh-CN" w:bidi="ar-SA"/>
        </w:rPr>
        <w:t>着眼于高新技术企业培育和成长发展的全过程，不断强化高新技术企业源头培育和创新能力建设。鼓励大型骨干企业建立科技企业孵化器，围绕企业技术需求，开展众创活动，聚集社会资源，延伸产业链条，壮大企业规模，提升各级各类科技企业孵化器和众创空间的服务功能，在孵化科技型小微企业方面发挥作用，培育更多后备力量，为小微企业成长提供稳定支持</w:t>
      </w:r>
      <w:r>
        <w:rPr>
          <w:rFonts w:hint="eastAsia" w:ascii="仿宋_GB2312" w:hAnsi="仿宋_GB2312" w:eastAsia="仿宋_GB2312" w:cs="仿宋_GB2312"/>
          <w:b w:val="0"/>
          <w:bCs w:val="0"/>
          <w:sz w:val="32"/>
          <w:szCs w:val="32"/>
          <w:highlight w:val="none"/>
          <w:lang w:val="en-US" w:eastAsia="zh-CN"/>
        </w:rPr>
        <w:t>。</w:t>
      </w:r>
    </w:p>
    <w:p>
      <w:pPr>
        <w:pStyle w:val="2"/>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Times New Roman" w:hAnsi="Times New Roman" w:eastAsia="楷体_GB2312" w:cs="Times New Roman"/>
          <w:b/>
          <w:kern w:val="2"/>
          <w:sz w:val="32"/>
          <w:szCs w:val="32"/>
          <w:highlight w:val="none"/>
          <w:lang w:val="en-US" w:eastAsia="zh-CN" w:bidi="ar-SA"/>
        </w:rPr>
      </w:pPr>
      <w:r>
        <w:rPr>
          <w:rFonts w:hint="eastAsia" w:ascii="Times New Roman" w:hAnsi="Times New Roman" w:eastAsia="楷体_GB2312" w:cs="Times New Roman"/>
          <w:b/>
          <w:kern w:val="2"/>
          <w:sz w:val="32"/>
          <w:szCs w:val="32"/>
          <w:highlight w:val="none"/>
          <w:lang w:val="en-US" w:eastAsia="zh-CN" w:bidi="ar-SA"/>
        </w:rPr>
        <w:t>（二）存在的问题及原因分析</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textAlignment w:val="auto"/>
        <w:rPr>
          <w:rFonts w:hint="eastAsia"/>
          <w:highlight w:val="none"/>
          <w:lang w:val="en-US" w:eastAsia="zh-CN"/>
        </w:rPr>
      </w:pPr>
      <w:r>
        <w:rPr>
          <w:rFonts w:hint="eastAsia" w:ascii="仿宋_GB2312" w:hAnsi="仿宋_GB2312" w:eastAsia="仿宋_GB2312" w:cs="仿宋_GB2312"/>
          <w:b/>
          <w:bCs/>
          <w:kern w:val="2"/>
          <w:sz w:val="32"/>
          <w:szCs w:val="32"/>
          <w:highlight w:val="none"/>
          <w:lang w:val="en-US" w:eastAsia="zh-CN" w:bidi="ar-SA"/>
        </w:rPr>
        <w:t>1.</w:t>
      </w:r>
      <w:r>
        <w:rPr>
          <w:rFonts w:hint="eastAsia" w:ascii="仿宋_GB2312" w:hAnsi="仿宋_GB2312" w:eastAsia="仿宋_GB2312" w:cs="仿宋_GB2312"/>
          <w:b/>
          <w:bCs/>
          <w:sz w:val="32"/>
          <w:szCs w:val="32"/>
          <w:highlight w:val="none"/>
          <w:lang w:val="en-US" w:eastAsia="zh-CN"/>
        </w:rPr>
        <w:t>专项</w:t>
      </w:r>
      <w:r>
        <w:rPr>
          <w:rFonts w:hint="eastAsia" w:ascii="仿宋_GB2312" w:hAnsi="仿宋_GB2312" w:eastAsia="仿宋_GB2312" w:cs="仿宋_GB2312"/>
          <w:b/>
          <w:bCs/>
          <w:sz w:val="32"/>
          <w:szCs w:val="32"/>
          <w:highlight w:val="none"/>
          <w:lang w:val="en-US" w:eastAsia="zh-CN"/>
        </w:rPr>
        <w:t>资金拨付不及时。</w:t>
      </w:r>
      <w:r>
        <w:rPr>
          <w:rFonts w:hint="eastAsia" w:ascii="仿宋_GB2312" w:hAnsi="仿宋_GB2312" w:eastAsia="仿宋_GB2312" w:cs="仿宋_GB2312"/>
          <w:b w:val="0"/>
          <w:bCs w:val="0"/>
          <w:sz w:val="32"/>
          <w:szCs w:val="32"/>
          <w:highlight w:val="none"/>
          <w:lang w:val="en-US" w:eastAsia="zh-CN"/>
        </w:rPr>
        <w:t>部分高新技术企业奖励资金直至2023年5月才拨付到位。</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2.部分未支付的</w:t>
      </w:r>
      <w:r>
        <w:rPr>
          <w:rFonts w:hint="eastAsia" w:ascii="仿宋_GB2312" w:hAnsi="仿宋_GB2312" w:eastAsia="仿宋_GB2312" w:cs="仿宋_GB2312"/>
          <w:b/>
          <w:bCs/>
          <w:sz w:val="32"/>
          <w:szCs w:val="32"/>
          <w:highlight w:val="none"/>
          <w:lang w:val="en-US" w:eastAsia="zh-CN"/>
        </w:rPr>
        <w:t>专项</w:t>
      </w:r>
      <w:r>
        <w:rPr>
          <w:rFonts w:hint="eastAsia" w:ascii="仿宋_GB2312" w:hAnsi="仿宋_GB2312" w:eastAsia="仿宋_GB2312" w:cs="仿宋_GB2312"/>
          <w:b/>
          <w:bCs/>
          <w:sz w:val="32"/>
          <w:szCs w:val="32"/>
          <w:highlight w:val="none"/>
          <w:lang w:val="en-US" w:eastAsia="zh-CN"/>
        </w:rPr>
        <w:t>资金未退回市财政。</w:t>
      </w:r>
      <w:r>
        <w:rPr>
          <w:rFonts w:hint="eastAsia" w:ascii="仿宋_GB2312" w:hAnsi="仿宋_GB2312" w:eastAsia="仿宋_GB2312" w:cs="仿宋_GB2312"/>
          <w:b w:val="0"/>
          <w:bCs w:val="0"/>
          <w:sz w:val="32"/>
          <w:szCs w:val="32"/>
          <w:highlight w:val="none"/>
          <w:lang w:val="en-US" w:eastAsia="zh-CN"/>
        </w:rPr>
        <w:t>2020</w:t>
      </w:r>
      <w:r>
        <w:rPr>
          <w:rFonts w:hint="eastAsia" w:ascii="仿宋" w:hAnsi="仿宋" w:eastAsia="仿宋" w:cs="仿宋"/>
          <w:kern w:val="2"/>
          <w:sz w:val="32"/>
          <w:szCs w:val="32"/>
          <w:highlight w:val="none"/>
          <w:lang w:val="en-US" w:eastAsia="zh-CN" w:bidi="ar-SA"/>
        </w:rPr>
        <w:t>年度</w:t>
      </w:r>
      <w:r>
        <w:rPr>
          <w:rFonts w:hint="eastAsia" w:ascii="仿宋_GB2312" w:hAnsi="仿宋_GB2312" w:eastAsia="仿宋_GB2312" w:cs="仿宋_GB2312"/>
          <w:b w:val="0"/>
          <w:bCs w:val="0"/>
          <w:sz w:val="32"/>
          <w:szCs w:val="32"/>
          <w:highlight w:val="none"/>
          <w:lang w:val="en-US" w:eastAsia="zh-CN"/>
        </w:rPr>
        <w:t>发放的2019</w:t>
      </w:r>
      <w:r>
        <w:rPr>
          <w:rFonts w:hint="eastAsia" w:ascii="仿宋" w:hAnsi="仿宋" w:eastAsia="仿宋" w:cs="仿宋"/>
          <w:kern w:val="2"/>
          <w:sz w:val="32"/>
          <w:szCs w:val="32"/>
          <w:highlight w:val="none"/>
          <w:lang w:val="en-US" w:eastAsia="zh-CN" w:bidi="ar-SA"/>
        </w:rPr>
        <w:t>年度</w:t>
      </w:r>
      <w:r>
        <w:rPr>
          <w:rFonts w:hint="eastAsia" w:ascii="仿宋_GB2312" w:hAnsi="仿宋_GB2312" w:eastAsia="仿宋_GB2312" w:cs="仿宋_GB2312"/>
          <w:b w:val="0"/>
          <w:bCs w:val="0"/>
          <w:sz w:val="32"/>
          <w:szCs w:val="32"/>
          <w:highlight w:val="none"/>
          <w:lang w:val="en-US" w:eastAsia="zh-CN"/>
        </w:rPr>
        <w:t>认定的高新技术企业奖励资金中双清区湖南康达尔农牧科技公司的30万元、北塔区邵阳市东信棉业有限公司的30万元均因企业停产未拨付至单位，但是区财政亦未将未拨付的资金及时退回市财政。</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3.部分专项资金因单位欠款未拨付到位。</w:t>
      </w:r>
      <w:r>
        <w:rPr>
          <w:rFonts w:hint="eastAsia" w:ascii="仿宋_GB2312" w:hAnsi="仿宋_GB2312" w:eastAsia="仿宋_GB2312" w:cs="仿宋_GB2312"/>
          <w:b w:val="0"/>
          <w:bCs w:val="0"/>
          <w:sz w:val="32"/>
          <w:szCs w:val="32"/>
          <w:highlight w:val="none"/>
          <w:lang w:val="en-US" w:eastAsia="zh-CN"/>
        </w:rPr>
        <w:t>经开区</w:t>
      </w:r>
      <w:r>
        <w:rPr>
          <w:rFonts w:hint="default" w:ascii="仿宋_GB2312" w:hAnsi="仿宋_GB2312" w:eastAsia="仿宋_GB2312" w:cs="仿宋_GB2312"/>
          <w:b w:val="0"/>
          <w:bCs w:val="0"/>
          <w:sz w:val="32"/>
          <w:szCs w:val="32"/>
          <w:highlight w:val="none"/>
          <w:lang w:val="en-US" w:eastAsia="zh-CN"/>
        </w:rPr>
        <w:t>2020</w:t>
      </w:r>
      <w:r>
        <w:rPr>
          <w:rFonts w:hint="eastAsia" w:ascii="仿宋_GB2312" w:hAnsi="仿宋_GB2312" w:eastAsia="仿宋_GB2312" w:cs="仿宋_GB2312"/>
          <w:b w:val="0"/>
          <w:bCs w:val="0"/>
          <w:sz w:val="32"/>
          <w:szCs w:val="32"/>
          <w:highlight w:val="none"/>
          <w:lang w:val="en-US" w:eastAsia="zh-CN"/>
        </w:rPr>
        <w:t>年度</w:t>
      </w:r>
      <w:r>
        <w:rPr>
          <w:rFonts w:hint="default" w:ascii="仿宋_GB2312" w:hAnsi="仿宋_GB2312" w:eastAsia="仿宋_GB2312" w:cs="仿宋_GB2312"/>
          <w:b w:val="0"/>
          <w:bCs w:val="0"/>
          <w:sz w:val="32"/>
          <w:szCs w:val="32"/>
          <w:highlight w:val="none"/>
          <w:lang w:val="en-US" w:eastAsia="zh-CN"/>
        </w:rPr>
        <w:t>3家企业奖</w:t>
      </w:r>
      <w:r>
        <w:rPr>
          <w:rFonts w:hint="eastAsia" w:ascii="仿宋_GB2312" w:hAnsi="仿宋_GB2312" w:eastAsia="仿宋_GB2312" w:cs="仿宋_GB2312"/>
          <w:b w:val="0"/>
          <w:bCs w:val="0"/>
          <w:sz w:val="32"/>
          <w:szCs w:val="32"/>
          <w:highlight w:val="none"/>
          <w:lang w:val="en-US" w:eastAsia="zh-CN"/>
        </w:rPr>
        <w:t>励</w:t>
      </w:r>
      <w:r>
        <w:rPr>
          <w:rFonts w:hint="default" w:ascii="仿宋_GB2312" w:hAnsi="仿宋_GB2312" w:eastAsia="仿宋_GB2312" w:cs="仿宋_GB2312"/>
          <w:b w:val="0"/>
          <w:bCs w:val="0"/>
          <w:sz w:val="32"/>
          <w:szCs w:val="32"/>
          <w:highlight w:val="none"/>
          <w:lang w:val="en-US" w:eastAsia="zh-CN"/>
        </w:rPr>
        <w:t>资金27万元（湖南宝东农牧科技股份有限公司6万元、邵阳中力纺织机械技术有限公司6万元、拓浦精工智能制造（邵阳）有限公司15万元）</w:t>
      </w:r>
      <w:r>
        <w:rPr>
          <w:rFonts w:hint="eastAsia" w:ascii="仿宋_GB2312" w:hAnsi="仿宋_GB2312" w:eastAsia="仿宋_GB2312" w:cs="仿宋_GB2312"/>
          <w:b w:val="0"/>
          <w:bCs w:val="0"/>
          <w:sz w:val="32"/>
          <w:szCs w:val="32"/>
          <w:highlight w:val="none"/>
          <w:lang w:val="en-US" w:eastAsia="zh-CN"/>
        </w:rPr>
        <w:t>、2021</w:t>
      </w:r>
      <w:r>
        <w:rPr>
          <w:rFonts w:hint="eastAsia" w:ascii="仿宋" w:hAnsi="仿宋" w:eastAsia="仿宋" w:cs="仿宋"/>
          <w:kern w:val="2"/>
          <w:sz w:val="32"/>
          <w:szCs w:val="32"/>
          <w:highlight w:val="none"/>
          <w:lang w:val="en-US" w:eastAsia="zh-CN" w:bidi="ar-SA"/>
        </w:rPr>
        <w:t>年度</w:t>
      </w:r>
      <w:r>
        <w:rPr>
          <w:rFonts w:hint="default" w:ascii="仿宋_GB2312" w:hAnsi="仿宋_GB2312" w:eastAsia="仿宋_GB2312" w:cs="仿宋_GB2312"/>
          <w:b w:val="0"/>
          <w:bCs w:val="0"/>
          <w:sz w:val="32"/>
          <w:szCs w:val="32"/>
          <w:highlight w:val="none"/>
          <w:lang w:val="en-US" w:eastAsia="zh-CN"/>
        </w:rPr>
        <w:t>4家企业奖励资金33万元（邵阳美丽来发制品有限公司6万元、湖南飞力格科技有限公司6万元、亚洲富士电梯股份有限公司6万元、湖南方园重工机械制造有限公司15万元），因欠园区借款暂未拨付</w:t>
      </w:r>
      <w:r>
        <w:rPr>
          <w:rFonts w:hint="eastAsia" w:ascii="仿宋_GB2312" w:hAnsi="仿宋_GB2312" w:eastAsia="仿宋_GB2312" w:cs="仿宋_GB2312"/>
          <w:b w:val="0"/>
          <w:bCs w:val="0"/>
          <w:sz w:val="32"/>
          <w:szCs w:val="32"/>
          <w:highlight w:val="none"/>
          <w:lang w:val="en-US" w:eastAsia="zh-CN"/>
        </w:rPr>
        <w:t>至单位。</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eastAsia="黑体"/>
          <w:sz w:val="32"/>
          <w:szCs w:val="32"/>
          <w:highlight w:val="none"/>
        </w:rPr>
      </w:pPr>
      <w:r>
        <w:rPr>
          <w:rFonts w:hint="eastAsia" w:eastAsia="黑体"/>
          <w:sz w:val="32"/>
          <w:szCs w:val="32"/>
          <w:highlight w:val="none"/>
          <w:lang w:val="en-US" w:eastAsia="zh-CN"/>
        </w:rPr>
        <w:t>六、</w:t>
      </w:r>
      <w:r>
        <w:rPr>
          <w:rFonts w:eastAsia="黑体"/>
          <w:sz w:val="32"/>
          <w:szCs w:val="32"/>
          <w:highlight w:val="none"/>
        </w:rPr>
        <w:t>有关建议</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（一）加强落实科技创新专项资金的发放</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科技创新奖励资金是鼓励企业创新的有效手段，部门应强化主体责任落实，加强对企业奖补资金工作的监督，督促相关部门履行奖补资金申报、审批、监管、发放职责，确保资金能及时发放、有效使用，切实保障惠企政策落到实处，发挥其最大效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560" w:lineRule="exact"/>
        <w:ind w:right="0" w:firstLine="643" w:firstLineChars="200"/>
        <w:jc w:val="both"/>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（二）继续将高新技术企业培育作为科技支撑新旧动能转换的重要举措</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560" w:lineRule="exact"/>
        <w:ind w:right="0" w:firstLine="640" w:firstLineChars="200"/>
        <w:jc w:val="both"/>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一是继续开展科技型中小微企业创新竞技行动计划，让更多企业脱颖而出，成为高新技术企业的后备力量；二是通过通报激励、督导检查等手段，进一步强化上下联动支持高新技术企业发展的工作格局，加快推动高新技术企业认定数量和发展质量“双提升”，不断壮大新旧动能转换的生力军。</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（三）进一步完善项目预算绩效管理</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在项目预算绩效管理的工作实践中，应不断完善绩效管理机制，编制申报预算时要同时编制申报绩效目标，绩效管理目标的设定应结合单位工作的规划、部署、项目重点以及各部门职能等方面内容细化分解为具体的考核指标，使绩效评价更具针对性。</w:t>
      </w:r>
    </w:p>
    <w:p>
      <w:pPr>
        <w:pStyle w:val="11"/>
        <w:pageBreakBefore w:val="0"/>
        <w:numPr>
          <w:ilvl w:val="0"/>
          <w:numId w:val="0"/>
        </w:numPr>
        <w:wordWrap/>
        <w:overflowPunct/>
        <w:topLinePunct w:val="0"/>
        <w:bidi w:val="0"/>
        <w:spacing w:line="560" w:lineRule="exact"/>
        <w:ind w:firstLine="643" w:firstLineChars="200"/>
        <w:rPr>
          <w:rFonts w:hint="default"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（四）建议修订高新技术企业奖励政策</w:t>
      </w:r>
    </w:p>
    <w:p>
      <w:pPr>
        <w:pStyle w:val="11"/>
        <w:pageBreakBefore w:val="0"/>
        <w:numPr>
          <w:ilvl w:val="0"/>
          <w:numId w:val="0"/>
        </w:numPr>
        <w:wordWrap/>
        <w:overflowPunct/>
        <w:topLinePunct w:val="0"/>
        <w:bidi w:val="0"/>
        <w:spacing w:line="560" w:lineRule="exact"/>
        <w:ind w:firstLine="642"/>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经评价组调查，湖南其他地区对认定高新技术企业奖励资金如下表：</w:t>
      </w:r>
    </w:p>
    <w:p>
      <w:pPr>
        <w:pStyle w:val="11"/>
        <w:pageBreakBefore w:val="0"/>
        <w:numPr>
          <w:ilvl w:val="0"/>
          <w:numId w:val="0"/>
        </w:numPr>
        <w:wordWrap/>
        <w:overflowPunct/>
        <w:topLinePunct w:val="0"/>
        <w:bidi w:val="0"/>
        <w:spacing w:line="560" w:lineRule="exact"/>
        <w:ind w:firstLine="642"/>
        <w:jc w:val="right"/>
        <w:rPr>
          <w:rFonts w:hint="default"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单位：万元</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840"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地名</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首次认定</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重新认定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840"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长沙</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20</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840"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常德</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10</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840"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郴州</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20</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840"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张家界</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20</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840"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益阳</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10</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840"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永州</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20</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840"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怀化</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20</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840"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湘潭</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10</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840"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株洲</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10</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840"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衡阳</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20</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840"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岳阳</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kern w:val="2"/>
                <w:sz w:val="24"/>
                <w:szCs w:val="24"/>
                <w:highlight w:val="none"/>
                <w:vertAlign w:val="baseline"/>
                <w:lang w:val="en-US" w:eastAsia="zh-CN" w:bidi="ar-SA"/>
              </w:rPr>
              <w:t>10</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jc w:val="center"/>
              <w:textAlignment w:val="auto"/>
              <w:rPr>
                <w:rFonts w:hint="default" w:ascii="仿宋_GB2312" w:hAnsi="仿宋_GB2312" w:eastAsia="仿宋_GB2312" w:cs="仿宋_GB2312"/>
                <w:kern w:val="2"/>
                <w:sz w:val="24"/>
                <w:szCs w:val="24"/>
                <w:highlight w:val="none"/>
                <w:vertAlign w:val="baseline"/>
                <w:lang w:val="en-US" w:eastAsia="zh-CN" w:bidi="ar-SA"/>
              </w:rPr>
            </w:pPr>
          </w:p>
        </w:tc>
      </w:tr>
    </w:tbl>
    <w:p>
      <w:pPr>
        <w:pStyle w:val="11"/>
        <w:pageBreakBefore w:val="0"/>
        <w:numPr>
          <w:ilvl w:val="0"/>
          <w:numId w:val="0"/>
        </w:numPr>
        <w:wordWrap/>
        <w:overflowPunct/>
        <w:topLinePunct w:val="0"/>
        <w:bidi w:val="0"/>
        <w:spacing w:line="560" w:lineRule="exact"/>
        <w:rPr>
          <w:highlight w:val="none"/>
        </w:rPr>
      </w:pPr>
      <w:r>
        <w:rPr>
          <w:rFonts w:hint="eastAsia" w:ascii="仿宋_GB2312" w:hAnsi="仿宋_GB2312" w:eastAsia="仿宋_GB2312" w:cs="仿宋_GB2312"/>
          <w:b/>
          <w:bCs/>
          <w:kern w:val="2"/>
          <w:sz w:val="32"/>
          <w:szCs w:val="32"/>
          <w:highlight w:val="none"/>
          <w:lang w:val="en-US" w:eastAsia="zh-CN" w:bidi="ar-SA"/>
        </w:rPr>
        <w:t xml:space="preserve">  </w:t>
      </w:r>
      <w:r>
        <w:rPr>
          <w:rFonts w:hint="eastAsia" w:ascii="仿宋_GB2312" w:hAnsi="仿宋_GB2312" w:eastAsia="仿宋_GB2312" w:cs="仿宋_GB2312"/>
          <w:kern w:val="2"/>
          <w:sz w:val="32"/>
          <w:szCs w:val="32"/>
          <w:highlight w:val="none"/>
          <w:lang w:val="en-US" w:eastAsia="zh-CN" w:bidi="ar-SA"/>
        </w:rPr>
        <w:t xml:space="preserve">  评价组建议，可结合邵阳市的财政状况及邻市对高新技术企业奖励资金兑现情况修订邵阳市高新技术企业奖励政策与邻市相当。</w:t>
      </w:r>
    </w:p>
    <w:p>
      <w:pPr>
        <w:pStyle w:val="15"/>
        <w:rPr>
          <w:highlight w:val="none"/>
        </w:rPr>
      </w:pPr>
    </w:p>
    <w:p>
      <w:pPr>
        <w:pStyle w:val="15"/>
        <w:rPr>
          <w:highlight w:val="none"/>
        </w:rPr>
      </w:pPr>
    </w:p>
    <w:p>
      <w:pPr>
        <w:pStyle w:val="15"/>
        <w:rPr>
          <w:highlight w:val="none"/>
        </w:rPr>
      </w:pPr>
    </w:p>
    <w:p>
      <w:pPr>
        <w:pStyle w:val="15"/>
        <w:rPr>
          <w:highlight w:val="none"/>
        </w:rPr>
      </w:pPr>
    </w:p>
    <w:p>
      <w:pPr>
        <w:pStyle w:val="15"/>
        <w:rPr>
          <w:highlight w:val="none"/>
        </w:rPr>
      </w:pPr>
    </w:p>
    <w:p>
      <w:pPr>
        <w:pStyle w:val="15"/>
        <w:ind w:left="0" w:leftChars="0" w:firstLine="0" w:firstLineChars="0"/>
        <w:rPr>
          <w:highlight w:val="none"/>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bookmarkStart w:id="0" w:name="_GoBack"/>
      <w:bookmarkEnd w:id="0"/>
    </w:p>
    <w:sectPr>
      <w:pgSz w:w="11906" w:h="16838"/>
      <w:pgMar w:top="1440" w:right="1800" w:bottom="1440" w:left="1689"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华文新魏">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algun Gothic Semilight">
    <w:panose1 w:val="020B0502040204020203"/>
    <w:charset w:val="86"/>
    <w:family w:val="swiss"/>
    <w:pitch w:val="default"/>
    <w:sig w:usb0="900002AF" w:usb1="01D77CFB" w:usb2="00000012" w:usb3="00000000" w:csb0="203E01BD" w:csb1="D7FF0000"/>
  </w:font>
  <w:font w:name="Calibri Light">
    <w:panose1 w:val="020F0302020204030204"/>
    <w:charset w:val="00"/>
    <w:family w:val="auto"/>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lNTM2OTM0NmYwMDMwOWM3NjBlYWQ3NzM1NTdjZjYifQ=="/>
  </w:docVars>
  <w:rsids>
    <w:rsidRoot w:val="20E57054"/>
    <w:rsid w:val="0002561E"/>
    <w:rsid w:val="00046CA0"/>
    <w:rsid w:val="00060C6A"/>
    <w:rsid w:val="000E3FC3"/>
    <w:rsid w:val="001C5B17"/>
    <w:rsid w:val="002410F1"/>
    <w:rsid w:val="00300F23"/>
    <w:rsid w:val="003C468C"/>
    <w:rsid w:val="004B0D73"/>
    <w:rsid w:val="004E4A5A"/>
    <w:rsid w:val="005714C6"/>
    <w:rsid w:val="008D138C"/>
    <w:rsid w:val="00AF1302"/>
    <w:rsid w:val="00B93F2F"/>
    <w:rsid w:val="00F72CA9"/>
    <w:rsid w:val="00FD5045"/>
    <w:rsid w:val="010D6029"/>
    <w:rsid w:val="012C2953"/>
    <w:rsid w:val="015B6D94"/>
    <w:rsid w:val="015C48BA"/>
    <w:rsid w:val="01675739"/>
    <w:rsid w:val="016D6AC7"/>
    <w:rsid w:val="018207C5"/>
    <w:rsid w:val="018A7679"/>
    <w:rsid w:val="01944054"/>
    <w:rsid w:val="01981D96"/>
    <w:rsid w:val="01993D60"/>
    <w:rsid w:val="01A544B3"/>
    <w:rsid w:val="01A550D8"/>
    <w:rsid w:val="01B36BD0"/>
    <w:rsid w:val="01D408F4"/>
    <w:rsid w:val="01E4322D"/>
    <w:rsid w:val="01EB45BC"/>
    <w:rsid w:val="01EC5C3E"/>
    <w:rsid w:val="01F36FCC"/>
    <w:rsid w:val="01F42D45"/>
    <w:rsid w:val="01FF1E15"/>
    <w:rsid w:val="02317AF5"/>
    <w:rsid w:val="023870D5"/>
    <w:rsid w:val="02467A44"/>
    <w:rsid w:val="02832A46"/>
    <w:rsid w:val="02942B85"/>
    <w:rsid w:val="02CD1F13"/>
    <w:rsid w:val="02D05560"/>
    <w:rsid w:val="02D36DFE"/>
    <w:rsid w:val="02E1776D"/>
    <w:rsid w:val="02EE3C38"/>
    <w:rsid w:val="02F809F8"/>
    <w:rsid w:val="03261624"/>
    <w:rsid w:val="03327FC8"/>
    <w:rsid w:val="03367AB9"/>
    <w:rsid w:val="03435D32"/>
    <w:rsid w:val="03561F09"/>
    <w:rsid w:val="037576B9"/>
    <w:rsid w:val="038325D2"/>
    <w:rsid w:val="038B1487"/>
    <w:rsid w:val="03912F41"/>
    <w:rsid w:val="0391319F"/>
    <w:rsid w:val="03A5079A"/>
    <w:rsid w:val="03BB1D6C"/>
    <w:rsid w:val="03C2134C"/>
    <w:rsid w:val="03D1333D"/>
    <w:rsid w:val="03E33071"/>
    <w:rsid w:val="03ED0B37"/>
    <w:rsid w:val="03F31506"/>
    <w:rsid w:val="03F37758"/>
    <w:rsid w:val="03FC378E"/>
    <w:rsid w:val="041476CE"/>
    <w:rsid w:val="04722D72"/>
    <w:rsid w:val="04A15406"/>
    <w:rsid w:val="04C3537C"/>
    <w:rsid w:val="04E83035"/>
    <w:rsid w:val="050414F1"/>
    <w:rsid w:val="05092FAB"/>
    <w:rsid w:val="051A6F66"/>
    <w:rsid w:val="052E656D"/>
    <w:rsid w:val="05375C32"/>
    <w:rsid w:val="05453FE3"/>
    <w:rsid w:val="05777F14"/>
    <w:rsid w:val="057F6DC9"/>
    <w:rsid w:val="05883ED0"/>
    <w:rsid w:val="058D14E6"/>
    <w:rsid w:val="05A36F5B"/>
    <w:rsid w:val="05AB5E10"/>
    <w:rsid w:val="05BE5B43"/>
    <w:rsid w:val="05D9472B"/>
    <w:rsid w:val="060F439D"/>
    <w:rsid w:val="061E4834"/>
    <w:rsid w:val="063127B9"/>
    <w:rsid w:val="06400C4E"/>
    <w:rsid w:val="064918B1"/>
    <w:rsid w:val="064E6EC7"/>
    <w:rsid w:val="065D710A"/>
    <w:rsid w:val="0673692E"/>
    <w:rsid w:val="06783F44"/>
    <w:rsid w:val="069D1BFD"/>
    <w:rsid w:val="069D7E4F"/>
    <w:rsid w:val="06DC2725"/>
    <w:rsid w:val="06E61CA5"/>
    <w:rsid w:val="070659F4"/>
    <w:rsid w:val="07177C01"/>
    <w:rsid w:val="0765096C"/>
    <w:rsid w:val="07691ADF"/>
    <w:rsid w:val="07852DBD"/>
    <w:rsid w:val="078D7EC3"/>
    <w:rsid w:val="079B25E0"/>
    <w:rsid w:val="07CA07CF"/>
    <w:rsid w:val="07D50BE2"/>
    <w:rsid w:val="08000695"/>
    <w:rsid w:val="083E2F6B"/>
    <w:rsid w:val="084560A8"/>
    <w:rsid w:val="08512C9F"/>
    <w:rsid w:val="085C7468"/>
    <w:rsid w:val="08640C24"/>
    <w:rsid w:val="086A1FB2"/>
    <w:rsid w:val="0874698D"/>
    <w:rsid w:val="087B41C0"/>
    <w:rsid w:val="08875171"/>
    <w:rsid w:val="089F1C5C"/>
    <w:rsid w:val="08B66FA6"/>
    <w:rsid w:val="08C571E9"/>
    <w:rsid w:val="08C6543B"/>
    <w:rsid w:val="08E9737B"/>
    <w:rsid w:val="08E97F14"/>
    <w:rsid w:val="08F71A98"/>
    <w:rsid w:val="08FA6E92"/>
    <w:rsid w:val="090C4E18"/>
    <w:rsid w:val="0920650C"/>
    <w:rsid w:val="092662A7"/>
    <w:rsid w:val="092A393D"/>
    <w:rsid w:val="092D370C"/>
    <w:rsid w:val="092E1232"/>
    <w:rsid w:val="092E2FE0"/>
    <w:rsid w:val="093F51ED"/>
    <w:rsid w:val="09434CDD"/>
    <w:rsid w:val="094620D8"/>
    <w:rsid w:val="09646A02"/>
    <w:rsid w:val="09722ECD"/>
    <w:rsid w:val="09840E52"/>
    <w:rsid w:val="098C4B92"/>
    <w:rsid w:val="09A6701A"/>
    <w:rsid w:val="09AD65FB"/>
    <w:rsid w:val="09F61D50"/>
    <w:rsid w:val="09F935EE"/>
    <w:rsid w:val="0A1B3564"/>
    <w:rsid w:val="0A256191"/>
    <w:rsid w:val="0A3D5C6E"/>
    <w:rsid w:val="0A5847B8"/>
    <w:rsid w:val="0A740EC6"/>
    <w:rsid w:val="0A7E3AF3"/>
    <w:rsid w:val="0ADD6A6C"/>
    <w:rsid w:val="0AFA761E"/>
    <w:rsid w:val="0AFF7061"/>
    <w:rsid w:val="0B024724"/>
    <w:rsid w:val="0B064214"/>
    <w:rsid w:val="0B2E5519"/>
    <w:rsid w:val="0B424B21"/>
    <w:rsid w:val="0B444D3D"/>
    <w:rsid w:val="0B5807E8"/>
    <w:rsid w:val="0B5A00BC"/>
    <w:rsid w:val="0B61144B"/>
    <w:rsid w:val="0B6907B2"/>
    <w:rsid w:val="0B796FFB"/>
    <w:rsid w:val="0B865355"/>
    <w:rsid w:val="0B9A670B"/>
    <w:rsid w:val="0BAE5C3A"/>
    <w:rsid w:val="0BB21CA6"/>
    <w:rsid w:val="0BB2614A"/>
    <w:rsid w:val="0C006EB6"/>
    <w:rsid w:val="0C0A7D34"/>
    <w:rsid w:val="0C0D512F"/>
    <w:rsid w:val="0C1C35C4"/>
    <w:rsid w:val="0C216E2C"/>
    <w:rsid w:val="0C264442"/>
    <w:rsid w:val="0C4D7C21"/>
    <w:rsid w:val="0C5114BF"/>
    <w:rsid w:val="0C517711"/>
    <w:rsid w:val="0C886EAB"/>
    <w:rsid w:val="0C8F023A"/>
    <w:rsid w:val="0C9475FE"/>
    <w:rsid w:val="0C9910B8"/>
    <w:rsid w:val="0C9D2956"/>
    <w:rsid w:val="0CB3217A"/>
    <w:rsid w:val="0CCE0D62"/>
    <w:rsid w:val="0CDA189A"/>
    <w:rsid w:val="0CDD0641"/>
    <w:rsid w:val="0CE340E1"/>
    <w:rsid w:val="0CE560AB"/>
    <w:rsid w:val="0CF84031"/>
    <w:rsid w:val="0D020A0B"/>
    <w:rsid w:val="0D0E73B0"/>
    <w:rsid w:val="0D156991"/>
    <w:rsid w:val="0D183D8B"/>
    <w:rsid w:val="0D222E5C"/>
    <w:rsid w:val="0D411534"/>
    <w:rsid w:val="0D461D19"/>
    <w:rsid w:val="0D5079C9"/>
    <w:rsid w:val="0D7511DD"/>
    <w:rsid w:val="0D8552B8"/>
    <w:rsid w:val="0D927FE1"/>
    <w:rsid w:val="0D9755F8"/>
    <w:rsid w:val="0DA87805"/>
    <w:rsid w:val="0DAC149F"/>
    <w:rsid w:val="0DAE46EF"/>
    <w:rsid w:val="0DB5782C"/>
    <w:rsid w:val="0DC844B2"/>
    <w:rsid w:val="0DC857B1"/>
    <w:rsid w:val="0DDF0D4D"/>
    <w:rsid w:val="0DEB76F2"/>
    <w:rsid w:val="0DF742E8"/>
    <w:rsid w:val="0DF87FE3"/>
    <w:rsid w:val="0E0D58BA"/>
    <w:rsid w:val="0E176739"/>
    <w:rsid w:val="0E1924B1"/>
    <w:rsid w:val="0E1C2E40"/>
    <w:rsid w:val="0E2F75DE"/>
    <w:rsid w:val="0E3C619F"/>
    <w:rsid w:val="0E5C414B"/>
    <w:rsid w:val="0E63197E"/>
    <w:rsid w:val="0E7B0A75"/>
    <w:rsid w:val="0E7E40C2"/>
    <w:rsid w:val="0E833DCE"/>
    <w:rsid w:val="0EA578A0"/>
    <w:rsid w:val="0EBE6BB4"/>
    <w:rsid w:val="0ECA7307"/>
    <w:rsid w:val="0ECC7523"/>
    <w:rsid w:val="0EEF3211"/>
    <w:rsid w:val="0EF10D38"/>
    <w:rsid w:val="0EF34AB0"/>
    <w:rsid w:val="0EFA4090"/>
    <w:rsid w:val="0F0071CD"/>
    <w:rsid w:val="0F032819"/>
    <w:rsid w:val="0F07055B"/>
    <w:rsid w:val="0F072309"/>
    <w:rsid w:val="0F1113DA"/>
    <w:rsid w:val="0F16254C"/>
    <w:rsid w:val="0F3B0205"/>
    <w:rsid w:val="0F501F02"/>
    <w:rsid w:val="0F56503F"/>
    <w:rsid w:val="0F5B4403"/>
    <w:rsid w:val="0F6E05DA"/>
    <w:rsid w:val="0F807A3F"/>
    <w:rsid w:val="0F8E2A2A"/>
    <w:rsid w:val="0FA364D6"/>
    <w:rsid w:val="0FA67D74"/>
    <w:rsid w:val="0FCE1079"/>
    <w:rsid w:val="0FD3668F"/>
    <w:rsid w:val="0FD541B5"/>
    <w:rsid w:val="0FD85A54"/>
    <w:rsid w:val="0FDF3286"/>
    <w:rsid w:val="10022AD1"/>
    <w:rsid w:val="100625C1"/>
    <w:rsid w:val="101E3DAE"/>
    <w:rsid w:val="10306FED"/>
    <w:rsid w:val="103C4234"/>
    <w:rsid w:val="1041184B"/>
    <w:rsid w:val="104430E9"/>
    <w:rsid w:val="105477D0"/>
    <w:rsid w:val="105B0B5E"/>
    <w:rsid w:val="107734BE"/>
    <w:rsid w:val="1088268D"/>
    <w:rsid w:val="108F0808"/>
    <w:rsid w:val="10937656"/>
    <w:rsid w:val="10953945"/>
    <w:rsid w:val="109E0A4B"/>
    <w:rsid w:val="10A06571"/>
    <w:rsid w:val="10A818CA"/>
    <w:rsid w:val="10B66BC9"/>
    <w:rsid w:val="10D0497D"/>
    <w:rsid w:val="10F93ED3"/>
    <w:rsid w:val="11186A50"/>
    <w:rsid w:val="112B4874"/>
    <w:rsid w:val="112B492D"/>
    <w:rsid w:val="112F78F5"/>
    <w:rsid w:val="11390774"/>
    <w:rsid w:val="113D39E9"/>
    <w:rsid w:val="11427629"/>
    <w:rsid w:val="11800A8B"/>
    <w:rsid w:val="11851C0B"/>
    <w:rsid w:val="11943BFC"/>
    <w:rsid w:val="11B322D4"/>
    <w:rsid w:val="11D32976"/>
    <w:rsid w:val="12096398"/>
    <w:rsid w:val="120B0362"/>
    <w:rsid w:val="12107727"/>
    <w:rsid w:val="12141CBE"/>
    <w:rsid w:val="121865DB"/>
    <w:rsid w:val="122B630F"/>
    <w:rsid w:val="122E0441"/>
    <w:rsid w:val="12380A2C"/>
    <w:rsid w:val="12661A3D"/>
    <w:rsid w:val="126D6927"/>
    <w:rsid w:val="126F6B43"/>
    <w:rsid w:val="127A1044"/>
    <w:rsid w:val="127E6D86"/>
    <w:rsid w:val="1283614B"/>
    <w:rsid w:val="128D0D77"/>
    <w:rsid w:val="12906AB9"/>
    <w:rsid w:val="12971BF6"/>
    <w:rsid w:val="12A367ED"/>
    <w:rsid w:val="12AC38F3"/>
    <w:rsid w:val="12E3308D"/>
    <w:rsid w:val="12F72695"/>
    <w:rsid w:val="13021765"/>
    <w:rsid w:val="13143247"/>
    <w:rsid w:val="13165211"/>
    <w:rsid w:val="13394A5B"/>
    <w:rsid w:val="134A310C"/>
    <w:rsid w:val="1356385F"/>
    <w:rsid w:val="135D2E40"/>
    <w:rsid w:val="13622204"/>
    <w:rsid w:val="13645F7C"/>
    <w:rsid w:val="13653AA2"/>
    <w:rsid w:val="136C4E31"/>
    <w:rsid w:val="1379754E"/>
    <w:rsid w:val="138141B0"/>
    <w:rsid w:val="13854144"/>
    <w:rsid w:val="138A175B"/>
    <w:rsid w:val="13946135"/>
    <w:rsid w:val="13A740BB"/>
    <w:rsid w:val="13A9398F"/>
    <w:rsid w:val="13B81E24"/>
    <w:rsid w:val="13C06F2A"/>
    <w:rsid w:val="13CF716E"/>
    <w:rsid w:val="13D053C0"/>
    <w:rsid w:val="13D604FC"/>
    <w:rsid w:val="13E96481"/>
    <w:rsid w:val="13ED41C3"/>
    <w:rsid w:val="13F13588"/>
    <w:rsid w:val="142851FC"/>
    <w:rsid w:val="142E20E6"/>
    <w:rsid w:val="143067D0"/>
    <w:rsid w:val="143F2545"/>
    <w:rsid w:val="1441006B"/>
    <w:rsid w:val="144B0EEA"/>
    <w:rsid w:val="145C30F7"/>
    <w:rsid w:val="148A0469"/>
    <w:rsid w:val="14900FF3"/>
    <w:rsid w:val="14952621"/>
    <w:rsid w:val="14AF537E"/>
    <w:rsid w:val="14C842E9"/>
    <w:rsid w:val="14DE1D5E"/>
    <w:rsid w:val="14E05AD6"/>
    <w:rsid w:val="14E361B7"/>
    <w:rsid w:val="14E37374"/>
    <w:rsid w:val="14EF1875"/>
    <w:rsid w:val="14F36E07"/>
    <w:rsid w:val="153D4CD7"/>
    <w:rsid w:val="153E45AB"/>
    <w:rsid w:val="154C6CC8"/>
    <w:rsid w:val="154D47EE"/>
    <w:rsid w:val="155838BF"/>
    <w:rsid w:val="156E60BC"/>
    <w:rsid w:val="15783F61"/>
    <w:rsid w:val="15802E15"/>
    <w:rsid w:val="158169A8"/>
    <w:rsid w:val="15842905"/>
    <w:rsid w:val="158741A4"/>
    <w:rsid w:val="15973CBB"/>
    <w:rsid w:val="1598015F"/>
    <w:rsid w:val="15A308B2"/>
    <w:rsid w:val="15B17473"/>
    <w:rsid w:val="15B91DB9"/>
    <w:rsid w:val="15C90318"/>
    <w:rsid w:val="15C9656A"/>
    <w:rsid w:val="15CA1B0C"/>
    <w:rsid w:val="15D372DF"/>
    <w:rsid w:val="15D53161"/>
    <w:rsid w:val="15DF5D8E"/>
    <w:rsid w:val="15F555B1"/>
    <w:rsid w:val="15FB06EE"/>
    <w:rsid w:val="16096967"/>
    <w:rsid w:val="161B669A"/>
    <w:rsid w:val="16287735"/>
    <w:rsid w:val="1635775C"/>
    <w:rsid w:val="163C2046"/>
    <w:rsid w:val="164B49DB"/>
    <w:rsid w:val="165453C2"/>
    <w:rsid w:val="167E55A7"/>
    <w:rsid w:val="16AB5C70"/>
    <w:rsid w:val="16B339B7"/>
    <w:rsid w:val="16C136E5"/>
    <w:rsid w:val="16CE195E"/>
    <w:rsid w:val="16D26B01"/>
    <w:rsid w:val="16E15B36"/>
    <w:rsid w:val="16EC5B70"/>
    <w:rsid w:val="16F13FCB"/>
    <w:rsid w:val="16F45869"/>
    <w:rsid w:val="16F77107"/>
    <w:rsid w:val="17144548"/>
    <w:rsid w:val="171C4DC0"/>
    <w:rsid w:val="172B6DB1"/>
    <w:rsid w:val="173619DD"/>
    <w:rsid w:val="174A36DB"/>
    <w:rsid w:val="17620A24"/>
    <w:rsid w:val="17771FF6"/>
    <w:rsid w:val="1783099B"/>
    <w:rsid w:val="17876F58"/>
    <w:rsid w:val="17AC6144"/>
    <w:rsid w:val="17EE4066"/>
    <w:rsid w:val="1804388A"/>
    <w:rsid w:val="182061EA"/>
    <w:rsid w:val="182E0907"/>
    <w:rsid w:val="18371EB1"/>
    <w:rsid w:val="18502F73"/>
    <w:rsid w:val="18626802"/>
    <w:rsid w:val="186662F2"/>
    <w:rsid w:val="186E51A7"/>
    <w:rsid w:val="18756197"/>
    <w:rsid w:val="188350F6"/>
    <w:rsid w:val="188B3FAB"/>
    <w:rsid w:val="189C1D14"/>
    <w:rsid w:val="18A137CE"/>
    <w:rsid w:val="18A312F5"/>
    <w:rsid w:val="18AF5EEB"/>
    <w:rsid w:val="18BA4890"/>
    <w:rsid w:val="18D86AC4"/>
    <w:rsid w:val="18EB2C9C"/>
    <w:rsid w:val="18F338FE"/>
    <w:rsid w:val="18FB193C"/>
    <w:rsid w:val="18FE652B"/>
    <w:rsid w:val="190B50EC"/>
    <w:rsid w:val="19185113"/>
    <w:rsid w:val="191A0E8B"/>
    <w:rsid w:val="19267830"/>
    <w:rsid w:val="192F4936"/>
    <w:rsid w:val="19524AC9"/>
    <w:rsid w:val="19580D55"/>
    <w:rsid w:val="196C5B8A"/>
    <w:rsid w:val="19744A3F"/>
    <w:rsid w:val="198509FA"/>
    <w:rsid w:val="19882298"/>
    <w:rsid w:val="19924EC5"/>
    <w:rsid w:val="199B6470"/>
    <w:rsid w:val="199E2607"/>
    <w:rsid w:val="19A03A86"/>
    <w:rsid w:val="19C808E7"/>
    <w:rsid w:val="19E51499"/>
    <w:rsid w:val="19E576EB"/>
    <w:rsid w:val="19F4792E"/>
    <w:rsid w:val="19F65454"/>
    <w:rsid w:val="19FB2A6A"/>
    <w:rsid w:val="1A002777"/>
    <w:rsid w:val="1A1324AA"/>
    <w:rsid w:val="1A1A3838"/>
    <w:rsid w:val="1A393593"/>
    <w:rsid w:val="1A4F2DB6"/>
    <w:rsid w:val="1A6B5E42"/>
    <w:rsid w:val="1A9A2283"/>
    <w:rsid w:val="1AB53561"/>
    <w:rsid w:val="1ABC669E"/>
    <w:rsid w:val="1AC35C7E"/>
    <w:rsid w:val="1ACE017F"/>
    <w:rsid w:val="1AE87493"/>
    <w:rsid w:val="1AE94FB9"/>
    <w:rsid w:val="1B0818E3"/>
    <w:rsid w:val="1B0F0EC3"/>
    <w:rsid w:val="1B102545"/>
    <w:rsid w:val="1B132036"/>
    <w:rsid w:val="1B1A33C4"/>
    <w:rsid w:val="1B530684"/>
    <w:rsid w:val="1B612DA1"/>
    <w:rsid w:val="1B723200"/>
    <w:rsid w:val="1B746F78"/>
    <w:rsid w:val="1B7B0307"/>
    <w:rsid w:val="1B8371BB"/>
    <w:rsid w:val="1B9C202B"/>
    <w:rsid w:val="1BD47A17"/>
    <w:rsid w:val="1BD619E1"/>
    <w:rsid w:val="1BDC38F3"/>
    <w:rsid w:val="1BF11640"/>
    <w:rsid w:val="1BF27E9D"/>
    <w:rsid w:val="1C0D0BCA"/>
    <w:rsid w:val="1C35495A"/>
    <w:rsid w:val="1C4A1A87"/>
    <w:rsid w:val="1C5D17BA"/>
    <w:rsid w:val="1C730FDE"/>
    <w:rsid w:val="1C7D3C0B"/>
    <w:rsid w:val="1C844F99"/>
    <w:rsid w:val="1CB82E95"/>
    <w:rsid w:val="1CBB2985"/>
    <w:rsid w:val="1CBC0BD7"/>
    <w:rsid w:val="1CC932F4"/>
    <w:rsid w:val="1CD557F5"/>
    <w:rsid w:val="1CD852E5"/>
    <w:rsid w:val="1D0165EA"/>
    <w:rsid w:val="1D077978"/>
    <w:rsid w:val="1D1502E7"/>
    <w:rsid w:val="1D17405F"/>
    <w:rsid w:val="1D1D719C"/>
    <w:rsid w:val="1D232A04"/>
    <w:rsid w:val="1D2B18B9"/>
    <w:rsid w:val="1D583653"/>
    <w:rsid w:val="1D6B7F07"/>
    <w:rsid w:val="1D7768AC"/>
    <w:rsid w:val="1D7E5E8C"/>
    <w:rsid w:val="1D927B8A"/>
    <w:rsid w:val="1DA63635"/>
    <w:rsid w:val="1DC835AB"/>
    <w:rsid w:val="1DDE4B7D"/>
    <w:rsid w:val="1E012619"/>
    <w:rsid w:val="1E026ABD"/>
    <w:rsid w:val="1E087E4C"/>
    <w:rsid w:val="1E2527AC"/>
    <w:rsid w:val="1E4F7829"/>
    <w:rsid w:val="1E544E3F"/>
    <w:rsid w:val="1E5906A7"/>
    <w:rsid w:val="1E5B7F7C"/>
    <w:rsid w:val="1E5D3CF4"/>
    <w:rsid w:val="1E731769"/>
    <w:rsid w:val="1E764DB5"/>
    <w:rsid w:val="1E7828DC"/>
    <w:rsid w:val="1E8474D2"/>
    <w:rsid w:val="1E94569F"/>
    <w:rsid w:val="1E993F5D"/>
    <w:rsid w:val="1E9E60BA"/>
    <w:rsid w:val="1EA47B74"/>
    <w:rsid w:val="1EA90CE7"/>
    <w:rsid w:val="1EAB0F03"/>
    <w:rsid w:val="1EB4768C"/>
    <w:rsid w:val="1ED65854"/>
    <w:rsid w:val="1F262338"/>
    <w:rsid w:val="1F350CF1"/>
    <w:rsid w:val="1F464788"/>
    <w:rsid w:val="1F486752"/>
    <w:rsid w:val="1F4C15B1"/>
    <w:rsid w:val="1F51312D"/>
    <w:rsid w:val="1F777037"/>
    <w:rsid w:val="1F8374A1"/>
    <w:rsid w:val="1F933745"/>
    <w:rsid w:val="1F9B49C4"/>
    <w:rsid w:val="1FA92F69"/>
    <w:rsid w:val="1FB738D7"/>
    <w:rsid w:val="1FC81641"/>
    <w:rsid w:val="1FCD6C57"/>
    <w:rsid w:val="1FDC333E"/>
    <w:rsid w:val="1FE3647B"/>
    <w:rsid w:val="2027280B"/>
    <w:rsid w:val="203211B0"/>
    <w:rsid w:val="204F3B10"/>
    <w:rsid w:val="206C021E"/>
    <w:rsid w:val="207D242B"/>
    <w:rsid w:val="208714FC"/>
    <w:rsid w:val="208B2A2D"/>
    <w:rsid w:val="20914128"/>
    <w:rsid w:val="20915ED7"/>
    <w:rsid w:val="209E23A2"/>
    <w:rsid w:val="20B322F1"/>
    <w:rsid w:val="20C27C2B"/>
    <w:rsid w:val="20CC6F0F"/>
    <w:rsid w:val="20D64231"/>
    <w:rsid w:val="20D81D57"/>
    <w:rsid w:val="20DB35F6"/>
    <w:rsid w:val="20DF4E94"/>
    <w:rsid w:val="20E22BD6"/>
    <w:rsid w:val="20E57054"/>
    <w:rsid w:val="20EB0691"/>
    <w:rsid w:val="20F36E3B"/>
    <w:rsid w:val="211014F1"/>
    <w:rsid w:val="214116AB"/>
    <w:rsid w:val="2141170E"/>
    <w:rsid w:val="214178FD"/>
    <w:rsid w:val="21703D3E"/>
    <w:rsid w:val="21731A80"/>
    <w:rsid w:val="2177331E"/>
    <w:rsid w:val="219F4623"/>
    <w:rsid w:val="21C66054"/>
    <w:rsid w:val="21CD2F3E"/>
    <w:rsid w:val="21EB1616"/>
    <w:rsid w:val="21FC7CC7"/>
    <w:rsid w:val="220646A2"/>
    <w:rsid w:val="22241693"/>
    <w:rsid w:val="223F6BD2"/>
    <w:rsid w:val="22401962"/>
    <w:rsid w:val="2241392C"/>
    <w:rsid w:val="224551CB"/>
    <w:rsid w:val="224A458F"/>
    <w:rsid w:val="2254540E"/>
    <w:rsid w:val="225C42C2"/>
    <w:rsid w:val="227B299A"/>
    <w:rsid w:val="228757E3"/>
    <w:rsid w:val="228C2DF9"/>
    <w:rsid w:val="22C5630B"/>
    <w:rsid w:val="22CB1BF7"/>
    <w:rsid w:val="22D402FC"/>
    <w:rsid w:val="22E20C6B"/>
    <w:rsid w:val="22EA46D7"/>
    <w:rsid w:val="2305495A"/>
    <w:rsid w:val="2309444A"/>
    <w:rsid w:val="231F3C6E"/>
    <w:rsid w:val="232B2612"/>
    <w:rsid w:val="23353491"/>
    <w:rsid w:val="23377209"/>
    <w:rsid w:val="233A686A"/>
    <w:rsid w:val="233C481F"/>
    <w:rsid w:val="234C4337"/>
    <w:rsid w:val="234E00AF"/>
    <w:rsid w:val="23621DAC"/>
    <w:rsid w:val="236E4B2D"/>
    <w:rsid w:val="237F470C"/>
    <w:rsid w:val="238735C1"/>
    <w:rsid w:val="23A6050A"/>
    <w:rsid w:val="23A67EEB"/>
    <w:rsid w:val="23AC3027"/>
    <w:rsid w:val="23BF71FF"/>
    <w:rsid w:val="23DA1943"/>
    <w:rsid w:val="23DA5DE6"/>
    <w:rsid w:val="23DC56BB"/>
    <w:rsid w:val="23DE58D7"/>
    <w:rsid w:val="23EE245A"/>
    <w:rsid w:val="24015121"/>
    <w:rsid w:val="24150BCD"/>
    <w:rsid w:val="242A53EA"/>
    <w:rsid w:val="243C25FD"/>
    <w:rsid w:val="243F5C4A"/>
    <w:rsid w:val="244020ED"/>
    <w:rsid w:val="244A6AC8"/>
    <w:rsid w:val="246B6A3F"/>
    <w:rsid w:val="247578BD"/>
    <w:rsid w:val="24773635"/>
    <w:rsid w:val="247E2C16"/>
    <w:rsid w:val="24815A86"/>
    <w:rsid w:val="24A85EE5"/>
    <w:rsid w:val="24BD373E"/>
    <w:rsid w:val="24D10F97"/>
    <w:rsid w:val="24DB0068"/>
    <w:rsid w:val="24E32A79"/>
    <w:rsid w:val="24F627AC"/>
    <w:rsid w:val="25164BFC"/>
    <w:rsid w:val="251A0B90"/>
    <w:rsid w:val="25311A36"/>
    <w:rsid w:val="254774AC"/>
    <w:rsid w:val="254E25E8"/>
    <w:rsid w:val="25506360"/>
    <w:rsid w:val="25551BC9"/>
    <w:rsid w:val="255816B9"/>
    <w:rsid w:val="2561056D"/>
    <w:rsid w:val="256516E0"/>
    <w:rsid w:val="25757B75"/>
    <w:rsid w:val="257638ED"/>
    <w:rsid w:val="25826736"/>
    <w:rsid w:val="25A71CF8"/>
    <w:rsid w:val="25AC730F"/>
    <w:rsid w:val="25B05051"/>
    <w:rsid w:val="25C1725E"/>
    <w:rsid w:val="25D0124F"/>
    <w:rsid w:val="25D16D75"/>
    <w:rsid w:val="25E644C9"/>
    <w:rsid w:val="25EC3BAF"/>
    <w:rsid w:val="25F46BFA"/>
    <w:rsid w:val="25FE400E"/>
    <w:rsid w:val="261D1FBA"/>
    <w:rsid w:val="26235823"/>
    <w:rsid w:val="26303FE7"/>
    <w:rsid w:val="26311C0F"/>
    <w:rsid w:val="2632122E"/>
    <w:rsid w:val="263A491A"/>
    <w:rsid w:val="263C0693"/>
    <w:rsid w:val="26437C73"/>
    <w:rsid w:val="264A7253"/>
    <w:rsid w:val="264D464E"/>
    <w:rsid w:val="26527EB6"/>
    <w:rsid w:val="265754CC"/>
    <w:rsid w:val="26695200"/>
    <w:rsid w:val="26804A23"/>
    <w:rsid w:val="2694227D"/>
    <w:rsid w:val="26B95E7D"/>
    <w:rsid w:val="26BE1A0F"/>
    <w:rsid w:val="26D0702D"/>
    <w:rsid w:val="26D27249"/>
    <w:rsid w:val="26D905D7"/>
    <w:rsid w:val="26DD72EE"/>
    <w:rsid w:val="26F1147D"/>
    <w:rsid w:val="26F45411"/>
    <w:rsid w:val="270616D7"/>
    <w:rsid w:val="27090EBD"/>
    <w:rsid w:val="27157D3C"/>
    <w:rsid w:val="27247AA4"/>
    <w:rsid w:val="27391D06"/>
    <w:rsid w:val="27402404"/>
    <w:rsid w:val="27707238"/>
    <w:rsid w:val="2774457F"/>
    <w:rsid w:val="277A3B68"/>
    <w:rsid w:val="277B343D"/>
    <w:rsid w:val="277F4CDB"/>
    <w:rsid w:val="2786250D"/>
    <w:rsid w:val="27897907"/>
    <w:rsid w:val="27B32BD6"/>
    <w:rsid w:val="27B801ED"/>
    <w:rsid w:val="27BB1A8B"/>
    <w:rsid w:val="27CB7F20"/>
    <w:rsid w:val="27CC5A46"/>
    <w:rsid w:val="27D56FF1"/>
    <w:rsid w:val="27DD5EA5"/>
    <w:rsid w:val="27FC457D"/>
    <w:rsid w:val="27FF406E"/>
    <w:rsid w:val="28081174"/>
    <w:rsid w:val="28180C8B"/>
    <w:rsid w:val="281A0EA7"/>
    <w:rsid w:val="282105EF"/>
    <w:rsid w:val="284877C3"/>
    <w:rsid w:val="284F43E5"/>
    <w:rsid w:val="28757E8C"/>
    <w:rsid w:val="28812CD5"/>
    <w:rsid w:val="28893937"/>
    <w:rsid w:val="289A5B44"/>
    <w:rsid w:val="28AD1D1C"/>
    <w:rsid w:val="28AD3ACA"/>
    <w:rsid w:val="28B409B4"/>
    <w:rsid w:val="28BC1F5F"/>
    <w:rsid w:val="28CD7CC8"/>
    <w:rsid w:val="28E05C4D"/>
    <w:rsid w:val="290A0F1C"/>
    <w:rsid w:val="2944442E"/>
    <w:rsid w:val="29583A35"/>
    <w:rsid w:val="29600B3C"/>
    <w:rsid w:val="296E3259"/>
    <w:rsid w:val="29824F56"/>
    <w:rsid w:val="2987256D"/>
    <w:rsid w:val="298A7967"/>
    <w:rsid w:val="298E38FB"/>
    <w:rsid w:val="298F19EC"/>
    <w:rsid w:val="29DD182E"/>
    <w:rsid w:val="29DF4157"/>
    <w:rsid w:val="29E96D83"/>
    <w:rsid w:val="2A1A0CEB"/>
    <w:rsid w:val="2A1B4A63"/>
    <w:rsid w:val="2A2102CB"/>
    <w:rsid w:val="2A224043"/>
    <w:rsid w:val="2A2C0A1E"/>
    <w:rsid w:val="2A2E29E8"/>
    <w:rsid w:val="2A31574A"/>
    <w:rsid w:val="2A481CFC"/>
    <w:rsid w:val="2A5E151F"/>
    <w:rsid w:val="2A8D5961"/>
    <w:rsid w:val="2A955A31"/>
    <w:rsid w:val="2A9A007E"/>
    <w:rsid w:val="2A9D36CA"/>
    <w:rsid w:val="2AA35184"/>
    <w:rsid w:val="2AA607D0"/>
    <w:rsid w:val="2AA809EC"/>
    <w:rsid w:val="2AAF3B29"/>
    <w:rsid w:val="2AB078A1"/>
    <w:rsid w:val="2AC31382"/>
    <w:rsid w:val="2ACF5F79"/>
    <w:rsid w:val="2AD0584D"/>
    <w:rsid w:val="2AD25A69"/>
    <w:rsid w:val="2AD96DF8"/>
    <w:rsid w:val="2AE9690F"/>
    <w:rsid w:val="2AED4651"/>
    <w:rsid w:val="2AF91248"/>
    <w:rsid w:val="2AFB6D6E"/>
    <w:rsid w:val="2B0025D7"/>
    <w:rsid w:val="2B1971F4"/>
    <w:rsid w:val="2B27423C"/>
    <w:rsid w:val="2B485D2C"/>
    <w:rsid w:val="2B4A1AA4"/>
    <w:rsid w:val="2B595843"/>
    <w:rsid w:val="2B597F39"/>
    <w:rsid w:val="2B8A00F2"/>
    <w:rsid w:val="2B944ACD"/>
    <w:rsid w:val="2BB92785"/>
    <w:rsid w:val="2BC5112A"/>
    <w:rsid w:val="2BCA6741"/>
    <w:rsid w:val="2BDF043E"/>
    <w:rsid w:val="2BE34687"/>
    <w:rsid w:val="2BE772F2"/>
    <w:rsid w:val="2BE94E19"/>
    <w:rsid w:val="2BF51A0F"/>
    <w:rsid w:val="2BFB2D9E"/>
    <w:rsid w:val="2C0734F1"/>
    <w:rsid w:val="2C22032B"/>
    <w:rsid w:val="2C2422F5"/>
    <w:rsid w:val="2C2E6CCF"/>
    <w:rsid w:val="2C3075D9"/>
    <w:rsid w:val="2C35005E"/>
    <w:rsid w:val="2C365B84"/>
    <w:rsid w:val="2C3B13EC"/>
    <w:rsid w:val="2C4604BD"/>
    <w:rsid w:val="2C4B7881"/>
    <w:rsid w:val="2C506C46"/>
    <w:rsid w:val="2C576226"/>
    <w:rsid w:val="2C5D5807"/>
    <w:rsid w:val="2C714E0E"/>
    <w:rsid w:val="2C7A3CC3"/>
    <w:rsid w:val="2C826E81"/>
    <w:rsid w:val="2C844B41"/>
    <w:rsid w:val="2C88136C"/>
    <w:rsid w:val="2C884632"/>
    <w:rsid w:val="2C8E59C0"/>
    <w:rsid w:val="2CAE1BBE"/>
    <w:rsid w:val="2CBC0586"/>
    <w:rsid w:val="2CBC42DB"/>
    <w:rsid w:val="2CC6515A"/>
    <w:rsid w:val="2CC969F8"/>
    <w:rsid w:val="2CD0422B"/>
    <w:rsid w:val="2CF0667B"/>
    <w:rsid w:val="2CFE66A2"/>
    <w:rsid w:val="2D002E18"/>
    <w:rsid w:val="2D053ED4"/>
    <w:rsid w:val="2D067C4C"/>
    <w:rsid w:val="2D1063D5"/>
    <w:rsid w:val="2D126015"/>
    <w:rsid w:val="2D1C7470"/>
    <w:rsid w:val="2D1E0AF2"/>
    <w:rsid w:val="2D23435A"/>
    <w:rsid w:val="2D355E3C"/>
    <w:rsid w:val="2D3E73E6"/>
    <w:rsid w:val="2D7B5F44"/>
    <w:rsid w:val="2D8017AD"/>
    <w:rsid w:val="2D8C63A3"/>
    <w:rsid w:val="2D9708A4"/>
    <w:rsid w:val="2D9E1C33"/>
    <w:rsid w:val="2DAF2092"/>
    <w:rsid w:val="2DAF5BEE"/>
    <w:rsid w:val="2DC01BA9"/>
    <w:rsid w:val="2DCA6ECC"/>
    <w:rsid w:val="2DD438A6"/>
    <w:rsid w:val="2DD934D4"/>
    <w:rsid w:val="2DF301D1"/>
    <w:rsid w:val="2DFB0E33"/>
    <w:rsid w:val="2E00469C"/>
    <w:rsid w:val="2E0777D8"/>
    <w:rsid w:val="2E0979F4"/>
    <w:rsid w:val="2E224612"/>
    <w:rsid w:val="2E344FF7"/>
    <w:rsid w:val="2E3D31FA"/>
    <w:rsid w:val="2E444588"/>
    <w:rsid w:val="2E456552"/>
    <w:rsid w:val="2E4647A4"/>
    <w:rsid w:val="2E530C6F"/>
    <w:rsid w:val="2E5844D8"/>
    <w:rsid w:val="2E61338C"/>
    <w:rsid w:val="2E627104"/>
    <w:rsid w:val="2E642E7C"/>
    <w:rsid w:val="2E6B03A7"/>
    <w:rsid w:val="2E6C1D31"/>
    <w:rsid w:val="2E813A2E"/>
    <w:rsid w:val="2E89343E"/>
    <w:rsid w:val="2E8A3481"/>
    <w:rsid w:val="2E8B0409"/>
    <w:rsid w:val="2EA74B17"/>
    <w:rsid w:val="2EA9088F"/>
    <w:rsid w:val="2EB37960"/>
    <w:rsid w:val="2EC229DE"/>
    <w:rsid w:val="2EC61441"/>
    <w:rsid w:val="2EC658E5"/>
    <w:rsid w:val="2ED973C6"/>
    <w:rsid w:val="2EDF69A7"/>
    <w:rsid w:val="2EE8585B"/>
    <w:rsid w:val="2EF57F78"/>
    <w:rsid w:val="2EFA4D35"/>
    <w:rsid w:val="2EFE0BDB"/>
    <w:rsid w:val="2F0B779C"/>
    <w:rsid w:val="2F104DB2"/>
    <w:rsid w:val="2F2F348A"/>
    <w:rsid w:val="2F326AD7"/>
    <w:rsid w:val="2F590507"/>
    <w:rsid w:val="2F5F53F2"/>
    <w:rsid w:val="2F6A162A"/>
    <w:rsid w:val="2F8B61E7"/>
    <w:rsid w:val="2FAD3008"/>
    <w:rsid w:val="2FDB2CCA"/>
    <w:rsid w:val="2FE9188B"/>
    <w:rsid w:val="2FEF49C8"/>
    <w:rsid w:val="2FFD0E93"/>
    <w:rsid w:val="30087837"/>
    <w:rsid w:val="30201025"/>
    <w:rsid w:val="30227F2D"/>
    <w:rsid w:val="303845C1"/>
    <w:rsid w:val="303B7C0D"/>
    <w:rsid w:val="303D1BD7"/>
    <w:rsid w:val="304940D8"/>
    <w:rsid w:val="304E16EE"/>
    <w:rsid w:val="3069477A"/>
    <w:rsid w:val="30B04157"/>
    <w:rsid w:val="30BA4FD6"/>
    <w:rsid w:val="30CD2F5B"/>
    <w:rsid w:val="30E67B79"/>
    <w:rsid w:val="30FC55EE"/>
    <w:rsid w:val="311F12DD"/>
    <w:rsid w:val="313F1751"/>
    <w:rsid w:val="317C04DD"/>
    <w:rsid w:val="31A16195"/>
    <w:rsid w:val="31A43590"/>
    <w:rsid w:val="31AA6DF8"/>
    <w:rsid w:val="31BA2149"/>
    <w:rsid w:val="31C3610C"/>
    <w:rsid w:val="31C418C9"/>
    <w:rsid w:val="31CC3212"/>
    <w:rsid w:val="31D10829"/>
    <w:rsid w:val="31FE456F"/>
    <w:rsid w:val="31FE7144"/>
    <w:rsid w:val="320A3D3B"/>
    <w:rsid w:val="320F30FF"/>
    <w:rsid w:val="320F4EAD"/>
    <w:rsid w:val="321C75CA"/>
    <w:rsid w:val="32252923"/>
    <w:rsid w:val="3240775C"/>
    <w:rsid w:val="32430FFB"/>
    <w:rsid w:val="327318E0"/>
    <w:rsid w:val="327537CE"/>
    <w:rsid w:val="328C4750"/>
    <w:rsid w:val="32A01FA9"/>
    <w:rsid w:val="32A61CB5"/>
    <w:rsid w:val="32B819E9"/>
    <w:rsid w:val="32BF0681"/>
    <w:rsid w:val="32D0288E"/>
    <w:rsid w:val="32EE0F67"/>
    <w:rsid w:val="32F02F31"/>
    <w:rsid w:val="33185FE3"/>
    <w:rsid w:val="33266952"/>
    <w:rsid w:val="3330157F"/>
    <w:rsid w:val="33353039"/>
    <w:rsid w:val="33576B0C"/>
    <w:rsid w:val="335A484E"/>
    <w:rsid w:val="33775400"/>
    <w:rsid w:val="33833DA5"/>
    <w:rsid w:val="339C6C14"/>
    <w:rsid w:val="33A37FA3"/>
    <w:rsid w:val="33AD7074"/>
    <w:rsid w:val="33B418C2"/>
    <w:rsid w:val="33BA709B"/>
    <w:rsid w:val="33E84E54"/>
    <w:rsid w:val="33F07DF3"/>
    <w:rsid w:val="341D5FA7"/>
    <w:rsid w:val="342F7A89"/>
    <w:rsid w:val="34425A0E"/>
    <w:rsid w:val="344374B7"/>
    <w:rsid w:val="344828F8"/>
    <w:rsid w:val="345C0152"/>
    <w:rsid w:val="345D45F6"/>
    <w:rsid w:val="345E3ECA"/>
    <w:rsid w:val="346A6D13"/>
    <w:rsid w:val="346C65E7"/>
    <w:rsid w:val="34757B91"/>
    <w:rsid w:val="347E631A"/>
    <w:rsid w:val="348953EB"/>
    <w:rsid w:val="34897199"/>
    <w:rsid w:val="348F22D5"/>
    <w:rsid w:val="34AA710F"/>
    <w:rsid w:val="34AB1511"/>
    <w:rsid w:val="34C579A3"/>
    <w:rsid w:val="34C91C8B"/>
    <w:rsid w:val="34D32B0A"/>
    <w:rsid w:val="34DE44FF"/>
    <w:rsid w:val="35002F4D"/>
    <w:rsid w:val="35095963"/>
    <w:rsid w:val="350E58F0"/>
    <w:rsid w:val="35327830"/>
    <w:rsid w:val="35357321"/>
    <w:rsid w:val="353A13FA"/>
    <w:rsid w:val="355D687E"/>
    <w:rsid w:val="35645510"/>
    <w:rsid w:val="35690D78"/>
    <w:rsid w:val="3569521C"/>
    <w:rsid w:val="358D0F0B"/>
    <w:rsid w:val="3592207D"/>
    <w:rsid w:val="3599165E"/>
    <w:rsid w:val="35D26F03"/>
    <w:rsid w:val="35D703D8"/>
    <w:rsid w:val="35D97CAC"/>
    <w:rsid w:val="35DE1766"/>
    <w:rsid w:val="35DF103A"/>
    <w:rsid w:val="35EA1F7D"/>
    <w:rsid w:val="35F72828"/>
    <w:rsid w:val="3600792F"/>
    <w:rsid w:val="360B1E2F"/>
    <w:rsid w:val="36257DF1"/>
    <w:rsid w:val="362F1FC2"/>
    <w:rsid w:val="36415851"/>
    <w:rsid w:val="364C4922"/>
    <w:rsid w:val="36513CE6"/>
    <w:rsid w:val="365612FD"/>
    <w:rsid w:val="36626903"/>
    <w:rsid w:val="367125DA"/>
    <w:rsid w:val="36A302BA"/>
    <w:rsid w:val="36A77DAA"/>
    <w:rsid w:val="36B8746F"/>
    <w:rsid w:val="36BF3346"/>
    <w:rsid w:val="36CE3589"/>
    <w:rsid w:val="36DA0180"/>
    <w:rsid w:val="36E92171"/>
    <w:rsid w:val="36EE7787"/>
    <w:rsid w:val="37073D54"/>
    <w:rsid w:val="370C2303"/>
    <w:rsid w:val="37184804"/>
    <w:rsid w:val="37270EEB"/>
    <w:rsid w:val="372E0023"/>
    <w:rsid w:val="37403D5B"/>
    <w:rsid w:val="375A12C0"/>
    <w:rsid w:val="375F0685"/>
    <w:rsid w:val="37645C9B"/>
    <w:rsid w:val="377A726D"/>
    <w:rsid w:val="377F0D27"/>
    <w:rsid w:val="378D6FA0"/>
    <w:rsid w:val="379655A3"/>
    <w:rsid w:val="379A346B"/>
    <w:rsid w:val="379E73FF"/>
    <w:rsid w:val="37BA1D5F"/>
    <w:rsid w:val="37C404E8"/>
    <w:rsid w:val="37D01583"/>
    <w:rsid w:val="37D03331"/>
    <w:rsid w:val="37F05781"/>
    <w:rsid w:val="37FC2378"/>
    <w:rsid w:val="37FE39FA"/>
    <w:rsid w:val="382543C0"/>
    <w:rsid w:val="382B0567"/>
    <w:rsid w:val="382D2531"/>
    <w:rsid w:val="384C6E5B"/>
    <w:rsid w:val="38507FCD"/>
    <w:rsid w:val="38563836"/>
    <w:rsid w:val="38594E66"/>
    <w:rsid w:val="38613F89"/>
    <w:rsid w:val="38685317"/>
    <w:rsid w:val="389B749B"/>
    <w:rsid w:val="38AD71CE"/>
    <w:rsid w:val="38C06F01"/>
    <w:rsid w:val="38CC58A6"/>
    <w:rsid w:val="38DB1F8D"/>
    <w:rsid w:val="38E057F5"/>
    <w:rsid w:val="38EA11EC"/>
    <w:rsid w:val="38F65019"/>
    <w:rsid w:val="38F80D91"/>
    <w:rsid w:val="390019F4"/>
    <w:rsid w:val="391D41BC"/>
    <w:rsid w:val="391D4354"/>
    <w:rsid w:val="392E030F"/>
    <w:rsid w:val="39315C6A"/>
    <w:rsid w:val="393671C3"/>
    <w:rsid w:val="397523E2"/>
    <w:rsid w:val="39755F3E"/>
    <w:rsid w:val="398919E9"/>
    <w:rsid w:val="398E6FFF"/>
    <w:rsid w:val="39AE1450"/>
    <w:rsid w:val="39B50A30"/>
    <w:rsid w:val="39D569DC"/>
    <w:rsid w:val="39DF5AAD"/>
    <w:rsid w:val="39F552D0"/>
    <w:rsid w:val="3A0E55C0"/>
    <w:rsid w:val="3A1F234D"/>
    <w:rsid w:val="3A2160C5"/>
    <w:rsid w:val="3A2A31CC"/>
    <w:rsid w:val="3A557B1D"/>
    <w:rsid w:val="3A6A61E5"/>
    <w:rsid w:val="3A7129B2"/>
    <w:rsid w:val="3A7D4B77"/>
    <w:rsid w:val="3AB26D1E"/>
    <w:rsid w:val="3AE315CD"/>
    <w:rsid w:val="3AE96BE3"/>
    <w:rsid w:val="3AEA4709"/>
    <w:rsid w:val="3AEF1D20"/>
    <w:rsid w:val="3AF86E26"/>
    <w:rsid w:val="3AFD268F"/>
    <w:rsid w:val="3B005CDB"/>
    <w:rsid w:val="3B043A1D"/>
    <w:rsid w:val="3B223EA3"/>
    <w:rsid w:val="3B253993"/>
    <w:rsid w:val="3B27770B"/>
    <w:rsid w:val="3B343BD6"/>
    <w:rsid w:val="3B506C62"/>
    <w:rsid w:val="3B533935"/>
    <w:rsid w:val="3B5F6EA5"/>
    <w:rsid w:val="3B697D24"/>
    <w:rsid w:val="3B6C15C2"/>
    <w:rsid w:val="3B7A783B"/>
    <w:rsid w:val="3B8B1A48"/>
    <w:rsid w:val="3BA90120"/>
    <w:rsid w:val="3BAE1BDB"/>
    <w:rsid w:val="3BC35686"/>
    <w:rsid w:val="3BC9431F"/>
    <w:rsid w:val="3BEE0229"/>
    <w:rsid w:val="3C017F5D"/>
    <w:rsid w:val="3C074E47"/>
    <w:rsid w:val="3C0812EB"/>
    <w:rsid w:val="3C157564"/>
    <w:rsid w:val="3C21415B"/>
    <w:rsid w:val="3C3976F6"/>
    <w:rsid w:val="3C410359"/>
    <w:rsid w:val="3C44609B"/>
    <w:rsid w:val="3C463BC1"/>
    <w:rsid w:val="3C593FF1"/>
    <w:rsid w:val="3C5E0F0B"/>
    <w:rsid w:val="3C6D114E"/>
    <w:rsid w:val="3C6D55F2"/>
    <w:rsid w:val="3C793F97"/>
    <w:rsid w:val="3C7B7D0F"/>
    <w:rsid w:val="3C7D18AB"/>
    <w:rsid w:val="3C7F70D3"/>
    <w:rsid w:val="3C926E07"/>
    <w:rsid w:val="3C9E1C4F"/>
    <w:rsid w:val="3CA60B04"/>
    <w:rsid w:val="3CAB7EC8"/>
    <w:rsid w:val="3CB054DF"/>
    <w:rsid w:val="3CC52D38"/>
    <w:rsid w:val="3CD016DD"/>
    <w:rsid w:val="3CF90C34"/>
    <w:rsid w:val="3D033860"/>
    <w:rsid w:val="3D0870C9"/>
    <w:rsid w:val="3D0A4BEF"/>
    <w:rsid w:val="3D0F34BF"/>
    <w:rsid w:val="3D22018A"/>
    <w:rsid w:val="3D232155"/>
    <w:rsid w:val="3D2832C7"/>
    <w:rsid w:val="3D324146"/>
    <w:rsid w:val="3D3305EA"/>
    <w:rsid w:val="3D3D63E7"/>
    <w:rsid w:val="3D4445A5"/>
    <w:rsid w:val="3D4E7E17"/>
    <w:rsid w:val="3D624A2B"/>
    <w:rsid w:val="3D6A1B31"/>
    <w:rsid w:val="3D7604D6"/>
    <w:rsid w:val="3DA54918"/>
    <w:rsid w:val="3DB01C3A"/>
    <w:rsid w:val="3DBF1E7D"/>
    <w:rsid w:val="3DC15BF5"/>
    <w:rsid w:val="3DE11DF4"/>
    <w:rsid w:val="3DE23776"/>
    <w:rsid w:val="3DEA51E7"/>
    <w:rsid w:val="3DEB0EC4"/>
    <w:rsid w:val="3DEB4A20"/>
    <w:rsid w:val="3DF24001"/>
    <w:rsid w:val="3E133F77"/>
    <w:rsid w:val="3E4E2FF9"/>
    <w:rsid w:val="3E642A25"/>
    <w:rsid w:val="3E734A16"/>
    <w:rsid w:val="3E8135D7"/>
    <w:rsid w:val="3E9A01F4"/>
    <w:rsid w:val="3E9A6446"/>
    <w:rsid w:val="3EB017C6"/>
    <w:rsid w:val="3EB56DDC"/>
    <w:rsid w:val="3EB70DA6"/>
    <w:rsid w:val="3EBC016B"/>
    <w:rsid w:val="3EBE3EE3"/>
    <w:rsid w:val="3EC62D97"/>
    <w:rsid w:val="3ED656D0"/>
    <w:rsid w:val="3EDA6843"/>
    <w:rsid w:val="3F010273"/>
    <w:rsid w:val="3F0B4C4E"/>
    <w:rsid w:val="3F4B392D"/>
    <w:rsid w:val="3F5D36FC"/>
    <w:rsid w:val="3F6A7BC7"/>
    <w:rsid w:val="3FA4060B"/>
    <w:rsid w:val="3FA532F5"/>
    <w:rsid w:val="3FB157F6"/>
    <w:rsid w:val="3FC574F3"/>
    <w:rsid w:val="3FE47979"/>
    <w:rsid w:val="3FF37BBC"/>
    <w:rsid w:val="3FF658FE"/>
    <w:rsid w:val="3FF676AC"/>
    <w:rsid w:val="3FF73B50"/>
    <w:rsid w:val="400022D9"/>
    <w:rsid w:val="401364B0"/>
    <w:rsid w:val="40204729"/>
    <w:rsid w:val="40330901"/>
    <w:rsid w:val="40354679"/>
    <w:rsid w:val="4044666A"/>
    <w:rsid w:val="404D19C2"/>
    <w:rsid w:val="405368AD"/>
    <w:rsid w:val="405A5E8D"/>
    <w:rsid w:val="405F416C"/>
    <w:rsid w:val="406C133E"/>
    <w:rsid w:val="40774C91"/>
    <w:rsid w:val="409475F1"/>
    <w:rsid w:val="409A44DC"/>
    <w:rsid w:val="40A11D0E"/>
    <w:rsid w:val="40A31410"/>
    <w:rsid w:val="40B05AAD"/>
    <w:rsid w:val="40C672BD"/>
    <w:rsid w:val="40CC28DC"/>
    <w:rsid w:val="40D519B8"/>
    <w:rsid w:val="40FB141E"/>
    <w:rsid w:val="41166258"/>
    <w:rsid w:val="411C3143"/>
    <w:rsid w:val="41285F8B"/>
    <w:rsid w:val="41322966"/>
    <w:rsid w:val="41391F47"/>
    <w:rsid w:val="413E3084"/>
    <w:rsid w:val="414E184C"/>
    <w:rsid w:val="41520FC3"/>
    <w:rsid w:val="4177481D"/>
    <w:rsid w:val="418C2076"/>
    <w:rsid w:val="41911D83"/>
    <w:rsid w:val="41990C37"/>
    <w:rsid w:val="41A27AEC"/>
    <w:rsid w:val="41AA2E44"/>
    <w:rsid w:val="41AA69A0"/>
    <w:rsid w:val="41AD023F"/>
    <w:rsid w:val="41BD2B78"/>
    <w:rsid w:val="41C8004E"/>
    <w:rsid w:val="41C95079"/>
    <w:rsid w:val="41D81760"/>
    <w:rsid w:val="41E9571B"/>
    <w:rsid w:val="41F61BE6"/>
    <w:rsid w:val="41F97455"/>
    <w:rsid w:val="420C765B"/>
    <w:rsid w:val="42156510"/>
    <w:rsid w:val="4222518C"/>
    <w:rsid w:val="422F6EA6"/>
    <w:rsid w:val="423D5A66"/>
    <w:rsid w:val="4246491B"/>
    <w:rsid w:val="424961B9"/>
    <w:rsid w:val="425828A0"/>
    <w:rsid w:val="42664FBD"/>
    <w:rsid w:val="42925DB2"/>
    <w:rsid w:val="429F5DD9"/>
    <w:rsid w:val="42B15B0D"/>
    <w:rsid w:val="42C341BE"/>
    <w:rsid w:val="42D40179"/>
    <w:rsid w:val="42DF267A"/>
    <w:rsid w:val="42FD18E1"/>
    <w:rsid w:val="43023801"/>
    <w:rsid w:val="431E31A2"/>
    <w:rsid w:val="43217136"/>
    <w:rsid w:val="432307B8"/>
    <w:rsid w:val="43282273"/>
    <w:rsid w:val="433842F0"/>
    <w:rsid w:val="436A288B"/>
    <w:rsid w:val="436F1C50"/>
    <w:rsid w:val="437C436D"/>
    <w:rsid w:val="43931DE2"/>
    <w:rsid w:val="43AC4C52"/>
    <w:rsid w:val="43B9111D"/>
    <w:rsid w:val="43C04259"/>
    <w:rsid w:val="43D249D4"/>
    <w:rsid w:val="43D95BBA"/>
    <w:rsid w:val="43E4263E"/>
    <w:rsid w:val="43F16B09"/>
    <w:rsid w:val="43F263DD"/>
    <w:rsid w:val="43F65E72"/>
    <w:rsid w:val="440B052F"/>
    <w:rsid w:val="442962A2"/>
    <w:rsid w:val="444906F3"/>
    <w:rsid w:val="44627A06"/>
    <w:rsid w:val="448B4867"/>
    <w:rsid w:val="448E25A9"/>
    <w:rsid w:val="44957494"/>
    <w:rsid w:val="449776B0"/>
    <w:rsid w:val="44A41DCD"/>
    <w:rsid w:val="44C10289"/>
    <w:rsid w:val="44C47D79"/>
    <w:rsid w:val="44CC6C2E"/>
    <w:rsid w:val="45102FBE"/>
    <w:rsid w:val="451E392D"/>
    <w:rsid w:val="452151CC"/>
    <w:rsid w:val="45237196"/>
    <w:rsid w:val="45401AF6"/>
    <w:rsid w:val="45611F20"/>
    <w:rsid w:val="45633A36"/>
    <w:rsid w:val="45671E38"/>
    <w:rsid w:val="45C30031"/>
    <w:rsid w:val="45C5024D"/>
    <w:rsid w:val="45EA1A61"/>
    <w:rsid w:val="460C19D8"/>
    <w:rsid w:val="46151C09"/>
    <w:rsid w:val="461865CE"/>
    <w:rsid w:val="46195EA3"/>
    <w:rsid w:val="4622744D"/>
    <w:rsid w:val="464C0026"/>
    <w:rsid w:val="467B6B5D"/>
    <w:rsid w:val="467C2B9E"/>
    <w:rsid w:val="467C4DAF"/>
    <w:rsid w:val="4690085B"/>
    <w:rsid w:val="46963997"/>
    <w:rsid w:val="46C87FF5"/>
    <w:rsid w:val="46D83FB0"/>
    <w:rsid w:val="4707219F"/>
    <w:rsid w:val="471548BC"/>
    <w:rsid w:val="473016F6"/>
    <w:rsid w:val="47392CA0"/>
    <w:rsid w:val="474B29D4"/>
    <w:rsid w:val="474F4272"/>
    <w:rsid w:val="47571378"/>
    <w:rsid w:val="47596E9F"/>
    <w:rsid w:val="4779309D"/>
    <w:rsid w:val="478163F5"/>
    <w:rsid w:val="47841A42"/>
    <w:rsid w:val="47844CF4"/>
    <w:rsid w:val="47906638"/>
    <w:rsid w:val="47A918D6"/>
    <w:rsid w:val="47CA38F8"/>
    <w:rsid w:val="47D5010B"/>
    <w:rsid w:val="47E50732"/>
    <w:rsid w:val="480D7C89"/>
    <w:rsid w:val="480F57AF"/>
    <w:rsid w:val="48221986"/>
    <w:rsid w:val="482E032B"/>
    <w:rsid w:val="483416BA"/>
    <w:rsid w:val="48474F49"/>
    <w:rsid w:val="485227D0"/>
    <w:rsid w:val="48592ECE"/>
    <w:rsid w:val="486A50DB"/>
    <w:rsid w:val="486D24D6"/>
    <w:rsid w:val="487A3570"/>
    <w:rsid w:val="488850E9"/>
    <w:rsid w:val="488E4926"/>
    <w:rsid w:val="4893018E"/>
    <w:rsid w:val="48A51C70"/>
    <w:rsid w:val="48C12F4D"/>
    <w:rsid w:val="48E1539E"/>
    <w:rsid w:val="48F03833"/>
    <w:rsid w:val="490A11F4"/>
    <w:rsid w:val="490E5A67"/>
    <w:rsid w:val="49117305"/>
    <w:rsid w:val="492B03C7"/>
    <w:rsid w:val="494871CB"/>
    <w:rsid w:val="495C0735"/>
    <w:rsid w:val="495E69EE"/>
    <w:rsid w:val="49627B61"/>
    <w:rsid w:val="498875C7"/>
    <w:rsid w:val="4989333F"/>
    <w:rsid w:val="49995C78"/>
    <w:rsid w:val="49A10689"/>
    <w:rsid w:val="49AD5280"/>
    <w:rsid w:val="49AE2DA6"/>
    <w:rsid w:val="49C83E68"/>
    <w:rsid w:val="49D767A1"/>
    <w:rsid w:val="49F20EE5"/>
    <w:rsid w:val="49F64E79"/>
    <w:rsid w:val="4A111CB3"/>
    <w:rsid w:val="4A1946C3"/>
    <w:rsid w:val="4A1E1CDA"/>
    <w:rsid w:val="4A2F3EE7"/>
    <w:rsid w:val="4A565917"/>
    <w:rsid w:val="4A6718D3"/>
    <w:rsid w:val="4A7D2EA4"/>
    <w:rsid w:val="4A7F4E6E"/>
    <w:rsid w:val="4A857FAB"/>
    <w:rsid w:val="4A8835F7"/>
    <w:rsid w:val="4AA5064D"/>
    <w:rsid w:val="4AAC3789"/>
    <w:rsid w:val="4AB443EC"/>
    <w:rsid w:val="4ABD14F2"/>
    <w:rsid w:val="4ABF170F"/>
    <w:rsid w:val="4AC62A9D"/>
    <w:rsid w:val="4ACB4AB7"/>
    <w:rsid w:val="4AD11442"/>
    <w:rsid w:val="4AF62C56"/>
    <w:rsid w:val="4B052E99"/>
    <w:rsid w:val="4B29302C"/>
    <w:rsid w:val="4B296B88"/>
    <w:rsid w:val="4B3675A6"/>
    <w:rsid w:val="4B3D0885"/>
    <w:rsid w:val="4B5F6A4E"/>
    <w:rsid w:val="4B6776B0"/>
    <w:rsid w:val="4B683B54"/>
    <w:rsid w:val="4B7C315C"/>
    <w:rsid w:val="4BC845F3"/>
    <w:rsid w:val="4BD5286C"/>
    <w:rsid w:val="4BDE7972"/>
    <w:rsid w:val="4BE551A5"/>
    <w:rsid w:val="4C06511B"/>
    <w:rsid w:val="4C101AF6"/>
    <w:rsid w:val="4C2F76F9"/>
    <w:rsid w:val="4C4F261E"/>
    <w:rsid w:val="4C673E0C"/>
    <w:rsid w:val="4C72455F"/>
    <w:rsid w:val="4C8D2A10"/>
    <w:rsid w:val="4C92075D"/>
    <w:rsid w:val="4C9D5A7F"/>
    <w:rsid w:val="4CB76E6A"/>
    <w:rsid w:val="4CD6689C"/>
    <w:rsid w:val="4CDB2104"/>
    <w:rsid w:val="4CF17B79"/>
    <w:rsid w:val="4CF80F08"/>
    <w:rsid w:val="4D023B34"/>
    <w:rsid w:val="4D0E24D9"/>
    <w:rsid w:val="4D331F40"/>
    <w:rsid w:val="4D3857A8"/>
    <w:rsid w:val="4D477799"/>
    <w:rsid w:val="4D553C64"/>
    <w:rsid w:val="4D730021"/>
    <w:rsid w:val="4D88228C"/>
    <w:rsid w:val="4D970721"/>
    <w:rsid w:val="4DAB5F7A"/>
    <w:rsid w:val="4DBF5E82"/>
    <w:rsid w:val="4DC82688"/>
    <w:rsid w:val="4DF9049F"/>
    <w:rsid w:val="4E4168DE"/>
    <w:rsid w:val="4E5B174E"/>
    <w:rsid w:val="4E5B34FC"/>
    <w:rsid w:val="4E8F13F8"/>
    <w:rsid w:val="4E916F1E"/>
    <w:rsid w:val="4EA01857"/>
    <w:rsid w:val="4EC217CD"/>
    <w:rsid w:val="4EFB4CDF"/>
    <w:rsid w:val="4F0040A4"/>
    <w:rsid w:val="4F080E1C"/>
    <w:rsid w:val="4F155DA1"/>
    <w:rsid w:val="4F1E452A"/>
    <w:rsid w:val="4F495A4B"/>
    <w:rsid w:val="4F4F2935"/>
    <w:rsid w:val="4F563CC4"/>
    <w:rsid w:val="4F7903EF"/>
    <w:rsid w:val="4F8C3B89"/>
    <w:rsid w:val="4F934F18"/>
    <w:rsid w:val="4F936CC6"/>
    <w:rsid w:val="4FA17635"/>
    <w:rsid w:val="4FA21BC9"/>
    <w:rsid w:val="4FDF015D"/>
    <w:rsid w:val="4FF21C3E"/>
    <w:rsid w:val="500A342C"/>
    <w:rsid w:val="50151DD1"/>
    <w:rsid w:val="501A1195"/>
    <w:rsid w:val="502838B2"/>
    <w:rsid w:val="50371D47"/>
    <w:rsid w:val="503F26F3"/>
    <w:rsid w:val="504601DC"/>
    <w:rsid w:val="5051105B"/>
    <w:rsid w:val="5052092F"/>
    <w:rsid w:val="505E5526"/>
    <w:rsid w:val="507C775A"/>
    <w:rsid w:val="509F39FA"/>
    <w:rsid w:val="50AD3DB7"/>
    <w:rsid w:val="50E7551B"/>
    <w:rsid w:val="512A18AC"/>
    <w:rsid w:val="512A365A"/>
    <w:rsid w:val="5139389D"/>
    <w:rsid w:val="514566E6"/>
    <w:rsid w:val="51472E9D"/>
    <w:rsid w:val="51643725"/>
    <w:rsid w:val="51730B5D"/>
    <w:rsid w:val="51750D79"/>
    <w:rsid w:val="5184720E"/>
    <w:rsid w:val="51890380"/>
    <w:rsid w:val="51907961"/>
    <w:rsid w:val="51937451"/>
    <w:rsid w:val="51C92269"/>
    <w:rsid w:val="51D04201"/>
    <w:rsid w:val="51F021AD"/>
    <w:rsid w:val="5213075C"/>
    <w:rsid w:val="521C7446"/>
    <w:rsid w:val="52320A18"/>
    <w:rsid w:val="52354064"/>
    <w:rsid w:val="52424902"/>
    <w:rsid w:val="52554706"/>
    <w:rsid w:val="5265261A"/>
    <w:rsid w:val="527903F5"/>
    <w:rsid w:val="527B23BF"/>
    <w:rsid w:val="52862B12"/>
    <w:rsid w:val="52943481"/>
    <w:rsid w:val="52A511EA"/>
    <w:rsid w:val="52BB6C5F"/>
    <w:rsid w:val="52CA0C50"/>
    <w:rsid w:val="52D01FDF"/>
    <w:rsid w:val="53027296"/>
    <w:rsid w:val="531C6FD2"/>
    <w:rsid w:val="53226CDE"/>
    <w:rsid w:val="5325232B"/>
    <w:rsid w:val="532B76BE"/>
    <w:rsid w:val="5349426B"/>
    <w:rsid w:val="53682217"/>
    <w:rsid w:val="536C61AC"/>
    <w:rsid w:val="536E5A80"/>
    <w:rsid w:val="53807561"/>
    <w:rsid w:val="53990623"/>
    <w:rsid w:val="53BB4A3D"/>
    <w:rsid w:val="53BF0089"/>
    <w:rsid w:val="53C02053"/>
    <w:rsid w:val="53C03E02"/>
    <w:rsid w:val="53DA1367"/>
    <w:rsid w:val="53EB70D0"/>
    <w:rsid w:val="53EE096F"/>
    <w:rsid w:val="540E11B8"/>
    <w:rsid w:val="541505F1"/>
    <w:rsid w:val="54260108"/>
    <w:rsid w:val="54302D35"/>
    <w:rsid w:val="543A0058"/>
    <w:rsid w:val="54505185"/>
    <w:rsid w:val="545253A1"/>
    <w:rsid w:val="546649A9"/>
    <w:rsid w:val="54684BC5"/>
    <w:rsid w:val="5479292E"/>
    <w:rsid w:val="547C41CC"/>
    <w:rsid w:val="54817A35"/>
    <w:rsid w:val="5483555B"/>
    <w:rsid w:val="548968E9"/>
    <w:rsid w:val="54AA6F8B"/>
    <w:rsid w:val="54B35714"/>
    <w:rsid w:val="54CA13DC"/>
    <w:rsid w:val="54DC110F"/>
    <w:rsid w:val="54F2448F"/>
    <w:rsid w:val="54F975CB"/>
    <w:rsid w:val="55050666"/>
    <w:rsid w:val="55242729"/>
    <w:rsid w:val="555B2034"/>
    <w:rsid w:val="556F788D"/>
    <w:rsid w:val="55741347"/>
    <w:rsid w:val="55823A64"/>
    <w:rsid w:val="558275C0"/>
    <w:rsid w:val="55A439DB"/>
    <w:rsid w:val="55A559A5"/>
    <w:rsid w:val="55BF217D"/>
    <w:rsid w:val="55CA0F67"/>
    <w:rsid w:val="55D2127E"/>
    <w:rsid w:val="55E02539"/>
    <w:rsid w:val="55E4027B"/>
    <w:rsid w:val="55EA33B8"/>
    <w:rsid w:val="55EE10FA"/>
    <w:rsid w:val="55FA7A9F"/>
    <w:rsid w:val="560C2B58"/>
    <w:rsid w:val="56186177"/>
    <w:rsid w:val="561B7A15"/>
    <w:rsid w:val="561D378D"/>
    <w:rsid w:val="56352885"/>
    <w:rsid w:val="563665FD"/>
    <w:rsid w:val="56633896"/>
    <w:rsid w:val="56810AEF"/>
    <w:rsid w:val="568E01E7"/>
    <w:rsid w:val="569237A5"/>
    <w:rsid w:val="56951575"/>
    <w:rsid w:val="56BF65F2"/>
    <w:rsid w:val="56F00EA2"/>
    <w:rsid w:val="570566FB"/>
    <w:rsid w:val="570606C5"/>
    <w:rsid w:val="574B7E86"/>
    <w:rsid w:val="575136EE"/>
    <w:rsid w:val="575431DF"/>
    <w:rsid w:val="57580F21"/>
    <w:rsid w:val="577B076B"/>
    <w:rsid w:val="57802226"/>
    <w:rsid w:val="579D2DD8"/>
    <w:rsid w:val="57BD6FD6"/>
    <w:rsid w:val="57D04F5B"/>
    <w:rsid w:val="57DB56AE"/>
    <w:rsid w:val="57F347A6"/>
    <w:rsid w:val="57F8000E"/>
    <w:rsid w:val="58156E12"/>
    <w:rsid w:val="58197E1A"/>
    <w:rsid w:val="581D5CC6"/>
    <w:rsid w:val="582157B7"/>
    <w:rsid w:val="58260CF8"/>
    <w:rsid w:val="58313520"/>
    <w:rsid w:val="58443253"/>
    <w:rsid w:val="58555460"/>
    <w:rsid w:val="58637188"/>
    <w:rsid w:val="58801DB1"/>
    <w:rsid w:val="58A93002"/>
    <w:rsid w:val="58AC1608"/>
    <w:rsid w:val="58BA1767"/>
    <w:rsid w:val="58D75E75"/>
    <w:rsid w:val="58DA7713"/>
    <w:rsid w:val="58DD0FB2"/>
    <w:rsid w:val="58F702C5"/>
    <w:rsid w:val="58FC3B2E"/>
    <w:rsid w:val="59036C6A"/>
    <w:rsid w:val="5919023C"/>
    <w:rsid w:val="591E1CF6"/>
    <w:rsid w:val="592866D1"/>
    <w:rsid w:val="592F7A5F"/>
    <w:rsid w:val="593212FE"/>
    <w:rsid w:val="593254E5"/>
    <w:rsid w:val="59374B66"/>
    <w:rsid w:val="59464DA9"/>
    <w:rsid w:val="59576FB6"/>
    <w:rsid w:val="59777658"/>
    <w:rsid w:val="597B7614"/>
    <w:rsid w:val="598002BB"/>
    <w:rsid w:val="59853B23"/>
    <w:rsid w:val="5988716F"/>
    <w:rsid w:val="598A738C"/>
    <w:rsid w:val="59967ADE"/>
    <w:rsid w:val="59973856"/>
    <w:rsid w:val="599D70BF"/>
    <w:rsid w:val="59A0095D"/>
    <w:rsid w:val="59B44408"/>
    <w:rsid w:val="59E44CEE"/>
    <w:rsid w:val="59E529BF"/>
    <w:rsid w:val="59FD5DAF"/>
    <w:rsid w:val="5A0802B0"/>
    <w:rsid w:val="5A2E41BB"/>
    <w:rsid w:val="5A364E1D"/>
    <w:rsid w:val="5A3D61AC"/>
    <w:rsid w:val="5A421A14"/>
    <w:rsid w:val="5A533C21"/>
    <w:rsid w:val="5A5E4C52"/>
    <w:rsid w:val="5A63462A"/>
    <w:rsid w:val="5A737E20"/>
    <w:rsid w:val="5A7D0C9E"/>
    <w:rsid w:val="5A7D2A4C"/>
    <w:rsid w:val="5A9304C2"/>
    <w:rsid w:val="5A932270"/>
    <w:rsid w:val="5A951B44"/>
    <w:rsid w:val="5AA601F5"/>
    <w:rsid w:val="5AA75D1B"/>
    <w:rsid w:val="5AB02E22"/>
    <w:rsid w:val="5AB20948"/>
    <w:rsid w:val="5ABB5323"/>
    <w:rsid w:val="5ACB7C5C"/>
    <w:rsid w:val="5AD00DCE"/>
    <w:rsid w:val="5AD05272"/>
    <w:rsid w:val="5AD76600"/>
    <w:rsid w:val="5AE12FDB"/>
    <w:rsid w:val="5AED1980"/>
    <w:rsid w:val="5AF56A87"/>
    <w:rsid w:val="5AF745AD"/>
    <w:rsid w:val="5AFC2BC4"/>
    <w:rsid w:val="5B062A42"/>
    <w:rsid w:val="5B0867BA"/>
    <w:rsid w:val="5B1909C7"/>
    <w:rsid w:val="5B1F3B03"/>
    <w:rsid w:val="5B2829B8"/>
    <w:rsid w:val="5B2E3D47"/>
    <w:rsid w:val="5B490B80"/>
    <w:rsid w:val="5B4B66A7"/>
    <w:rsid w:val="5B4D68C3"/>
    <w:rsid w:val="5B5163B3"/>
    <w:rsid w:val="5B920779"/>
    <w:rsid w:val="5BAA6A95"/>
    <w:rsid w:val="5BAC183B"/>
    <w:rsid w:val="5BB46942"/>
    <w:rsid w:val="5BB701E0"/>
    <w:rsid w:val="5BC546AB"/>
    <w:rsid w:val="5BE07737"/>
    <w:rsid w:val="5BE663CF"/>
    <w:rsid w:val="5BEF1728"/>
    <w:rsid w:val="5BF823F1"/>
    <w:rsid w:val="5BFB00CD"/>
    <w:rsid w:val="5BFC5BF3"/>
    <w:rsid w:val="5C007491"/>
    <w:rsid w:val="5C0C53B9"/>
    <w:rsid w:val="5C186ED1"/>
    <w:rsid w:val="5C1B251D"/>
    <w:rsid w:val="5C441A74"/>
    <w:rsid w:val="5C7B2FBB"/>
    <w:rsid w:val="5C855BE8"/>
    <w:rsid w:val="5C910A31"/>
    <w:rsid w:val="5CA80754"/>
    <w:rsid w:val="5CA95D7B"/>
    <w:rsid w:val="5CAC13C7"/>
    <w:rsid w:val="5CB309A7"/>
    <w:rsid w:val="5CBA7F88"/>
    <w:rsid w:val="5CD66444"/>
    <w:rsid w:val="5CDB3A5A"/>
    <w:rsid w:val="5CE24DE9"/>
    <w:rsid w:val="5CFF599B"/>
    <w:rsid w:val="5D066D29"/>
    <w:rsid w:val="5D1551BE"/>
    <w:rsid w:val="5D1D4073"/>
    <w:rsid w:val="5D2418A5"/>
    <w:rsid w:val="5D2E6280"/>
    <w:rsid w:val="5D395350"/>
    <w:rsid w:val="5D4135A2"/>
    <w:rsid w:val="5D427670"/>
    <w:rsid w:val="5D4E06D0"/>
    <w:rsid w:val="5D5A5076"/>
    <w:rsid w:val="5D706898"/>
    <w:rsid w:val="5D8A795A"/>
    <w:rsid w:val="5D995DEF"/>
    <w:rsid w:val="5D9C143B"/>
    <w:rsid w:val="5D9C58DF"/>
    <w:rsid w:val="5DA84284"/>
    <w:rsid w:val="5DAA3B58"/>
    <w:rsid w:val="5DCB1D21"/>
    <w:rsid w:val="5DD76917"/>
    <w:rsid w:val="5DDE3802"/>
    <w:rsid w:val="5DFC1EDA"/>
    <w:rsid w:val="5E084D23"/>
    <w:rsid w:val="5E1C257C"/>
    <w:rsid w:val="5E3B6EA6"/>
    <w:rsid w:val="5E5D0BCB"/>
    <w:rsid w:val="5E6463FD"/>
    <w:rsid w:val="5E6957C1"/>
    <w:rsid w:val="5E734892"/>
    <w:rsid w:val="5EAF519E"/>
    <w:rsid w:val="5EB033F0"/>
    <w:rsid w:val="5EB17168"/>
    <w:rsid w:val="5EB86749"/>
    <w:rsid w:val="5EFA4F8E"/>
    <w:rsid w:val="5EFE576E"/>
    <w:rsid w:val="5F105C3D"/>
    <w:rsid w:val="5F21609C"/>
    <w:rsid w:val="5F27742B"/>
    <w:rsid w:val="5F322057"/>
    <w:rsid w:val="5F88611B"/>
    <w:rsid w:val="5F9A50F9"/>
    <w:rsid w:val="5FA6034F"/>
    <w:rsid w:val="5FA97E40"/>
    <w:rsid w:val="5FAD16DE"/>
    <w:rsid w:val="5FBF1411"/>
    <w:rsid w:val="5FBF7663"/>
    <w:rsid w:val="5FCF3D4A"/>
    <w:rsid w:val="600D4872"/>
    <w:rsid w:val="600D6620"/>
    <w:rsid w:val="60107EBF"/>
    <w:rsid w:val="602C2F4B"/>
    <w:rsid w:val="60430294"/>
    <w:rsid w:val="60455DBA"/>
    <w:rsid w:val="604A05F0"/>
    <w:rsid w:val="605E6E7C"/>
    <w:rsid w:val="6072134A"/>
    <w:rsid w:val="60762418"/>
    <w:rsid w:val="607E12CC"/>
    <w:rsid w:val="60806DF2"/>
    <w:rsid w:val="60844B35"/>
    <w:rsid w:val="60874774"/>
    <w:rsid w:val="608F34D9"/>
    <w:rsid w:val="60932FCA"/>
    <w:rsid w:val="60AB5555"/>
    <w:rsid w:val="60AE1BB1"/>
    <w:rsid w:val="60B72194"/>
    <w:rsid w:val="60BF5B6D"/>
    <w:rsid w:val="60C34F31"/>
    <w:rsid w:val="60C50CA9"/>
    <w:rsid w:val="60C767CF"/>
    <w:rsid w:val="60CE5DB0"/>
    <w:rsid w:val="60D62EB6"/>
    <w:rsid w:val="60E750C3"/>
    <w:rsid w:val="60ED3A38"/>
    <w:rsid w:val="60F15F42"/>
    <w:rsid w:val="60FA4DF7"/>
    <w:rsid w:val="60FB291D"/>
    <w:rsid w:val="61025A59"/>
    <w:rsid w:val="611834CF"/>
    <w:rsid w:val="611A7247"/>
    <w:rsid w:val="6138591F"/>
    <w:rsid w:val="614B7400"/>
    <w:rsid w:val="616C7377"/>
    <w:rsid w:val="617C3A5E"/>
    <w:rsid w:val="618172C6"/>
    <w:rsid w:val="618B5A4F"/>
    <w:rsid w:val="6192502F"/>
    <w:rsid w:val="61A15272"/>
    <w:rsid w:val="61A94127"/>
    <w:rsid w:val="61B52ACC"/>
    <w:rsid w:val="61B76038"/>
    <w:rsid w:val="61CA3976"/>
    <w:rsid w:val="61D5316E"/>
    <w:rsid w:val="620C3034"/>
    <w:rsid w:val="620F6680"/>
    <w:rsid w:val="62165C60"/>
    <w:rsid w:val="62265778"/>
    <w:rsid w:val="622C5484"/>
    <w:rsid w:val="624F2F20"/>
    <w:rsid w:val="625C73EB"/>
    <w:rsid w:val="626D33A6"/>
    <w:rsid w:val="626D784A"/>
    <w:rsid w:val="62782477"/>
    <w:rsid w:val="628030DA"/>
    <w:rsid w:val="628F156F"/>
    <w:rsid w:val="6299419B"/>
    <w:rsid w:val="62A0552A"/>
    <w:rsid w:val="62A96AD4"/>
    <w:rsid w:val="62AF39BF"/>
    <w:rsid w:val="62C20707"/>
    <w:rsid w:val="62D60F4C"/>
    <w:rsid w:val="62E55633"/>
    <w:rsid w:val="62F35FA1"/>
    <w:rsid w:val="630E2DDB"/>
    <w:rsid w:val="6353259C"/>
    <w:rsid w:val="635B76A3"/>
    <w:rsid w:val="6372336A"/>
    <w:rsid w:val="637864A7"/>
    <w:rsid w:val="637D1D0F"/>
    <w:rsid w:val="637F7835"/>
    <w:rsid w:val="639A01CB"/>
    <w:rsid w:val="639C2195"/>
    <w:rsid w:val="63A4729C"/>
    <w:rsid w:val="63A63014"/>
    <w:rsid w:val="63AB687C"/>
    <w:rsid w:val="63D74F7B"/>
    <w:rsid w:val="63D80CF3"/>
    <w:rsid w:val="63E36016"/>
    <w:rsid w:val="64065861"/>
    <w:rsid w:val="640B10C9"/>
    <w:rsid w:val="642503DD"/>
    <w:rsid w:val="64371EBE"/>
    <w:rsid w:val="64416899"/>
    <w:rsid w:val="64432611"/>
    <w:rsid w:val="64436AB5"/>
    <w:rsid w:val="644D16E1"/>
    <w:rsid w:val="64591E34"/>
    <w:rsid w:val="646D1553"/>
    <w:rsid w:val="64755B03"/>
    <w:rsid w:val="64790728"/>
    <w:rsid w:val="649966D5"/>
    <w:rsid w:val="64AC6408"/>
    <w:rsid w:val="64EA6F30"/>
    <w:rsid w:val="64F97173"/>
    <w:rsid w:val="65053D6A"/>
    <w:rsid w:val="650A312E"/>
    <w:rsid w:val="651D2E62"/>
    <w:rsid w:val="65297A59"/>
    <w:rsid w:val="653F727C"/>
    <w:rsid w:val="65420B1A"/>
    <w:rsid w:val="654725D5"/>
    <w:rsid w:val="654C1999"/>
    <w:rsid w:val="6554084E"/>
    <w:rsid w:val="656B0071"/>
    <w:rsid w:val="65744AB4"/>
    <w:rsid w:val="657B5DDA"/>
    <w:rsid w:val="65801643"/>
    <w:rsid w:val="6582360D"/>
    <w:rsid w:val="659A6BA8"/>
    <w:rsid w:val="65B25CA0"/>
    <w:rsid w:val="65C92FEA"/>
    <w:rsid w:val="65CC2259"/>
    <w:rsid w:val="65D976D1"/>
    <w:rsid w:val="65E16585"/>
    <w:rsid w:val="66044022"/>
    <w:rsid w:val="66120B2E"/>
    <w:rsid w:val="661C75BD"/>
    <w:rsid w:val="661E3335"/>
    <w:rsid w:val="662B0176"/>
    <w:rsid w:val="662B7800"/>
    <w:rsid w:val="66383744"/>
    <w:rsid w:val="663A3EE7"/>
    <w:rsid w:val="66644AC0"/>
    <w:rsid w:val="666B22F3"/>
    <w:rsid w:val="668F5FE1"/>
    <w:rsid w:val="669E4476"/>
    <w:rsid w:val="66A31A8D"/>
    <w:rsid w:val="66A82BFF"/>
    <w:rsid w:val="66B9305E"/>
    <w:rsid w:val="66BC66AA"/>
    <w:rsid w:val="66C33EDD"/>
    <w:rsid w:val="66C37A39"/>
    <w:rsid w:val="66DB2FD4"/>
    <w:rsid w:val="66DE0D17"/>
    <w:rsid w:val="66E04A8F"/>
    <w:rsid w:val="66E300DB"/>
    <w:rsid w:val="66FB3677"/>
    <w:rsid w:val="67010561"/>
    <w:rsid w:val="67112E9A"/>
    <w:rsid w:val="6712775C"/>
    <w:rsid w:val="672A7AB8"/>
    <w:rsid w:val="67346B89"/>
    <w:rsid w:val="673821D5"/>
    <w:rsid w:val="67472418"/>
    <w:rsid w:val="675039C2"/>
    <w:rsid w:val="676B07FC"/>
    <w:rsid w:val="67746F85"/>
    <w:rsid w:val="677551D7"/>
    <w:rsid w:val="677A27ED"/>
    <w:rsid w:val="679D64DC"/>
    <w:rsid w:val="67A15AA3"/>
    <w:rsid w:val="67B81568"/>
    <w:rsid w:val="67C25F42"/>
    <w:rsid w:val="67C779FD"/>
    <w:rsid w:val="67D77C40"/>
    <w:rsid w:val="67E4235D"/>
    <w:rsid w:val="67EE31DB"/>
    <w:rsid w:val="6809591F"/>
    <w:rsid w:val="68107747"/>
    <w:rsid w:val="682664D1"/>
    <w:rsid w:val="68291918"/>
    <w:rsid w:val="68307350"/>
    <w:rsid w:val="6844104D"/>
    <w:rsid w:val="6848469A"/>
    <w:rsid w:val="68580655"/>
    <w:rsid w:val="687731D1"/>
    <w:rsid w:val="687A4A6F"/>
    <w:rsid w:val="68833924"/>
    <w:rsid w:val="688F22C8"/>
    <w:rsid w:val="689A2A1B"/>
    <w:rsid w:val="68A85138"/>
    <w:rsid w:val="68B259B3"/>
    <w:rsid w:val="68C1269E"/>
    <w:rsid w:val="68D4417F"/>
    <w:rsid w:val="68D67EF7"/>
    <w:rsid w:val="69112CDD"/>
    <w:rsid w:val="691722BE"/>
    <w:rsid w:val="69201173"/>
    <w:rsid w:val="69232A11"/>
    <w:rsid w:val="693B5FAC"/>
    <w:rsid w:val="69431305"/>
    <w:rsid w:val="69564B94"/>
    <w:rsid w:val="695C152D"/>
    <w:rsid w:val="696077C1"/>
    <w:rsid w:val="698E5A3B"/>
    <w:rsid w:val="69951B60"/>
    <w:rsid w:val="699D0A15"/>
    <w:rsid w:val="69A578CA"/>
    <w:rsid w:val="69BF098B"/>
    <w:rsid w:val="69EC72A7"/>
    <w:rsid w:val="6A0665BA"/>
    <w:rsid w:val="6A42336B"/>
    <w:rsid w:val="6A5437CA"/>
    <w:rsid w:val="6A570BC4"/>
    <w:rsid w:val="6A5C267E"/>
    <w:rsid w:val="6A771266"/>
    <w:rsid w:val="6A786D8C"/>
    <w:rsid w:val="6A7E25F5"/>
    <w:rsid w:val="6A902328"/>
    <w:rsid w:val="6A962FC7"/>
    <w:rsid w:val="6AA45DD3"/>
    <w:rsid w:val="6AA638F9"/>
    <w:rsid w:val="6AAD6A36"/>
    <w:rsid w:val="6AE85CC0"/>
    <w:rsid w:val="6AED32D6"/>
    <w:rsid w:val="6AFE7291"/>
    <w:rsid w:val="6B064398"/>
    <w:rsid w:val="6B217424"/>
    <w:rsid w:val="6B2A0087"/>
    <w:rsid w:val="6B351850"/>
    <w:rsid w:val="6B476E8A"/>
    <w:rsid w:val="6B4A24D7"/>
    <w:rsid w:val="6B5670CE"/>
    <w:rsid w:val="6B6F1F3D"/>
    <w:rsid w:val="6B8A7D7E"/>
    <w:rsid w:val="6B9320D0"/>
    <w:rsid w:val="6BA02A3F"/>
    <w:rsid w:val="6BA50055"/>
    <w:rsid w:val="6BA77929"/>
    <w:rsid w:val="6BB64010"/>
    <w:rsid w:val="6BC56001"/>
    <w:rsid w:val="6BE92D34"/>
    <w:rsid w:val="6BFF59B7"/>
    <w:rsid w:val="6C3D028D"/>
    <w:rsid w:val="6C3F7B62"/>
    <w:rsid w:val="6C661592"/>
    <w:rsid w:val="6C7517D5"/>
    <w:rsid w:val="6C7D68DC"/>
    <w:rsid w:val="6C8D2FC3"/>
    <w:rsid w:val="6C9C6D62"/>
    <w:rsid w:val="6C9E6F7E"/>
    <w:rsid w:val="6CA318CE"/>
    <w:rsid w:val="6CA67BE1"/>
    <w:rsid w:val="6CAE4CE7"/>
    <w:rsid w:val="6CB30295"/>
    <w:rsid w:val="6CC83FFB"/>
    <w:rsid w:val="6CE626D3"/>
    <w:rsid w:val="6CFE7A1D"/>
    <w:rsid w:val="6D0019E7"/>
    <w:rsid w:val="6D1E00BF"/>
    <w:rsid w:val="6D2C27DC"/>
    <w:rsid w:val="6D341690"/>
    <w:rsid w:val="6D350F65"/>
    <w:rsid w:val="6D366E53"/>
    <w:rsid w:val="6D4A0EB4"/>
    <w:rsid w:val="6D5540CA"/>
    <w:rsid w:val="6D6B4986"/>
    <w:rsid w:val="6D8141AA"/>
    <w:rsid w:val="6D8B6DD7"/>
    <w:rsid w:val="6D8E2EFE"/>
    <w:rsid w:val="6D920165"/>
    <w:rsid w:val="6D9E6B0A"/>
    <w:rsid w:val="6DA00AD4"/>
    <w:rsid w:val="6DB91B96"/>
    <w:rsid w:val="6DC26C9C"/>
    <w:rsid w:val="6DD15131"/>
    <w:rsid w:val="6DD30EA9"/>
    <w:rsid w:val="6DFA4688"/>
    <w:rsid w:val="6E14501E"/>
    <w:rsid w:val="6E1D2124"/>
    <w:rsid w:val="6E230EBE"/>
    <w:rsid w:val="6E407BC1"/>
    <w:rsid w:val="6E4E6782"/>
    <w:rsid w:val="6E6E472E"/>
    <w:rsid w:val="6E7837FF"/>
    <w:rsid w:val="6E7F06E9"/>
    <w:rsid w:val="6E985C4F"/>
    <w:rsid w:val="6E9C74ED"/>
    <w:rsid w:val="6E9D5013"/>
    <w:rsid w:val="6EB26D11"/>
    <w:rsid w:val="6EC6456A"/>
    <w:rsid w:val="6ED6116E"/>
    <w:rsid w:val="6EDB0C2F"/>
    <w:rsid w:val="6EDD18B4"/>
    <w:rsid w:val="6EE64C0C"/>
    <w:rsid w:val="6EE80984"/>
    <w:rsid w:val="6F0B01CF"/>
    <w:rsid w:val="6F1277AF"/>
    <w:rsid w:val="6F1C418A"/>
    <w:rsid w:val="6F1F1ECC"/>
    <w:rsid w:val="6F2319BD"/>
    <w:rsid w:val="6F235519"/>
    <w:rsid w:val="6F2D6397"/>
    <w:rsid w:val="6F3B4F58"/>
    <w:rsid w:val="6F457B85"/>
    <w:rsid w:val="6F60051B"/>
    <w:rsid w:val="6F6809F8"/>
    <w:rsid w:val="6F7E3097"/>
    <w:rsid w:val="6F944668"/>
    <w:rsid w:val="6FA06B69"/>
    <w:rsid w:val="6FA56875"/>
    <w:rsid w:val="6FC81DF8"/>
    <w:rsid w:val="6FD24055"/>
    <w:rsid w:val="6FE3114C"/>
    <w:rsid w:val="6FEF189F"/>
    <w:rsid w:val="70117A67"/>
    <w:rsid w:val="70194B6E"/>
    <w:rsid w:val="702C2AF3"/>
    <w:rsid w:val="703B0F88"/>
    <w:rsid w:val="703F45D4"/>
    <w:rsid w:val="70422316"/>
    <w:rsid w:val="70480FAF"/>
    <w:rsid w:val="70585696"/>
    <w:rsid w:val="705F4C76"/>
    <w:rsid w:val="707029DF"/>
    <w:rsid w:val="70741DA4"/>
    <w:rsid w:val="70871AD7"/>
    <w:rsid w:val="708F6BDE"/>
    <w:rsid w:val="70AE52B6"/>
    <w:rsid w:val="70C42D2B"/>
    <w:rsid w:val="70D70CB1"/>
    <w:rsid w:val="70F3716D"/>
    <w:rsid w:val="70F51137"/>
    <w:rsid w:val="71017ADB"/>
    <w:rsid w:val="71072C18"/>
    <w:rsid w:val="71136A83"/>
    <w:rsid w:val="71235CA4"/>
    <w:rsid w:val="71297032"/>
    <w:rsid w:val="71336EB6"/>
    <w:rsid w:val="713734FD"/>
    <w:rsid w:val="713D663A"/>
    <w:rsid w:val="71402718"/>
    <w:rsid w:val="714F4CEB"/>
    <w:rsid w:val="716F713B"/>
    <w:rsid w:val="717B788E"/>
    <w:rsid w:val="719E1A0D"/>
    <w:rsid w:val="71AD1A11"/>
    <w:rsid w:val="71C54FAD"/>
    <w:rsid w:val="71C64881"/>
    <w:rsid w:val="71EC253A"/>
    <w:rsid w:val="71ED1E0E"/>
    <w:rsid w:val="71EF202A"/>
    <w:rsid w:val="71F65166"/>
    <w:rsid w:val="721455EC"/>
    <w:rsid w:val="722577FA"/>
    <w:rsid w:val="72273572"/>
    <w:rsid w:val="72367C59"/>
    <w:rsid w:val="7249173A"/>
    <w:rsid w:val="7251239D"/>
    <w:rsid w:val="72536115"/>
    <w:rsid w:val="7258372B"/>
    <w:rsid w:val="727A7B45"/>
    <w:rsid w:val="727D5888"/>
    <w:rsid w:val="728C1627"/>
    <w:rsid w:val="72C74D55"/>
    <w:rsid w:val="72CC5EC7"/>
    <w:rsid w:val="72DB610A"/>
    <w:rsid w:val="72E2393D"/>
    <w:rsid w:val="730B50E3"/>
    <w:rsid w:val="731358A4"/>
    <w:rsid w:val="73165394"/>
    <w:rsid w:val="731A30D6"/>
    <w:rsid w:val="73216213"/>
    <w:rsid w:val="732E6B82"/>
    <w:rsid w:val="73335F46"/>
    <w:rsid w:val="73357F10"/>
    <w:rsid w:val="735F6D3B"/>
    <w:rsid w:val="73752585"/>
    <w:rsid w:val="73852C46"/>
    <w:rsid w:val="73944C37"/>
    <w:rsid w:val="73986A62"/>
    <w:rsid w:val="73A86934"/>
    <w:rsid w:val="73AB01D2"/>
    <w:rsid w:val="73BE3A62"/>
    <w:rsid w:val="73C90240"/>
    <w:rsid w:val="73D72D76"/>
    <w:rsid w:val="73DC65DE"/>
    <w:rsid w:val="73F513F8"/>
    <w:rsid w:val="74031DBD"/>
    <w:rsid w:val="74032B18"/>
    <w:rsid w:val="74051691"/>
    <w:rsid w:val="74065409"/>
    <w:rsid w:val="740F42BD"/>
    <w:rsid w:val="74116287"/>
    <w:rsid w:val="7420296E"/>
    <w:rsid w:val="742C13B6"/>
    <w:rsid w:val="742F2BB2"/>
    <w:rsid w:val="74510D7A"/>
    <w:rsid w:val="745919DD"/>
    <w:rsid w:val="746565D3"/>
    <w:rsid w:val="746A5998"/>
    <w:rsid w:val="74844CAB"/>
    <w:rsid w:val="74AE3AD6"/>
    <w:rsid w:val="74B66E2F"/>
    <w:rsid w:val="74C90910"/>
    <w:rsid w:val="74D6127F"/>
    <w:rsid w:val="74D80B53"/>
    <w:rsid w:val="74EC0AA3"/>
    <w:rsid w:val="74EC45FF"/>
    <w:rsid w:val="74F6547D"/>
    <w:rsid w:val="74FD680C"/>
    <w:rsid w:val="75091655"/>
    <w:rsid w:val="75273889"/>
    <w:rsid w:val="75330480"/>
    <w:rsid w:val="75385A96"/>
    <w:rsid w:val="753D4E5A"/>
    <w:rsid w:val="75436915"/>
    <w:rsid w:val="7544268D"/>
    <w:rsid w:val="75596138"/>
    <w:rsid w:val="75734D20"/>
    <w:rsid w:val="75736ACE"/>
    <w:rsid w:val="757C3BD5"/>
    <w:rsid w:val="75954C96"/>
    <w:rsid w:val="759929D8"/>
    <w:rsid w:val="759B337D"/>
    <w:rsid w:val="759E3B4B"/>
    <w:rsid w:val="75A60C51"/>
    <w:rsid w:val="75A82C1C"/>
    <w:rsid w:val="75BE243F"/>
    <w:rsid w:val="75C335B1"/>
    <w:rsid w:val="7601232C"/>
    <w:rsid w:val="76143E0D"/>
    <w:rsid w:val="7625426C"/>
    <w:rsid w:val="762A1882"/>
    <w:rsid w:val="762D67F3"/>
    <w:rsid w:val="76544B51"/>
    <w:rsid w:val="765E777E"/>
    <w:rsid w:val="76684159"/>
    <w:rsid w:val="7671300D"/>
    <w:rsid w:val="767D7C04"/>
    <w:rsid w:val="767F6765"/>
    <w:rsid w:val="7682521B"/>
    <w:rsid w:val="76852F5D"/>
    <w:rsid w:val="76937428"/>
    <w:rsid w:val="769D02A6"/>
    <w:rsid w:val="76F459ED"/>
    <w:rsid w:val="77005500"/>
    <w:rsid w:val="77075720"/>
    <w:rsid w:val="770E2F52"/>
    <w:rsid w:val="7711659E"/>
    <w:rsid w:val="771B2F3C"/>
    <w:rsid w:val="77752FD1"/>
    <w:rsid w:val="777A2396"/>
    <w:rsid w:val="777A5235"/>
    <w:rsid w:val="777F79AC"/>
    <w:rsid w:val="778B45A3"/>
    <w:rsid w:val="779D6084"/>
    <w:rsid w:val="779F004E"/>
    <w:rsid w:val="77B5517C"/>
    <w:rsid w:val="77E048EF"/>
    <w:rsid w:val="78006D3F"/>
    <w:rsid w:val="78280044"/>
    <w:rsid w:val="78342545"/>
    <w:rsid w:val="78395DAD"/>
    <w:rsid w:val="784A7FBA"/>
    <w:rsid w:val="784C1F84"/>
    <w:rsid w:val="7851759A"/>
    <w:rsid w:val="786D1EFA"/>
    <w:rsid w:val="786D3CA8"/>
    <w:rsid w:val="787B63C5"/>
    <w:rsid w:val="78811502"/>
    <w:rsid w:val="78986F77"/>
    <w:rsid w:val="789E0306"/>
    <w:rsid w:val="78A02278"/>
    <w:rsid w:val="78A309B0"/>
    <w:rsid w:val="78AA0A59"/>
    <w:rsid w:val="78AE679B"/>
    <w:rsid w:val="78BB0EB8"/>
    <w:rsid w:val="78C23FF4"/>
    <w:rsid w:val="78CA4C57"/>
    <w:rsid w:val="78D41F79"/>
    <w:rsid w:val="78E57CE3"/>
    <w:rsid w:val="78F46178"/>
    <w:rsid w:val="79342224"/>
    <w:rsid w:val="79366790"/>
    <w:rsid w:val="79405176"/>
    <w:rsid w:val="79517126"/>
    <w:rsid w:val="795B1D53"/>
    <w:rsid w:val="795F1B2D"/>
    <w:rsid w:val="79690914"/>
    <w:rsid w:val="796A64B3"/>
    <w:rsid w:val="79751067"/>
    <w:rsid w:val="79936F68"/>
    <w:rsid w:val="7995097B"/>
    <w:rsid w:val="79955265"/>
    <w:rsid w:val="79982FA7"/>
    <w:rsid w:val="79A47B9E"/>
    <w:rsid w:val="79B0209F"/>
    <w:rsid w:val="79B26E68"/>
    <w:rsid w:val="79BA4CCB"/>
    <w:rsid w:val="79C1605A"/>
    <w:rsid w:val="79CE69C9"/>
    <w:rsid w:val="79FC3536"/>
    <w:rsid w:val="7A04063C"/>
    <w:rsid w:val="7A11271D"/>
    <w:rsid w:val="7A1412FB"/>
    <w:rsid w:val="7A1545F8"/>
    <w:rsid w:val="7A1B7E60"/>
    <w:rsid w:val="7A3525A4"/>
    <w:rsid w:val="7A37456E"/>
    <w:rsid w:val="7A401675"/>
    <w:rsid w:val="7A4F18B8"/>
    <w:rsid w:val="7A4F7B0A"/>
    <w:rsid w:val="7A6B2742"/>
    <w:rsid w:val="7A8E679D"/>
    <w:rsid w:val="7A97500D"/>
    <w:rsid w:val="7AAD2A82"/>
    <w:rsid w:val="7ABC51E6"/>
    <w:rsid w:val="7AC06311"/>
    <w:rsid w:val="7AC35E02"/>
    <w:rsid w:val="7AD4000F"/>
    <w:rsid w:val="7AD87AFF"/>
    <w:rsid w:val="7AE364A4"/>
    <w:rsid w:val="7AED2E7F"/>
    <w:rsid w:val="7B1D19B6"/>
    <w:rsid w:val="7B1D5512"/>
    <w:rsid w:val="7B29035B"/>
    <w:rsid w:val="7B364826"/>
    <w:rsid w:val="7B3D3E06"/>
    <w:rsid w:val="7B4927AB"/>
    <w:rsid w:val="7B6770D5"/>
    <w:rsid w:val="7B784E3E"/>
    <w:rsid w:val="7BB37C24"/>
    <w:rsid w:val="7BBA0FB3"/>
    <w:rsid w:val="7BC47442"/>
    <w:rsid w:val="7BDC5F40"/>
    <w:rsid w:val="7BE2675B"/>
    <w:rsid w:val="7BF87D2D"/>
    <w:rsid w:val="7C077F70"/>
    <w:rsid w:val="7C0E7550"/>
    <w:rsid w:val="7C1D1542"/>
    <w:rsid w:val="7C1F52BA"/>
    <w:rsid w:val="7C305719"/>
    <w:rsid w:val="7C5C0CCB"/>
    <w:rsid w:val="7C5E5DE2"/>
    <w:rsid w:val="7C705B15"/>
    <w:rsid w:val="7C706AB2"/>
    <w:rsid w:val="7C75312C"/>
    <w:rsid w:val="7C8D66C7"/>
    <w:rsid w:val="7CA37C99"/>
    <w:rsid w:val="7CC876FF"/>
    <w:rsid w:val="7CD51E1C"/>
    <w:rsid w:val="7CE02C9B"/>
    <w:rsid w:val="7CE54755"/>
    <w:rsid w:val="7CE704CD"/>
    <w:rsid w:val="7CE85FF3"/>
    <w:rsid w:val="7D0050EB"/>
    <w:rsid w:val="7D124E1E"/>
    <w:rsid w:val="7D2C7C8E"/>
    <w:rsid w:val="7D40373A"/>
    <w:rsid w:val="7D586CD5"/>
    <w:rsid w:val="7D717D97"/>
    <w:rsid w:val="7DA4016C"/>
    <w:rsid w:val="7DA55C93"/>
    <w:rsid w:val="7DAA1DB5"/>
    <w:rsid w:val="7DBD122E"/>
    <w:rsid w:val="7DD00F61"/>
    <w:rsid w:val="7DF355A5"/>
    <w:rsid w:val="7DFA7D8C"/>
    <w:rsid w:val="7DFD162B"/>
    <w:rsid w:val="7E0230E5"/>
    <w:rsid w:val="7E0C7AC0"/>
    <w:rsid w:val="7E1A3F8B"/>
    <w:rsid w:val="7E1D1CCD"/>
    <w:rsid w:val="7E1F77F3"/>
    <w:rsid w:val="7E2C3CBE"/>
    <w:rsid w:val="7E370FE0"/>
    <w:rsid w:val="7E462FD2"/>
    <w:rsid w:val="7E464D80"/>
    <w:rsid w:val="7E5020A2"/>
    <w:rsid w:val="7E553215"/>
    <w:rsid w:val="7E747B3F"/>
    <w:rsid w:val="7E861620"/>
    <w:rsid w:val="7E8A55B4"/>
    <w:rsid w:val="7E8B4E88"/>
    <w:rsid w:val="7E957AB5"/>
    <w:rsid w:val="7ED54355"/>
    <w:rsid w:val="7EE8052D"/>
    <w:rsid w:val="7F2C21C7"/>
    <w:rsid w:val="7F2F3A66"/>
    <w:rsid w:val="7F315A30"/>
    <w:rsid w:val="7F4A1778"/>
    <w:rsid w:val="7F4A58FD"/>
    <w:rsid w:val="7F5C05D3"/>
    <w:rsid w:val="7F621967"/>
    <w:rsid w:val="7F721BA4"/>
    <w:rsid w:val="7F736048"/>
    <w:rsid w:val="7FA2248A"/>
    <w:rsid w:val="7FAE7080"/>
    <w:rsid w:val="7FBA5A25"/>
    <w:rsid w:val="7FBE6DB5"/>
    <w:rsid w:val="7FD4460D"/>
    <w:rsid w:val="7FD60385"/>
    <w:rsid w:val="7FE900B8"/>
    <w:rsid w:val="7FF07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keepNext/>
      <w:keepLines/>
      <w:spacing w:before="340" w:after="330" w:line="578" w:lineRule="auto"/>
      <w:outlineLvl w:val="0"/>
    </w:pPr>
    <w:rPr>
      <w:b/>
      <w:bCs/>
      <w:kern w:val="44"/>
      <w:sz w:val="44"/>
      <w:szCs w:val="44"/>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styleId="3">
    <w:name w:val="index 5"/>
    <w:basedOn w:val="1"/>
    <w:next w:val="1"/>
    <w:qFormat/>
    <w:uiPriority w:val="0"/>
    <w:pPr>
      <w:ind w:left="1680"/>
    </w:pPr>
  </w:style>
  <w:style w:type="paragraph" w:styleId="5">
    <w:name w:val="annotation text"/>
    <w:basedOn w:val="1"/>
    <w:qFormat/>
    <w:uiPriority w:val="0"/>
    <w:pPr>
      <w:jc w:val="left"/>
    </w:pPr>
  </w:style>
  <w:style w:type="paragraph" w:styleId="6">
    <w:name w:val="Body Text"/>
    <w:basedOn w:val="1"/>
    <w:qFormat/>
    <w:uiPriority w:val="1"/>
    <w:rPr>
      <w:rFonts w:ascii="宋体" w:hAnsi="宋体" w:cs="宋体"/>
      <w:sz w:val="32"/>
      <w:szCs w:val="32"/>
    </w:rPr>
  </w:style>
  <w:style w:type="paragraph" w:styleId="7">
    <w:name w:val="Body Text Indent"/>
    <w:basedOn w:val="1"/>
    <w:qFormat/>
    <w:uiPriority w:val="0"/>
    <w:pPr>
      <w:spacing w:after="120"/>
      <w:ind w:left="420" w:leftChars="200"/>
    </w:pPr>
    <w:rPr>
      <w:rFonts w:ascii="Times New Roman" w:hAnsi="Times New Roman" w:eastAsia="宋体" w:cs="Times New Roman"/>
    </w:rPr>
  </w:style>
  <w:style w:type="paragraph" w:styleId="8">
    <w:name w:val="Body Text Indent 2"/>
    <w:unhideWhenUsed/>
    <w:qFormat/>
    <w:uiPriority w:val="99"/>
    <w:pPr>
      <w:spacing w:after="120" w:afterLines="0" w:line="480" w:lineRule="auto"/>
      <w:ind w:left="420" w:leftChars="200"/>
    </w:pPr>
    <w:rPr>
      <w:rFonts w:ascii="Times New Roman" w:hAnsi="Times New Roman" w:eastAsia="宋体" w:cs="Times New Roman"/>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unhideWhenUsed/>
    <w:qFormat/>
    <w:uiPriority w:val="0"/>
    <w:pPr>
      <w:widowControl/>
      <w:spacing w:before="100" w:beforeAutospacing="1" w:after="119"/>
      <w:jc w:val="left"/>
    </w:pPr>
    <w:rPr>
      <w:rFonts w:ascii="宋体" w:hAnsi="宋体" w:eastAsia="宋体" w:cs="宋体"/>
      <w:kern w:val="0"/>
      <w:sz w:val="24"/>
      <w:szCs w:val="24"/>
    </w:rPr>
  </w:style>
  <w:style w:type="paragraph" w:styleId="11">
    <w:name w:val="Body Text First Indent 2"/>
    <w:basedOn w:val="7"/>
    <w:qFormat/>
    <w:uiPriority w:val="0"/>
    <w:pPr>
      <w:spacing w:after="0"/>
      <w:ind w:firstLine="420" w:firstLineChars="200"/>
    </w:pPr>
    <w:rPr>
      <w:rFonts w:ascii="Times New Roman" w:hAnsi="Times New Roman" w:eastAsia="宋体" w:cs="Times New Roman"/>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首行缩进"/>
    <w:basedOn w:val="1"/>
    <w:qFormat/>
    <w:uiPriority w:val="0"/>
    <w:pPr>
      <w:ind w:firstLine="480" w:firstLineChars="200"/>
    </w:pPr>
    <w:rPr>
      <w:lang w:val="zh-CN"/>
    </w:rPr>
  </w:style>
  <w:style w:type="paragraph" w:customStyle="1" w:styleId="16">
    <w:name w:val="Body Text Indent 21"/>
    <w:basedOn w:val="1"/>
    <w:qFormat/>
    <w:uiPriority w:val="0"/>
    <w:pPr>
      <w:spacing w:after="120" w:afterLines="0" w:line="480" w:lineRule="auto"/>
      <w:ind w:left="420" w:leftChars="200"/>
    </w:pPr>
  </w:style>
  <w:style w:type="character" w:customStyle="1" w:styleId="17">
    <w:name w:val="font51"/>
    <w:basedOn w:val="14"/>
    <w:qFormat/>
    <w:uiPriority w:val="0"/>
    <w:rPr>
      <w:rFonts w:hint="eastAsia" w:ascii="宋体" w:hAnsi="宋体" w:eastAsia="宋体" w:cs="宋体"/>
      <w:color w:val="000000"/>
      <w:sz w:val="20"/>
      <w:szCs w:val="20"/>
      <w:u w:val="none"/>
    </w:rPr>
  </w:style>
  <w:style w:type="character" w:customStyle="1" w:styleId="18">
    <w:name w:val="font81"/>
    <w:basedOn w:val="14"/>
    <w:qFormat/>
    <w:uiPriority w:val="0"/>
    <w:rPr>
      <w:rFonts w:ascii="Arial" w:hAnsi="Arial" w:cs="Arial"/>
      <w:color w:val="000000"/>
      <w:sz w:val="20"/>
      <w:szCs w:val="20"/>
      <w:u w:val="none"/>
    </w:rPr>
  </w:style>
  <w:style w:type="character" w:customStyle="1" w:styleId="19">
    <w:name w:val="font71"/>
    <w:basedOn w:val="14"/>
    <w:qFormat/>
    <w:uiPriority w:val="0"/>
    <w:rPr>
      <w:rFonts w:hint="eastAsia" w:ascii="宋体" w:hAnsi="宋体" w:eastAsia="宋体" w:cs="宋体"/>
      <w:color w:val="000000"/>
      <w:sz w:val="32"/>
      <w:szCs w:val="32"/>
      <w:u w:val="none"/>
    </w:rPr>
  </w:style>
  <w:style w:type="character" w:customStyle="1" w:styleId="20">
    <w:name w:val="font41"/>
    <w:basedOn w:val="14"/>
    <w:qFormat/>
    <w:uiPriority w:val="0"/>
    <w:rPr>
      <w:rFonts w:hint="eastAsia" w:ascii="宋体" w:hAnsi="宋体" w:eastAsia="宋体" w:cs="宋体"/>
      <w:color w:val="000000"/>
      <w:sz w:val="20"/>
      <w:szCs w:val="20"/>
      <w:u w:val="none"/>
    </w:rPr>
  </w:style>
  <w:style w:type="character" w:customStyle="1" w:styleId="21">
    <w:name w:val="font01"/>
    <w:basedOn w:val="14"/>
    <w:qFormat/>
    <w:uiPriority w:val="0"/>
    <w:rPr>
      <w:rFonts w:ascii="Arial" w:hAnsi="Arial" w:cs="Arial"/>
      <w:color w:val="000000"/>
      <w:sz w:val="20"/>
      <w:szCs w:val="20"/>
      <w:u w:val="none"/>
    </w:rPr>
  </w:style>
  <w:style w:type="character" w:customStyle="1" w:styleId="22">
    <w:name w:val="font11"/>
    <w:basedOn w:val="14"/>
    <w:qFormat/>
    <w:uiPriority w:val="0"/>
    <w:rPr>
      <w:rFonts w:hint="eastAsia" w:ascii="宋体" w:hAnsi="宋体" w:eastAsia="宋体" w:cs="宋体"/>
      <w:color w:val="000000"/>
      <w:sz w:val="20"/>
      <w:szCs w:val="20"/>
      <w:u w:val="none"/>
    </w:rPr>
  </w:style>
  <w:style w:type="character" w:customStyle="1" w:styleId="23">
    <w:name w:val="font21"/>
    <w:basedOn w:val="14"/>
    <w:qFormat/>
    <w:uiPriority w:val="0"/>
    <w:rPr>
      <w:rFonts w:hint="eastAsia" w:ascii="宋体" w:hAnsi="宋体" w:eastAsia="宋体" w:cs="宋体"/>
      <w:color w:val="000000"/>
      <w:sz w:val="24"/>
      <w:szCs w:val="24"/>
      <w:u w:val="none"/>
    </w:rPr>
  </w:style>
  <w:style w:type="character" w:customStyle="1" w:styleId="24">
    <w:name w:val="font31"/>
    <w:basedOn w:val="14"/>
    <w:qFormat/>
    <w:uiPriority w:val="0"/>
    <w:rPr>
      <w:rFonts w:hint="eastAsia" w:ascii="宋体" w:hAnsi="宋体" w:eastAsia="宋体" w:cs="宋体"/>
      <w:color w:val="000000"/>
      <w:sz w:val="20"/>
      <w:szCs w:val="20"/>
      <w:u w:val="none"/>
    </w:rPr>
  </w:style>
  <w:style w:type="character" w:customStyle="1" w:styleId="25">
    <w:name w:val="font101"/>
    <w:basedOn w:val="14"/>
    <w:qFormat/>
    <w:uiPriority w:val="0"/>
    <w:rPr>
      <w:rFonts w:ascii="微软雅黑" w:hAnsi="微软雅黑" w:eastAsia="微软雅黑" w:cs="微软雅黑"/>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10596</Words>
  <Characters>11724</Characters>
  <Lines>0</Lines>
  <Paragraphs>0</Paragraphs>
  <TotalTime>7</TotalTime>
  <ScaleCrop>false</ScaleCrop>
  <LinksUpToDate>false</LinksUpToDate>
  <CharactersWithSpaces>12136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2022-08-18T02:09:00Z</dcterms:created>
  <dc:creator>滔</dc:creator>
  <cp:lastModifiedBy>双双</cp:lastModifiedBy>
  <dcterms:modified xsi:type="dcterms:W3CDTF">2023-10-17T07:10:27Z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0C03BD767B4F4C09BEA32ABC475CB67C_13</vt:lpwstr>
  </property>
</Properties>
</file>