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color w:val="auto"/>
          <w:sz w:val="44"/>
          <w:szCs w:val="44"/>
          <w:highlight w:val="none"/>
        </w:rPr>
      </w:pPr>
      <w:bookmarkStart w:id="0" w:name="_Toc3841"/>
      <w:bookmarkStart w:id="1" w:name="_Toc12120"/>
      <w:bookmarkStart w:id="2" w:name="_Toc12790"/>
      <w:r>
        <w:rPr>
          <w:rFonts w:hint="eastAsia" w:ascii="宋体" w:hAnsi="宋体" w:eastAsia="宋体" w:cs="宋体"/>
          <w:b/>
          <w:bCs/>
          <w:color w:val="auto"/>
          <w:sz w:val="44"/>
          <w:szCs w:val="44"/>
          <w:highlight w:val="none"/>
          <w:lang w:val="en-US" w:eastAsia="zh-CN"/>
        </w:rPr>
        <w:t>邵阳市火车站客运综合交通枢纽工程配套基础设施建设项目债券资金绩效评价报告</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8"/>
          <w:sz w:val="32"/>
          <w:szCs w:val="32"/>
          <w:highlight w:val="none"/>
        </w:rPr>
      </w:pPr>
      <w:bookmarkStart w:id="3" w:name="_Toc39026705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8"/>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pacing w:val="-8"/>
          <w:sz w:val="32"/>
          <w:szCs w:val="32"/>
          <w:highlight w:val="none"/>
        </w:rPr>
      </w:pPr>
      <w:r>
        <w:rPr>
          <w:rFonts w:hint="eastAsia" w:ascii="仿宋" w:hAnsi="仿宋" w:eastAsia="仿宋" w:cs="仿宋"/>
          <w:color w:val="auto"/>
          <w:sz w:val="32"/>
          <w:szCs w:val="32"/>
          <w:highlight w:val="none"/>
          <w:lang w:val="en-US" w:eastAsia="zh-CN"/>
        </w:rPr>
        <w:t>根据《中共中央 国务院关于全面实施预算绩效管理的意见》（中发〔2018〕34号）、《中共湖南省委办公厅 湖南省人民政府办公厅关于全面实施预算绩效管理的实施意见》（湘办发〔2019〕10号）和《湖南省财政厅关于印发湖南省预算支出绩效评价管理办法的通知》（湘财绩〔2020〕7号）等有关规定，</w:t>
      </w:r>
      <w:r>
        <w:rPr>
          <w:rFonts w:hint="eastAsia" w:ascii="仿宋" w:hAnsi="仿宋" w:eastAsia="仿宋" w:cs="仿宋"/>
          <w:color w:val="auto"/>
          <w:spacing w:val="-8"/>
          <w:sz w:val="32"/>
          <w:szCs w:val="32"/>
          <w:highlight w:val="none"/>
          <w:lang w:eastAsia="zh-CN"/>
        </w:rPr>
        <w:t>按照</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eastAsia="zh-CN"/>
        </w:rPr>
        <w:t>邵阳市财政局关于开展邵阳市火车站客运综合交通枢纽工程配套基础设施建设项目债券资金绩效评价工作的通知</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eastAsia="zh-CN"/>
        </w:rPr>
        <w:t>邵</w:t>
      </w:r>
      <w:r>
        <w:rPr>
          <w:rFonts w:hint="eastAsia" w:ascii="仿宋" w:hAnsi="仿宋" w:eastAsia="仿宋" w:cs="仿宋"/>
          <w:color w:val="auto"/>
          <w:spacing w:val="-8"/>
          <w:sz w:val="32"/>
          <w:szCs w:val="32"/>
          <w:highlight w:val="none"/>
        </w:rPr>
        <w:t>财绩〔202</w:t>
      </w:r>
      <w:r>
        <w:rPr>
          <w:rFonts w:hint="eastAsia" w:ascii="仿宋" w:hAnsi="仿宋" w:eastAsia="仿宋" w:cs="仿宋"/>
          <w:color w:val="auto"/>
          <w:spacing w:val="-8"/>
          <w:sz w:val="32"/>
          <w:szCs w:val="32"/>
          <w:highlight w:val="none"/>
          <w:lang w:val="en-US" w:eastAsia="zh-CN"/>
        </w:rPr>
        <w:t>3</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16</w:t>
      </w:r>
      <w:r>
        <w:rPr>
          <w:rFonts w:hint="eastAsia" w:ascii="仿宋" w:hAnsi="仿宋" w:eastAsia="仿宋" w:cs="仿宋"/>
          <w:color w:val="auto"/>
          <w:spacing w:val="-8"/>
          <w:sz w:val="32"/>
          <w:szCs w:val="32"/>
          <w:highlight w:val="none"/>
        </w:rPr>
        <w:t>号）要求，</w:t>
      </w:r>
      <w:r>
        <w:rPr>
          <w:rFonts w:hint="eastAsia" w:ascii="仿宋" w:hAnsi="仿宋" w:eastAsia="仿宋" w:cs="仿宋"/>
          <w:color w:val="auto"/>
          <w:spacing w:val="-8"/>
          <w:sz w:val="32"/>
          <w:szCs w:val="32"/>
          <w:highlight w:val="none"/>
          <w:lang w:val="en-US" w:eastAsia="zh-CN"/>
        </w:rPr>
        <w:t>根据招投标中标结果，</w:t>
      </w:r>
      <w:r>
        <w:rPr>
          <w:rFonts w:hint="eastAsia" w:ascii="仿宋" w:hAnsi="仿宋" w:eastAsia="仿宋" w:cs="仿宋"/>
          <w:color w:val="auto"/>
          <w:spacing w:val="-8"/>
          <w:sz w:val="32"/>
          <w:szCs w:val="32"/>
          <w:highlight w:val="none"/>
          <w:lang w:eastAsia="zh-CN"/>
        </w:rPr>
        <w:t>我</w:t>
      </w:r>
      <w:r>
        <w:rPr>
          <w:rFonts w:hint="eastAsia" w:ascii="仿宋" w:hAnsi="仿宋" w:eastAsia="仿宋" w:cs="仿宋"/>
          <w:color w:val="auto"/>
          <w:spacing w:val="-8"/>
          <w:sz w:val="32"/>
          <w:szCs w:val="32"/>
          <w:highlight w:val="none"/>
          <w:lang w:val="en-US" w:eastAsia="zh-CN"/>
        </w:rPr>
        <w:t>所</w:t>
      </w:r>
      <w:r>
        <w:rPr>
          <w:rFonts w:hint="eastAsia" w:ascii="仿宋" w:hAnsi="仿宋" w:eastAsia="仿宋" w:cs="仿宋"/>
          <w:color w:val="auto"/>
          <w:spacing w:val="-8"/>
          <w:sz w:val="32"/>
          <w:szCs w:val="32"/>
          <w:highlight w:val="none"/>
          <w:lang w:eastAsia="zh-CN"/>
        </w:rPr>
        <w:t>受邵阳市财政</w:t>
      </w:r>
      <w:r>
        <w:rPr>
          <w:rFonts w:hint="eastAsia" w:ascii="仿宋" w:hAnsi="仿宋" w:eastAsia="仿宋" w:cs="仿宋"/>
          <w:color w:val="auto"/>
          <w:spacing w:val="-8"/>
          <w:sz w:val="32"/>
          <w:szCs w:val="32"/>
          <w:highlight w:val="none"/>
        </w:rPr>
        <w:t>局委托，</w:t>
      </w:r>
      <w:r>
        <w:rPr>
          <w:rFonts w:hint="eastAsia" w:ascii="仿宋" w:hAnsi="仿宋" w:eastAsia="仿宋" w:cs="仿宋"/>
          <w:color w:val="auto"/>
          <w:spacing w:val="-8"/>
          <w:sz w:val="32"/>
          <w:szCs w:val="32"/>
          <w:highlight w:val="none"/>
          <w:lang w:val="en-US" w:eastAsia="zh-CN"/>
        </w:rPr>
        <w:t>具体负责</w:t>
      </w:r>
      <w:r>
        <w:rPr>
          <w:rFonts w:hint="eastAsia" w:ascii="仿宋" w:hAnsi="仿宋" w:eastAsia="仿宋" w:cs="仿宋"/>
          <w:color w:val="auto"/>
          <w:spacing w:val="-8"/>
          <w:sz w:val="32"/>
          <w:szCs w:val="32"/>
          <w:highlight w:val="none"/>
        </w:rPr>
        <w:t>对</w:t>
      </w:r>
      <w:r>
        <w:rPr>
          <w:rFonts w:hint="eastAsia" w:ascii="仿宋" w:hAnsi="仿宋" w:eastAsia="仿宋" w:cs="仿宋"/>
          <w:color w:val="auto"/>
          <w:spacing w:val="-8"/>
          <w:sz w:val="32"/>
          <w:szCs w:val="32"/>
          <w:highlight w:val="none"/>
          <w:lang w:eastAsia="zh-CN"/>
        </w:rPr>
        <w:t>邵阳市火车站客运综合交通枢纽工程配套基础设施建设项目</w:t>
      </w:r>
      <w:r>
        <w:rPr>
          <w:rFonts w:hint="eastAsia" w:ascii="仿宋" w:hAnsi="仿宋" w:eastAsia="仿宋" w:cs="仿宋"/>
          <w:color w:val="auto"/>
          <w:spacing w:val="-8"/>
          <w:sz w:val="32"/>
          <w:szCs w:val="32"/>
          <w:highlight w:val="none"/>
          <w:lang w:val="en-US" w:eastAsia="zh-CN"/>
        </w:rPr>
        <w:t>债券</w:t>
      </w:r>
      <w:r>
        <w:rPr>
          <w:rFonts w:hint="eastAsia" w:ascii="仿宋" w:hAnsi="仿宋" w:eastAsia="仿宋" w:cs="仿宋"/>
          <w:color w:val="auto"/>
          <w:spacing w:val="-8"/>
          <w:sz w:val="32"/>
          <w:szCs w:val="32"/>
          <w:highlight w:val="none"/>
          <w:lang w:eastAsia="zh-CN"/>
        </w:rPr>
        <w:t>资金</w:t>
      </w:r>
      <w:r>
        <w:rPr>
          <w:rFonts w:hint="eastAsia" w:ascii="仿宋" w:hAnsi="仿宋" w:eastAsia="仿宋" w:cs="仿宋"/>
          <w:color w:val="auto"/>
          <w:spacing w:val="-8"/>
          <w:sz w:val="32"/>
          <w:szCs w:val="32"/>
          <w:highlight w:val="none"/>
          <w:lang w:val="en-US" w:eastAsia="zh-CN"/>
        </w:rPr>
        <w:t>的管理使用情况进行</w:t>
      </w:r>
      <w:r>
        <w:rPr>
          <w:rFonts w:hint="eastAsia" w:ascii="仿宋" w:hAnsi="仿宋" w:eastAsia="仿宋" w:cs="仿宋"/>
          <w:color w:val="auto"/>
          <w:spacing w:val="-8"/>
          <w:sz w:val="32"/>
          <w:szCs w:val="32"/>
          <w:highlight w:val="none"/>
        </w:rPr>
        <w:t>绩效评价。现将评价情况报告如下：</w:t>
      </w:r>
    </w:p>
    <w:p>
      <w:pPr>
        <w:pStyle w:val="10"/>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outlineLvl w:val="0"/>
        <w:rPr>
          <w:rFonts w:hint="eastAsia" w:ascii="黑体" w:hAnsi="黑体" w:eastAsia="黑体" w:cs="黑体"/>
          <w:b w:val="0"/>
          <w:bCs w:val="0"/>
          <w:color w:val="auto"/>
          <w:sz w:val="32"/>
          <w:szCs w:val="32"/>
          <w:highlight w:val="none"/>
        </w:rPr>
      </w:pPr>
      <w:bookmarkStart w:id="4" w:name="_Toc31326"/>
      <w:bookmarkStart w:id="5" w:name="_Toc27520"/>
      <w:r>
        <w:rPr>
          <w:rFonts w:hint="eastAsia" w:ascii="黑体" w:hAnsi="黑体" w:eastAsia="黑体" w:cs="黑体"/>
          <w:b w:val="0"/>
          <w:bCs w:val="0"/>
          <w:color w:val="auto"/>
          <w:sz w:val="32"/>
          <w:szCs w:val="32"/>
          <w:highlight w:val="none"/>
        </w:rPr>
        <w:t>一、项目基本情况</w:t>
      </w:r>
      <w:bookmarkEnd w:id="3"/>
      <w:bookmarkEnd w:id="4"/>
      <w:bookmarkEnd w:id="5"/>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eastAsia" w:ascii="楷体" w:hAnsi="楷体" w:eastAsia="楷体" w:cs="楷体"/>
          <w:b/>
          <w:bCs/>
          <w:color w:val="auto"/>
          <w:sz w:val="32"/>
          <w:szCs w:val="32"/>
          <w:highlight w:val="none"/>
          <w:lang w:eastAsia="zh-CN"/>
        </w:rPr>
      </w:pPr>
      <w:bookmarkStart w:id="6" w:name="_Toc28338"/>
      <w:bookmarkStart w:id="7" w:name="_Toc23787"/>
      <w:r>
        <w:rPr>
          <w:rFonts w:hint="eastAsia" w:ascii="楷体" w:hAnsi="楷体" w:eastAsia="楷体" w:cs="楷体"/>
          <w:b/>
          <w:bCs/>
          <w:color w:val="auto"/>
          <w:sz w:val="32"/>
          <w:szCs w:val="32"/>
          <w:highlight w:val="none"/>
        </w:rPr>
        <w:t>（一）</w:t>
      </w:r>
      <w:r>
        <w:rPr>
          <w:rFonts w:hint="eastAsia" w:ascii="楷体" w:hAnsi="楷体" w:eastAsia="楷体" w:cs="楷体"/>
          <w:b/>
          <w:bCs/>
          <w:color w:val="auto"/>
          <w:sz w:val="32"/>
          <w:szCs w:val="32"/>
          <w:highlight w:val="none"/>
          <w:lang w:eastAsia="zh-CN"/>
        </w:rPr>
        <w:t>项目概况</w:t>
      </w:r>
      <w:bookmarkEnd w:id="6"/>
      <w:bookmarkEnd w:id="7"/>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1.项目背景及决策情况</w:t>
      </w:r>
    </w:p>
    <w:p>
      <w:pPr>
        <w:keepNext w:val="0"/>
        <w:keepLines w:val="0"/>
        <w:pageBreakBefore w:val="0"/>
        <w:widowControl w:val="0"/>
        <w:kinsoku/>
        <w:wordWrap/>
        <w:overflowPunct/>
        <w:topLinePunct w:val="0"/>
        <w:autoSpaceDE/>
        <w:autoSpaceDN/>
        <w:bidi w:val="0"/>
        <w:adjustRightInd/>
        <w:snapToGrid/>
        <w:spacing w:line="360" w:lineRule="auto"/>
        <w:ind w:firstLine="608" w:firstLineChars="200"/>
        <w:textAlignment w:val="auto"/>
        <w:rPr>
          <w:rFonts w:hint="default"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eastAsia="zh-CN"/>
        </w:rPr>
        <w:t>邵阳市火车站客运综合交通枢纽工程配套基础设施建设项目（</w:t>
      </w:r>
      <w:r>
        <w:rPr>
          <w:rFonts w:hint="eastAsia" w:ascii="仿宋" w:hAnsi="仿宋" w:eastAsia="仿宋" w:cs="仿宋"/>
          <w:color w:val="auto"/>
          <w:spacing w:val="-8"/>
          <w:sz w:val="32"/>
          <w:szCs w:val="32"/>
          <w:highlight w:val="none"/>
          <w:lang w:val="en-US" w:eastAsia="zh-CN"/>
        </w:rPr>
        <w:t>以下简称邵阳火车站综合交通枢纽项目）是为了打通邵阳交通瓶颈、完善邵阳交通网络、助力邵阳经济发展的一项重大民生工程，</w:t>
      </w:r>
      <w:r>
        <w:rPr>
          <w:rFonts w:hint="eastAsia" w:ascii="仿宋" w:hAnsi="仿宋" w:eastAsia="仿宋" w:cs="仿宋"/>
          <w:b w:val="0"/>
          <w:bCs w:val="0"/>
          <w:color w:val="auto"/>
          <w:sz w:val="32"/>
          <w:szCs w:val="32"/>
          <w:highlight w:val="none"/>
          <w:lang w:val="en-US" w:eastAsia="zh-CN"/>
        </w:rPr>
        <w:t>是将邵阳市全面建成省域副中心城市、湘中湘西南中心城市和区域性交通枢纽城市“二中心一枢纽”重大战略的组成部分。</w:t>
      </w:r>
      <w:r>
        <w:rPr>
          <w:rFonts w:hint="eastAsia" w:ascii="仿宋" w:hAnsi="仿宋" w:eastAsia="仿宋" w:cs="仿宋"/>
          <w:color w:val="auto"/>
          <w:spacing w:val="-8"/>
          <w:sz w:val="32"/>
          <w:szCs w:val="32"/>
          <w:highlight w:val="none"/>
          <w:lang w:val="en-US" w:eastAsia="zh-CN"/>
        </w:rPr>
        <w:t>项目在原邵阳火车客运站原址上重建，项目主管部门为邵阳市发展和改革委员会，项目建设单位为邵阳市交通枢纽建设有限责任公司，项目主要施工单位分别为中铁二十五局集团有限公司、中铁武汉电气化局有限公司和湖南省第四工程有限公司。项目立项的批复文件有：（1）邵阳市发展和改革委员会印发了《关于邵阳火车站客运综合交通枢纽工程项目建议书的批复》（邵发改投[2016]348号）（2）中铁上海设计院集团有限公司长沙设计院出具的项目可行性研究报告；（3）邵阳市发改委印发《关于核准邵阳市火车站客运综合交通枢纽工程配套基础设施建设项目的批复》（邵发改投[2016]579号）；（4）中国铁路总公司 湖南省人民政府发文《关于新建怀化至邵阳至衡阳铁路邵阳站房、雨棚及相关工程改造Ⅰ类变更设计的批复》（铁总鉴函[2018]763号）。</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2.项目主要建设内容</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（1）项目建设地点:项目位于大祥区，北临邵州路、南抵桃源路、西临西湖南路、东靠民德巷。</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（2）项目建设规模与建设内容:①站房建设:计划按 5.2万平方米现代化高铁站规模改扩建，分两期实施，第一期实施北面站房改扩建和线上高架候车室，面积 3.2 万平方米;第二期与新建呼南高铁邵永段同步实施，主要建设南面站房和余下线上高架候车室部分，面积2万平方米。②火车站周边路网建设，包括民强路等 14 条道路建设，道路全长 8256.7 米，198725 平方米，其中金山路和紫霞路下穿铁路工程，需由广铁(集团)公司设计、审查通过施工方案，并组织实施;③南广场建设，建筑面积117900平方米，包括地下停车场、出租车智能停车系统、公交首末站、长途客运站建设等；④广场配套停车场建设，建筑面积52000平方米，建设停车位1450个。</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（3）项目总投资及资金来源:总投资概算299694.3万元，其中按工程项目分类为：火车站站房投资102210.00万元,南广场工程投资 65738.3万元(含地下停车场投资2.262亿元)，道路工程投资48421.6万元，征地拆迁补偿83324.40万元；按费用类别分类为：工程费用175613.86万元，工程建设其他费用16266.74万元，预备费用9594.03万元，征地拆迁补偿75797.27万元（加上需分摊的建设期利息7527.13万元，等于按工程项目分类的征地拆迁补偿83324.40万元），建设期利息22422.40万元。资金来源有：政府专项债券资金、银行贷款和项目建设单位自筹资金。</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3.项目建设单位概况</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eastAsia" w:ascii="仿宋" w:hAnsi="仿宋" w:eastAsia="仿宋" w:cs="仿宋"/>
          <w:color w:val="auto"/>
          <w:spacing w:val="-8"/>
          <w:sz w:val="32"/>
          <w:szCs w:val="32"/>
          <w:highlight w:val="none"/>
          <w:lang w:val="en-US" w:eastAsia="zh-CN"/>
        </w:rPr>
      </w:pPr>
      <w:r>
        <w:rPr>
          <w:rFonts w:hint="eastAsia" w:ascii="仿宋" w:hAnsi="仿宋" w:eastAsia="仿宋" w:cs="仿宋"/>
          <w:color w:val="auto"/>
          <w:kern w:val="2"/>
          <w:sz w:val="32"/>
          <w:szCs w:val="32"/>
          <w:highlight w:val="none"/>
          <w:lang w:val="en-US" w:eastAsia="zh-CN" w:bidi="ar-SA"/>
        </w:rPr>
        <w:t>该项目由邵阳市交通枢纽建设有限责任公司负责承建。邵阳市交通枢纽建设有限责任公司是邵阳市城市建设投资经营集团有限公司的独资控股子公司，公司成立于2016年6月，在职员工12名，注册资本壹亿元整，办公地址在大祥区火车南站路桥花苑办公楼，经营范围主要包括：组织城市基础设施项目的建设、经营与管理等。</w:t>
      </w:r>
      <w:r>
        <w:rPr>
          <w:rFonts w:hint="eastAsia" w:ascii="仿宋" w:hAnsi="仿宋" w:eastAsia="仿宋" w:cs="仿宋"/>
          <w:color w:val="auto"/>
          <w:spacing w:val="-8"/>
          <w:sz w:val="32"/>
          <w:szCs w:val="32"/>
          <w:highlight w:val="none"/>
          <w:lang w:val="en-US" w:eastAsia="zh-CN"/>
        </w:rPr>
        <w:t>邵阳火车站综合交通枢纽项目是公司目前唯一运作的项目。</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eastAsia" w:ascii="仿宋" w:hAnsi="仿宋" w:eastAsia="仿宋" w:cs="仿宋"/>
          <w:b/>
          <w:bCs/>
          <w:color w:val="auto"/>
          <w:spacing w:val="-8"/>
          <w:sz w:val="32"/>
          <w:szCs w:val="32"/>
          <w:highlight w:val="none"/>
          <w:lang w:val="en-US" w:eastAsia="zh-CN"/>
        </w:rPr>
      </w:pPr>
      <w:r>
        <w:rPr>
          <w:rFonts w:hint="eastAsia" w:ascii="仿宋" w:hAnsi="仿宋" w:eastAsia="仿宋" w:cs="仿宋"/>
          <w:b/>
          <w:bCs/>
          <w:color w:val="auto"/>
          <w:spacing w:val="-8"/>
          <w:sz w:val="32"/>
          <w:szCs w:val="32"/>
          <w:highlight w:val="none"/>
          <w:lang w:val="en-US" w:eastAsia="zh-CN"/>
        </w:rPr>
        <w:t>4.项目主要施工单位和监理单位</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default"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根据《铁路法》、《铁路安全管理条例》和《国铁集团关于加强涉铁工程管理的指导意见》等法律、法规和规范性文件，该项目的涉铁工程部分采用委托代建模式，由代建单位全面负责项目的涉铁手续审批等全过程工程建设管理，以及工程（施工、监理）招标工作。其中：邵阳站站房、雨棚及相关工程由邵阳市人民政府与怀邵衡铁路有限责任公司、中国铁路广州局集团有限公司三方签订委托建设协议，投资总额80578万元，工期3年，施工单位为中铁二十五局集团有限公司（站房工程一标）和中铁武汉电气化局有限公司（站房工程二标），监理单位为</w:t>
      </w:r>
      <w:r>
        <w:rPr>
          <w:rFonts w:hint="default" w:ascii="仿宋" w:hAnsi="仿宋" w:eastAsia="仿宋" w:cs="仿宋"/>
          <w:color w:val="auto"/>
          <w:spacing w:val="-8"/>
          <w:sz w:val="32"/>
          <w:szCs w:val="32"/>
          <w:highlight w:val="none"/>
          <w:lang w:val="en-US" w:eastAsia="zh-CN"/>
        </w:rPr>
        <w:t>湖南华达项目管理有限公司</w:t>
      </w:r>
      <w:r>
        <w:rPr>
          <w:rFonts w:hint="eastAsia" w:ascii="仿宋" w:hAnsi="仿宋" w:eastAsia="仿宋" w:cs="仿宋"/>
          <w:color w:val="auto"/>
          <w:spacing w:val="-8"/>
          <w:sz w:val="32"/>
          <w:szCs w:val="32"/>
          <w:highlight w:val="none"/>
          <w:lang w:val="en-US" w:eastAsia="zh-CN"/>
        </w:rPr>
        <w:t>；邵阳金山路下穿益湛铁路（邵阳站）立交工程由邵阳市交通枢纽建设有限责任公司委托广州安茂铁路建设管理有限公司代建，投资概算11800.63万元，工期320天，施工单位为中铁二十五局集团有限公司，监理单位为</w:t>
      </w:r>
      <w:r>
        <w:rPr>
          <w:rFonts w:hint="default" w:ascii="仿宋" w:hAnsi="仿宋" w:eastAsia="仿宋" w:cs="仿宋"/>
          <w:color w:val="auto"/>
          <w:spacing w:val="-8"/>
          <w:sz w:val="32"/>
          <w:szCs w:val="32"/>
          <w:highlight w:val="none"/>
          <w:lang w:val="en-US" w:eastAsia="zh-CN"/>
        </w:rPr>
        <w:t>成都大西南铁路监理有限公司</w:t>
      </w:r>
      <w:r>
        <w:rPr>
          <w:rFonts w:hint="eastAsia" w:ascii="仿宋" w:hAnsi="仿宋" w:eastAsia="仿宋" w:cs="仿宋"/>
          <w:color w:val="auto"/>
          <w:spacing w:val="-8"/>
          <w:sz w:val="32"/>
          <w:szCs w:val="32"/>
          <w:highlight w:val="none"/>
          <w:lang w:val="en-US" w:eastAsia="zh-CN"/>
        </w:rPr>
        <w:t>。</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default"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非涉铁工程部分的配套基础设施建设工程、零星工程及临时设施由</w:t>
      </w:r>
      <w:r>
        <w:rPr>
          <w:rFonts w:hint="eastAsia" w:ascii="仿宋" w:hAnsi="仿宋" w:eastAsia="仿宋" w:cs="仿宋"/>
          <w:color w:val="auto"/>
          <w:kern w:val="2"/>
          <w:sz w:val="32"/>
          <w:szCs w:val="32"/>
          <w:highlight w:val="none"/>
          <w:lang w:val="en-US" w:eastAsia="zh-CN" w:bidi="ar-SA"/>
        </w:rPr>
        <w:t>邵阳市交通枢纽建设有限责任公司采用公开招标等方式组织实施。邵阳站北广场匝道、高架桥、出站集散厅工程</w:t>
      </w:r>
      <w:r>
        <w:rPr>
          <w:rFonts w:hint="eastAsia" w:ascii="仿宋" w:hAnsi="仿宋" w:eastAsia="仿宋" w:cs="仿宋"/>
          <w:color w:val="auto"/>
          <w:spacing w:val="-8"/>
          <w:sz w:val="32"/>
          <w:szCs w:val="32"/>
          <w:highlight w:val="none"/>
          <w:lang w:val="en-US" w:eastAsia="zh-CN"/>
        </w:rPr>
        <w:t>中标（施工）单位为湖南省第四工程有限公司/中铁第四勘察设计院集团有限公司联合体，中标金额14118.75万元，工期510天，</w:t>
      </w:r>
      <w:r>
        <w:rPr>
          <w:rFonts w:hint="default" w:ascii="仿宋" w:hAnsi="仿宋" w:eastAsia="仿宋" w:cs="仿宋"/>
          <w:color w:val="auto"/>
          <w:spacing w:val="-8"/>
          <w:sz w:val="32"/>
          <w:szCs w:val="32"/>
          <w:highlight w:val="none"/>
          <w:lang w:val="en-US" w:eastAsia="zh-CN"/>
        </w:rPr>
        <w:t>监理单位</w:t>
      </w:r>
      <w:r>
        <w:rPr>
          <w:rFonts w:hint="eastAsia" w:ascii="仿宋" w:hAnsi="仿宋" w:eastAsia="仿宋" w:cs="仿宋"/>
          <w:color w:val="auto"/>
          <w:spacing w:val="-8"/>
          <w:sz w:val="32"/>
          <w:szCs w:val="32"/>
          <w:highlight w:val="none"/>
          <w:lang w:val="en-US" w:eastAsia="zh-CN"/>
        </w:rPr>
        <w:t>为湖南省华誉建设工程管理有限责任公司。</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2"/>
        <w:rPr>
          <w:rFonts w:hint="eastAsia" w:ascii="楷体" w:hAnsi="楷体" w:eastAsia="楷体" w:cs="楷体"/>
          <w:b/>
          <w:bCs/>
          <w:color w:val="auto"/>
          <w:sz w:val="32"/>
          <w:szCs w:val="32"/>
          <w:highlight w:val="none"/>
          <w:lang w:val="en-US" w:eastAsia="zh-CN"/>
        </w:rPr>
      </w:pPr>
      <w:bookmarkStart w:id="8" w:name="_Toc8475"/>
      <w:r>
        <w:rPr>
          <w:rFonts w:hint="eastAsia" w:ascii="楷体" w:hAnsi="楷体" w:eastAsia="楷体" w:cs="楷体"/>
          <w:b/>
          <w:bCs/>
          <w:color w:val="auto"/>
          <w:sz w:val="32"/>
          <w:szCs w:val="32"/>
          <w:highlight w:val="none"/>
          <w:lang w:val="en-US" w:eastAsia="zh-CN"/>
        </w:rPr>
        <w:t>（二）</w:t>
      </w:r>
      <w:bookmarkStart w:id="9" w:name="_Toc31235"/>
      <w:r>
        <w:rPr>
          <w:rFonts w:hint="eastAsia" w:ascii="楷体" w:hAnsi="楷体" w:eastAsia="楷体" w:cs="楷体"/>
          <w:b/>
          <w:bCs/>
          <w:color w:val="auto"/>
          <w:sz w:val="32"/>
          <w:szCs w:val="32"/>
          <w:highlight w:val="none"/>
          <w:lang w:val="en-US" w:eastAsia="zh-CN"/>
        </w:rPr>
        <w:t>项目资金使用管理情况</w:t>
      </w:r>
      <w:bookmarkEnd w:id="9"/>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1.资金来源及到位、使用情况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①资金来源渠道和规模情况：</w:t>
      </w:r>
      <w:r>
        <w:rPr>
          <w:rFonts w:hint="eastAsia" w:ascii="仿宋" w:hAnsi="仿宋" w:eastAsia="仿宋" w:cs="仿宋"/>
          <w:b w:val="0"/>
          <w:bCs w:val="0"/>
          <w:color w:val="auto"/>
          <w:sz w:val="32"/>
          <w:szCs w:val="32"/>
          <w:highlight w:val="none"/>
          <w:lang w:val="en-US" w:eastAsia="zh-CN"/>
        </w:rPr>
        <w:t>该项目计划资金来源渠道有</w:t>
      </w:r>
      <w:r>
        <w:rPr>
          <w:rFonts w:hint="eastAsia" w:ascii="仿宋" w:hAnsi="仿宋" w:eastAsia="仿宋" w:cs="仿宋"/>
          <w:color w:val="auto"/>
          <w:sz w:val="32"/>
          <w:szCs w:val="32"/>
          <w:highlight w:val="none"/>
          <w:lang w:val="en-US" w:eastAsia="zh-CN"/>
        </w:rPr>
        <w:t>政府专债资金、银行贷款和项目建设单位自筹三个渠道，299694.3万元，其中：政府专债资金160000.00万元，项目建设单位自筹139694.30万元，银行贷款最终需由项目建设单位自筹资金偿还。</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②资金到位情况：</w:t>
      </w:r>
      <w:r>
        <w:rPr>
          <w:rFonts w:hint="eastAsia" w:ascii="仿宋" w:hAnsi="仿宋" w:eastAsia="仿宋" w:cs="仿宋"/>
          <w:color w:val="auto"/>
          <w:sz w:val="32"/>
          <w:szCs w:val="32"/>
          <w:highlight w:val="none"/>
          <w:lang w:val="en-US" w:eastAsia="zh-CN"/>
        </w:rPr>
        <w:t>截止2023年6月30日到位资金共计207000.00万元，其中：政府专债资金到位115000.00万元，银行贷款到位82000.00万元，项目建设单位自筹资金到位10000.00万元（实收资本金额）。</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政府专项债券发行和到位情况：该项目计划申请发行政府专项债券资金160000.00万元，目前已到位115000.00万元。本次绩效评价范围的</w:t>
      </w:r>
      <w:r>
        <w:rPr>
          <w:rFonts w:hint="eastAsia" w:ascii="仿宋" w:hAnsi="仿宋" w:eastAsia="仿宋" w:cs="仿宋"/>
          <w:color w:val="auto"/>
          <w:spacing w:val="-8"/>
          <w:sz w:val="32"/>
          <w:szCs w:val="32"/>
          <w:highlight w:val="none"/>
          <w:lang w:val="en-US" w:eastAsia="zh-CN"/>
        </w:rPr>
        <w:t>该项目债券资金70000.00万元，是</w:t>
      </w:r>
      <w:r>
        <w:rPr>
          <w:rFonts w:hint="eastAsia" w:ascii="仿宋" w:hAnsi="仿宋" w:eastAsia="仿宋" w:cs="仿宋"/>
          <w:color w:val="auto"/>
          <w:sz w:val="32"/>
          <w:szCs w:val="32"/>
          <w:highlight w:val="none"/>
          <w:lang w:val="en-US" w:eastAsia="zh-CN"/>
        </w:rPr>
        <w:t>邵阳市人民政府通过湖南省人民政府申请发行的2020年湖南省交通基础设施建设专项债的一部分，其中：2020年1月14日发行七期第1批次45000.00万元，利率3.65%；2020年5月28日发行三十期第2批次25000万元，利率3.45%，期限均为15年，起息日为发行次日，半年付息一次；该资金已由邵阳市财政局在2020年3月至7月分次拨入</w:t>
      </w:r>
      <w:r>
        <w:rPr>
          <w:rFonts w:hint="eastAsia" w:ascii="仿宋" w:hAnsi="仿宋" w:eastAsia="仿宋" w:cs="仿宋"/>
          <w:color w:val="auto"/>
          <w:spacing w:val="-8"/>
          <w:sz w:val="32"/>
          <w:szCs w:val="32"/>
          <w:highlight w:val="none"/>
          <w:lang w:val="en-US" w:eastAsia="zh-CN"/>
        </w:rPr>
        <w:t>邵阳市交通枢纽建设有限责任公司</w:t>
      </w:r>
      <w:r>
        <w:rPr>
          <w:rFonts w:hint="eastAsia" w:ascii="仿宋" w:hAnsi="仿宋" w:eastAsia="仿宋" w:cs="仿宋"/>
          <w:color w:val="auto"/>
          <w:sz w:val="32"/>
          <w:szCs w:val="32"/>
          <w:highlight w:val="none"/>
          <w:lang w:val="en-US" w:eastAsia="zh-CN"/>
        </w:rPr>
        <w:t>账户，资金无滞留情况。另外的45000万元政府专项债券资金是2021年11月30发行的2021年湖南省专项债券120期（交通基础设施专项债）的一部分，利率3.37%，期限15年，起息日为发行次日，半年付息一次，目前资金已全部拨付到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③专项债券“一案两书”编制情况</w:t>
      </w:r>
      <w:r>
        <w:rPr>
          <w:rFonts w:hint="eastAsia" w:ascii="仿宋" w:hAnsi="仿宋" w:eastAsia="仿宋" w:cs="仿宋"/>
          <w:color w:val="auto"/>
          <w:sz w:val="32"/>
          <w:szCs w:val="32"/>
          <w:highlight w:val="none"/>
          <w:lang w:val="en-US" w:eastAsia="zh-CN"/>
        </w:rPr>
        <w:t>：为了使该项目尽快启动，邵阳市政府于2020年1月组织制定了《湖南省邵阳市2020年交通基础设施建设专项债券项目预期收益与融资平衡方案》，预计用于融资平衡的相关收益为317833.92万元，预计项目融资本息246737.50万元，相关收益对融资本息的覆盖倍数为1.29。2020年1月，中喜会计师事务所湖南分所出具了《项目收益与融资自求平衡专项评价报告》（中喜湘专审字[2020]第003号）；2020年5月，湖南天平正大有限责任会计师事务所出具了《专项债券收益与融资自求平衡审核报告》（湘天会专字[2020]079号）；2020年1月、5月，湖南泓税律师事务所分别出具了法律意见书（[2020]泓税意字第02号，第11号）。目前该项目仍在施工建设中，无收入来源，而按融资平衡方案与审核报告，项目在2023年应取得收益113198.00万元（含土地出让收入），项目实际进展与计划存在偏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④资金使用情况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累计支出情况：</w:t>
      </w:r>
      <w:r>
        <w:rPr>
          <w:rFonts w:hint="eastAsia" w:ascii="仿宋" w:hAnsi="仿宋" w:eastAsia="仿宋" w:cs="仿宋"/>
          <w:color w:val="auto"/>
          <w:sz w:val="32"/>
          <w:szCs w:val="32"/>
          <w:highlight w:val="none"/>
          <w:lang w:val="en-US" w:eastAsia="zh-CN"/>
        </w:rPr>
        <w:t>截至2023年6月30日，项目累计支出金额175729.92万元，其中：工程支出109361.50万元，工程建设其他支出2459.27万元，征地拆迁支出12666.55万元，利息及相关费用32850.48万元，项目建设单位期间费用等18392.12万元。项目资金账面结余31270.08万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政府专债资金使用情况：</w:t>
      </w:r>
      <w:r>
        <w:rPr>
          <w:rFonts w:hint="eastAsia" w:ascii="仿宋" w:hAnsi="仿宋" w:eastAsia="仿宋" w:cs="仿宋"/>
          <w:color w:val="auto"/>
          <w:sz w:val="32"/>
          <w:szCs w:val="32"/>
          <w:highlight w:val="none"/>
          <w:lang w:val="en-US" w:eastAsia="zh-CN"/>
        </w:rPr>
        <w:t>政府专项债券资金支出87414.23万元，其中：工程支出83903.45万元</w:t>
      </w:r>
      <w:r>
        <w:rPr>
          <w:rFonts w:hint="eastAsia" w:ascii="仿宋" w:hAnsi="仿宋" w:eastAsia="仿宋" w:cs="仿宋"/>
          <w:i w:val="0"/>
          <w:iCs w:val="0"/>
          <w:color w:val="auto"/>
          <w:sz w:val="32"/>
          <w:szCs w:val="32"/>
          <w:highlight w:val="none"/>
          <w:u w:val="none"/>
          <w:lang w:val="en-US" w:eastAsia="zh-CN"/>
        </w:rPr>
        <w:t>，工程建设其他支出510.78万元，征地拆迁支出3000.00万元，</w:t>
      </w:r>
      <w:r>
        <w:rPr>
          <w:rFonts w:hint="eastAsia" w:ascii="仿宋" w:hAnsi="仿宋" w:eastAsia="仿宋" w:cs="仿宋"/>
          <w:color w:val="auto"/>
          <w:sz w:val="32"/>
          <w:szCs w:val="32"/>
          <w:highlight w:val="none"/>
          <w:lang w:val="en-US" w:eastAsia="zh-CN"/>
        </w:rPr>
        <w:t>专项债券资金</w:t>
      </w:r>
      <w:r>
        <w:rPr>
          <w:rFonts w:hint="eastAsia" w:ascii="仿宋" w:hAnsi="仿宋" w:eastAsia="仿宋" w:cs="仿宋"/>
          <w:i w:val="0"/>
          <w:iCs w:val="0"/>
          <w:color w:val="auto"/>
          <w:sz w:val="32"/>
          <w:szCs w:val="32"/>
          <w:highlight w:val="none"/>
          <w:u w:val="none"/>
          <w:lang w:val="en-US" w:eastAsia="zh-CN"/>
        </w:rPr>
        <w:t>支出</w:t>
      </w:r>
      <w:r>
        <w:rPr>
          <w:rFonts w:hint="eastAsia" w:ascii="仿宋" w:hAnsi="仿宋" w:eastAsia="仿宋" w:cs="仿宋"/>
          <w:color w:val="auto"/>
          <w:sz w:val="32"/>
          <w:szCs w:val="32"/>
          <w:highlight w:val="none"/>
          <w:lang w:val="en-US" w:eastAsia="zh-CN"/>
        </w:rPr>
        <w:t>比例为76%。专项债券资金账面结余27585.77万元。专债资金具体使用情况如下：</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       政府专债资金使用情况表      金额单位：</w:t>
      </w:r>
      <w:r>
        <w:rPr>
          <w:rFonts w:hint="eastAsia" w:ascii="仿宋" w:hAnsi="仿宋" w:eastAsia="仿宋" w:cs="仿宋"/>
          <w:color w:val="auto"/>
          <w:sz w:val="28"/>
          <w:szCs w:val="28"/>
          <w:highlight w:val="none"/>
          <w:vertAlign w:val="baseline"/>
          <w:lang w:val="en-US" w:eastAsia="zh-CN"/>
        </w:rPr>
        <w:t>万元</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1416"/>
        <w:gridCol w:w="2184"/>
        <w:gridCol w:w="1296"/>
        <w:gridCol w:w="3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906"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序号</w:t>
            </w:r>
          </w:p>
        </w:tc>
        <w:tc>
          <w:tcPr>
            <w:tcW w:w="1416"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债券批次</w:t>
            </w:r>
          </w:p>
        </w:tc>
        <w:tc>
          <w:tcPr>
            <w:tcW w:w="2184"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支出内容</w:t>
            </w:r>
          </w:p>
        </w:tc>
        <w:tc>
          <w:tcPr>
            <w:tcW w:w="1296"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金额</w:t>
            </w:r>
          </w:p>
        </w:tc>
        <w:tc>
          <w:tcPr>
            <w:tcW w:w="3369"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06" w:type="dxa"/>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416"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70000万元债券</w:t>
            </w:r>
          </w:p>
        </w:tc>
        <w:tc>
          <w:tcPr>
            <w:tcW w:w="2184"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工程支出</w:t>
            </w:r>
          </w:p>
        </w:tc>
        <w:tc>
          <w:tcPr>
            <w:tcW w:w="1296"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66743.81</w:t>
            </w:r>
          </w:p>
        </w:tc>
        <w:tc>
          <w:tcPr>
            <w:tcW w:w="3369"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含附属工程和临时工程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906" w:type="dxa"/>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1416" w:type="dxa"/>
            <w:vMerge w:val="continue"/>
            <w:vAlign w:val="top"/>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sz w:val="24"/>
                <w:szCs w:val="24"/>
                <w:highlight w:val="none"/>
                <w:vertAlign w:val="baseline"/>
                <w:lang w:val="en-US" w:eastAsia="zh-CN"/>
              </w:rPr>
            </w:pPr>
          </w:p>
        </w:tc>
        <w:tc>
          <w:tcPr>
            <w:tcW w:w="2184"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工程建设其他支出</w:t>
            </w:r>
          </w:p>
        </w:tc>
        <w:tc>
          <w:tcPr>
            <w:tcW w:w="1296"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256.19</w:t>
            </w:r>
          </w:p>
        </w:tc>
        <w:tc>
          <w:tcPr>
            <w:tcW w:w="3369"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设计、勘察、监理费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3</w:t>
            </w:r>
          </w:p>
        </w:tc>
        <w:tc>
          <w:tcPr>
            <w:tcW w:w="1416" w:type="dxa"/>
            <w:vMerge w:val="continue"/>
            <w:vAlign w:val="top"/>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sz w:val="24"/>
                <w:szCs w:val="24"/>
                <w:highlight w:val="none"/>
                <w:vertAlign w:val="baseline"/>
                <w:lang w:val="en-US" w:eastAsia="zh-CN"/>
              </w:rPr>
            </w:pPr>
          </w:p>
        </w:tc>
        <w:tc>
          <w:tcPr>
            <w:tcW w:w="2184"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征地拆迁支出</w:t>
            </w:r>
          </w:p>
        </w:tc>
        <w:tc>
          <w:tcPr>
            <w:tcW w:w="1296"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3000.00</w:t>
            </w:r>
          </w:p>
        </w:tc>
        <w:tc>
          <w:tcPr>
            <w:tcW w:w="3369"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邵阳市征地拆迁事务处南广场征拆费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0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4</w:t>
            </w:r>
          </w:p>
        </w:tc>
        <w:tc>
          <w:tcPr>
            <w:tcW w:w="1416" w:type="dxa"/>
            <w:vMerge w:val="continue"/>
            <w:vAlign w:val="center"/>
          </w:tcPr>
          <w:p>
            <w:pPr>
              <w:pStyle w:val="2"/>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仿宋" w:hAnsi="仿宋" w:eastAsia="仿宋" w:cs="仿宋"/>
                <w:b/>
                <w:bCs/>
                <w:color w:val="auto"/>
                <w:sz w:val="24"/>
                <w:szCs w:val="24"/>
                <w:highlight w:val="none"/>
                <w:vertAlign w:val="baseline"/>
                <w:lang w:val="en-US" w:eastAsia="zh-CN"/>
              </w:rPr>
            </w:pPr>
          </w:p>
        </w:tc>
        <w:tc>
          <w:tcPr>
            <w:tcW w:w="2184"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小计</w:t>
            </w:r>
          </w:p>
        </w:tc>
        <w:tc>
          <w:tcPr>
            <w:tcW w:w="129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70000.00</w:t>
            </w:r>
          </w:p>
        </w:tc>
        <w:tc>
          <w:tcPr>
            <w:tcW w:w="3369"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90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5</w:t>
            </w:r>
          </w:p>
        </w:tc>
        <w:tc>
          <w:tcPr>
            <w:tcW w:w="1416" w:type="dxa"/>
            <w:vMerge w:val="restart"/>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45000万元债券</w:t>
            </w:r>
          </w:p>
        </w:tc>
        <w:tc>
          <w:tcPr>
            <w:tcW w:w="2184"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工程费用</w:t>
            </w:r>
          </w:p>
        </w:tc>
        <w:tc>
          <w:tcPr>
            <w:tcW w:w="129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17159.64</w:t>
            </w:r>
          </w:p>
        </w:tc>
        <w:tc>
          <w:tcPr>
            <w:tcW w:w="3369"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含附属工程和临时工程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0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6</w:t>
            </w:r>
          </w:p>
        </w:tc>
        <w:tc>
          <w:tcPr>
            <w:tcW w:w="1416" w:type="dxa"/>
            <w:vMerge w:val="continue"/>
            <w:vAlign w:val="center"/>
          </w:tcPr>
          <w:p>
            <w:pPr>
              <w:pStyle w:val="2"/>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仿宋" w:hAnsi="仿宋" w:eastAsia="仿宋" w:cs="仿宋"/>
                <w:color w:val="auto"/>
                <w:sz w:val="24"/>
                <w:szCs w:val="24"/>
                <w:highlight w:val="none"/>
                <w:vertAlign w:val="baseline"/>
                <w:lang w:val="en-US" w:eastAsia="zh-CN"/>
              </w:rPr>
            </w:pPr>
          </w:p>
        </w:tc>
        <w:tc>
          <w:tcPr>
            <w:tcW w:w="2184"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工程建设其他支出</w:t>
            </w:r>
          </w:p>
        </w:tc>
        <w:tc>
          <w:tcPr>
            <w:tcW w:w="129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254.59</w:t>
            </w:r>
          </w:p>
        </w:tc>
        <w:tc>
          <w:tcPr>
            <w:tcW w:w="3369"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设计、勘察、监理费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0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7</w:t>
            </w:r>
          </w:p>
        </w:tc>
        <w:tc>
          <w:tcPr>
            <w:tcW w:w="1416" w:type="dxa"/>
            <w:vMerge w:val="continue"/>
            <w:vAlign w:val="center"/>
          </w:tcPr>
          <w:p>
            <w:pPr>
              <w:pStyle w:val="2"/>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仿宋" w:hAnsi="仿宋" w:eastAsia="仿宋" w:cs="仿宋"/>
                <w:b/>
                <w:bCs/>
                <w:color w:val="auto"/>
                <w:sz w:val="24"/>
                <w:szCs w:val="24"/>
                <w:highlight w:val="none"/>
                <w:vertAlign w:val="baseline"/>
                <w:lang w:val="en-US" w:eastAsia="zh-CN"/>
              </w:rPr>
            </w:pPr>
          </w:p>
        </w:tc>
        <w:tc>
          <w:tcPr>
            <w:tcW w:w="2184"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小计</w:t>
            </w:r>
          </w:p>
        </w:tc>
        <w:tc>
          <w:tcPr>
            <w:tcW w:w="129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17414.23</w:t>
            </w:r>
          </w:p>
        </w:tc>
        <w:tc>
          <w:tcPr>
            <w:tcW w:w="3369"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0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8</w:t>
            </w:r>
          </w:p>
        </w:tc>
        <w:tc>
          <w:tcPr>
            <w:tcW w:w="141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仿宋" w:hAnsi="仿宋" w:eastAsia="仿宋" w:cs="仿宋"/>
                <w:b/>
                <w:bCs/>
                <w:color w:val="auto"/>
                <w:sz w:val="24"/>
                <w:szCs w:val="24"/>
                <w:highlight w:val="none"/>
                <w:vertAlign w:val="baseline"/>
                <w:lang w:val="en-US" w:eastAsia="zh-CN"/>
              </w:rPr>
            </w:pPr>
          </w:p>
        </w:tc>
        <w:tc>
          <w:tcPr>
            <w:tcW w:w="2184"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合计</w:t>
            </w:r>
          </w:p>
        </w:tc>
        <w:tc>
          <w:tcPr>
            <w:tcW w:w="1296"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87414.23</w:t>
            </w:r>
          </w:p>
        </w:tc>
        <w:tc>
          <w:tcPr>
            <w:tcW w:w="3369"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rPr>
                <w:rFonts w:hint="default" w:ascii="仿宋" w:hAnsi="仿宋" w:eastAsia="仿宋" w:cs="仿宋"/>
                <w:b/>
                <w:bCs/>
                <w:color w:val="auto"/>
                <w:sz w:val="24"/>
                <w:szCs w:val="24"/>
                <w:highlight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专项债券还本付息情况：</w:t>
      </w:r>
      <w:r>
        <w:rPr>
          <w:rFonts w:hint="eastAsia" w:ascii="仿宋" w:hAnsi="仿宋" w:eastAsia="仿宋" w:cs="仿宋"/>
          <w:color w:val="auto"/>
          <w:sz w:val="32"/>
          <w:szCs w:val="32"/>
          <w:highlight w:val="none"/>
          <w:lang w:val="en-US" w:eastAsia="zh-CN"/>
        </w:rPr>
        <w:t>根据《国务院办公厅关于印发地方政府性债务风险应急处置预案的通知》（国办函[2016]88号），地方政府依法对地方政府债券承担全部偿还责任。按照项目预期收益与融资平衡方案中的还款保障措施，专项债券本金通过对应的政府性基金收入、专项收入、发行专项债券等偿还。该项目已到位政府专项债券本金115000.00万元，按照不同批次到期日，需分别在2035年1月15日偿还45000.00万元、2035年5月29日偿还25000.00万元、2036年12月1日偿还45000.00万元；专项债券利息通过对应的政府性基金收入、专项收入偿还，不通过发行专项债券偿还，每半年付息一次，截止2023年6月30日，该项目已由邵阳市财政局向湖南省财政厅上缴专项债券利息9789.75万元，其中：邵阳市交通枢纽建设有限责任公司支付5366.00万元，邵阳市财政安排预算资金4423.75万元。</w:t>
      </w:r>
      <w:r>
        <w:rPr>
          <w:rFonts w:hint="eastAsia" w:ascii="仿宋" w:hAnsi="仿宋" w:eastAsia="仿宋" w:cs="仿宋"/>
          <w:color w:val="auto"/>
          <w:sz w:val="32"/>
          <w:szCs w:val="32"/>
          <w:highlight w:val="none"/>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2.项目资金的管理情况</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该项目资金在使用过程中</w:t>
      </w:r>
      <w:r>
        <w:rPr>
          <w:rFonts w:hint="eastAsia" w:ascii="仿宋" w:hAnsi="仿宋" w:eastAsia="仿宋" w:cs="仿宋"/>
          <w:color w:val="auto"/>
          <w:sz w:val="32"/>
          <w:szCs w:val="32"/>
          <w:highlight w:val="none"/>
        </w:rPr>
        <w:t>严格执行各项财务规章制度和项目资金报账审批制度</w:t>
      </w:r>
      <w:r>
        <w:rPr>
          <w:rFonts w:hint="eastAsia" w:ascii="仿宋" w:hAnsi="仿宋" w:eastAsia="仿宋" w:cs="仿宋"/>
          <w:color w:val="auto"/>
          <w:sz w:val="32"/>
          <w:szCs w:val="32"/>
          <w:highlight w:val="none"/>
          <w:lang w:eastAsia="zh-CN"/>
        </w:rPr>
        <w:t>，通过双控账户按工程进度支付工程款、征拆款和监理费</w:t>
      </w:r>
      <w:r>
        <w:rPr>
          <w:rFonts w:hint="eastAsia" w:ascii="仿宋" w:hAnsi="仿宋" w:eastAsia="仿宋" w:cs="仿宋"/>
          <w:color w:val="auto"/>
          <w:sz w:val="32"/>
          <w:szCs w:val="32"/>
          <w:highlight w:val="none"/>
          <w:lang w:val="en-US" w:eastAsia="zh-CN"/>
        </w:rPr>
        <w:t>等，做到</w:t>
      </w:r>
      <w:r>
        <w:rPr>
          <w:rFonts w:hint="eastAsia" w:ascii="仿宋" w:hAnsi="仿宋" w:eastAsia="仿宋" w:cs="仿宋"/>
          <w:color w:val="auto"/>
          <w:sz w:val="32"/>
          <w:szCs w:val="32"/>
          <w:highlight w:val="none"/>
        </w:rPr>
        <w:t>专款专用</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资金</w:t>
      </w:r>
      <w:r>
        <w:rPr>
          <w:rFonts w:hint="eastAsia" w:ascii="仿宋" w:hAnsi="仿宋" w:eastAsia="仿宋" w:cs="仿宋"/>
          <w:color w:val="auto"/>
          <w:sz w:val="32"/>
          <w:szCs w:val="32"/>
          <w:highlight w:val="none"/>
          <w:lang w:eastAsia="zh-CN"/>
        </w:rPr>
        <w:t>使用</w:t>
      </w:r>
      <w:r>
        <w:rPr>
          <w:rFonts w:hint="eastAsia" w:ascii="仿宋" w:hAnsi="仿宋" w:eastAsia="仿宋" w:cs="仿宋"/>
          <w:color w:val="auto"/>
          <w:sz w:val="32"/>
          <w:szCs w:val="32"/>
          <w:highlight w:val="none"/>
          <w:lang w:val="en-US" w:eastAsia="zh-CN"/>
        </w:rPr>
        <w:t>时邵阳市交通枢纽建设有限责任公司向邵阳市财政局提出申请报告</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支付时由项目建设单位按权限层层审核签字，再报市铁路建设协调指挥部会审，最后由市铁路建设协调指挥部领导审批后方能付款。对于零星、附属、临时工程履行了签订合同、评审、竣工验收等手续后付款。项目建设单位设置了专账单独核算专项债本金和利息支出，清晰地反映资金的来源、流向和结存等情况。目前，该项目已发生的87414.23万元政府专项</w:t>
      </w:r>
      <w:r>
        <w:rPr>
          <w:rFonts w:hint="default" w:ascii="仿宋" w:hAnsi="仿宋" w:eastAsia="仿宋" w:cs="仿宋"/>
          <w:color w:val="auto"/>
          <w:sz w:val="32"/>
          <w:szCs w:val="32"/>
          <w:highlight w:val="none"/>
          <w:lang w:val="en-US" w:eastAsia="zh-CN"/>
        </w:rPr>
        <w:t>债券资金</w:t>
      </w:r>
      <w:r>
        <w:rPr>
          <w:rFonts w:hint="eastAsia" w:ascii="仿宋" w:hAnsi="仿宋" w:eastAsia="仿宋" w:cs="仿宋"/>
          <w:color w:val="auto"/>
          <w:sz w:val="32"/>
          <w:szCs w:val="32"/>
          <w:highlight w:val="none"/>
          <w:lang w:val="en-US" w:eastAsia="zh-CN"/>
        </w:rPr>
        <w:t>支出全部用于工程建设等方面，没有用于偿还债券利息和项目建设单位日常经费、人员工资等。已支付邵阳站站房、雨棚及相关工程款67363.20万元，金山路下穿益湛铁路立交工程款10428.71万元，邵阳站北广场匝道、高架桥、出站集散厅工程款4189.49万元，也属合同金额内的支出。</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3.项目建设管理情况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项目进展情况。</w:t>
      </w:r>
      <w:r>
        <w:rPr>
          <w:rFonts w:hint="eastAsia" w:ascii="仿宋" w:hAnsi="仿宋" w:eastAsia="仿宋" w:cs="仿宋"/>
          <w:b w:val="0"/>
          <w:bCs w:val="0"/>
          <w:color w:val="auto"/>
          <w:sz w:val="32"/>
          <w:szCs w:val="32"/>
          <w:highlight w:val="none"/>
          <w:lang w:val="en-US" w:eastAsia="zh-CN"/>
        </w:rPr>
        <w:t>该项目作为湖南省重点民生项目，引起</w:t>
      </w:r>
      <w:r>
        <w:rPr>
          <w:rFonts w:hint="eastAsia" w:ascii="仿宋" w:hAnsi="仿宋" w:eastAsia="仿宋" w:cs="仿宋"/>
          <w:color w:val="auto"/>
          <w:sz w:val="32"/>
          <w:szCs w:val="32"/>
          <w:highlight w:val="none"/>
          <w:lang w:val="en-US" w:eastAsia="zh-CN"/>
        </w:rPr>
        <w:t>邵阳市委、市政府高度重视和社会各界的高度关注，邵阳市委、市政府主要领导多次进行现场考察、指导，对项目建设和管理提出了高标准、严要求，要求项目整体开通运行时间提前至2023年9月30日；各级各部门也层层压实主体责任，通过开展劳动竞赛等方式抢工期、促生产，从目前工程进度来看，项目提前交付使用有望实现。</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项目建设质量和安全生产情况。</w:t>
      </w:r>
      <w:r>
        <w:rPr>
          <w:rFonts w:hint="eastAsia" w:ascii="仿宋" w:hAnsi="仿宋" w:eastAsia="仿宋" w:cs="仿宋"/>
          <w:color w:val="auto"/>
          <w:sz w:val="32"/>
          <w:szCs w:val="32"/>
          <w:highlight w:val="none"/>
          <w:lang w:val="en-US" w:eastAsia="zh-CN"/>
        </w:rPr>
        <w:t>为加强工程项目管理成效，确保工程项目顺利实施，邵阳市交通枢纽建设有限责任公司</w:t>
      </w:r>
      <w:r>
        <w:rPr>
          <w:rFonts w:hint="eastAsia" w:ascii="仿宋" w:hAnsi="仿宋" w:eastAsia="仿宋" w:cs="仿宋"/>
          <w:color w:val="auto"/>
          <w:sz w:val="32"/>
          <w:szCs w:val="32"/>
          <w:highlight w:val="none"/>
          <w:lang w:eastAsia="zh-CN"/>
        </w:rPr>
        <w:t>制定了《</w:t>
      </w:r>
      <w:r>
        <w:rPr>
          <w:rFonts w:hint="eastAsia" w:ascii="仿宋" w:hAnsi="仿宋" w:eastAsia="仿宋" w:cs="仿宋"/>
          <w:color w:val="auto"/>
          <w:sz w:val="32"/>
          <w:szCs w:val="32"/>
          <w:highlight w:val="none"/>
          <w:lang w:val="en-US" w:eastAsia="zh-CN"/>
        </w:rPr>
        <w:t>工程项目管理制度</w:t>
      </w:r>
      <w:r>
        <w:rPr>
          <w:rFonts w:hint="eastAsia" w:ascii="仿宋" w:hAnsi="仿宋" w:eastAsia="仿宋" w:cs="仿宋"/>
          <w:color w:val="auto"/>
          <w:sz w:val="32"/>
          <w:szCs w:val="32"/>
          <w:highlight w:val="none"/>
          <w:lang w:eastAsia="zh-CN"/>
        </w:rPr>
        <w:t>》，规范</w:t>
      </w:r>
      <w:r>
        <w:rPr>
          <w:rFonts w:hint="eastAsia" w:ascii="仿宋" w:hAnsi="仿宋" w:eastAsia="仿宋" w:cs="仿宋"/>
          <w:color w:val="auto"/>
          <w:sz w:val="32"/>
          <w:szCs w:val="32"/>
          <w:highlight w:val="none"/>
          <w:lang w:val="en-US" w:eastAsia="zh-CN"/>
        </w:rPr>
        <w:t>项目建设过程中安全、质量、进度、投资等相关事项</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严格执行质量标准、规范，监督施工单位遵守工程建设安全生产有关规定，按安全标准组织施工，检查施工单位施工过程中的各项安全防护措施。邵阳市交通枢纽建设有限责任公司抢抓进度的同时，时刻不放松抓实安全质量，严格落实全员安全生产责任，落实邻近营业线施工“人防、物防、技防”管控措施;严格工序验收，上道工序不合格、隐蔽工程未经验收不得进入下道工序作业，确保工程质量。同时，面对工程建设中数量众多的参与方，加强了协调及过程控制工作，强化与集团公司和市直各部门、铁路方的系统性沟通与协作，共同推进工作，确保涉铁施工安全。项目自开工以来，未出现过重大安全生产和质量事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1"/>
        <w:rPr>
          <w:rFonts w:hint="default" w:ascii="楷体" w:hAnsi="楷体" w:eastAsia="楷体" w:cs="楷体"/>
          <w:b/>
          <w:bCs/>
          <w:color w:val="auto"/>
          <w:sz w:val="32"/>
          <w:szCs w:val="32"/>
          <w:highlight w:val="none"/>
          <w:lang w:val="en-US" w:eastAsia="zh-CN"/>
        </w:rPr>
      </w:pPr>
      <w:bookmarkStart w:id="10" w:name="_Toc29993"/>
      <w:r>
        <w:rPr>
          <w:rFonts w:hint="eastAsia" w:ascii="楷体" w:hAnsi="楷体" w:eastAsia="楷体" w:cs="楷体"/>
          <w:b/>
          <w:bCs/>
          <w:color w:val="auto"/>
          <w:sz w:val="32"/>
          <w:szCs w:val="32"/>
          <w:highlight w:val="none"/>
          <w:lang w:eastAsia="zh-CN"/>
        </w:rPr>
        <w:t>（</w:t>
      </w:r>
      <w:r>
        <w:rPr>
          <w:rFonts w:hint="eastAsia" w:ascii="楷体" w:hAnsi="楷体" w:eastAsia="楷体" w:cs="楷体"/>
          <w:b/>
          <w:bCs/>
          <w:color w:val="auto"/>
          <w:sz w:val="32"/>
          <w:szCs w:val="32"/>
          <w:highlight w:val="none"/>
          <w:lang w:val="en-US" w:eastAsia="zh-CN"/>
        </w:rPr>
        <w:t>三</w:t>
      </w:r>
      <w:r>
        <w:rPr>
          <w:rFonts w:hint="eastAsia" w:ascii="楷体" w:hAnsi="楷体" w:eastAsia="楷体" w:cs="楷体"/>
          <w:b/>
          <w:bCs/>
          <w:color w:val="auto"/>
          <w:sz w:val="32"/>
          <w:szCs w:val="32"/>
          <w:highlight w:val="none"/>
          <w:lang w:eastAsia="zh-CN"/>
        </w:rPr>
        <w:t>）</w:t>
      </w:r>
      <w:bookmarkEnd w:id="8"/>
      <w:r>
        <w:rPr>
          <w:rFonts w:hint="eastAsia" w:ascii="楷体" w:hAnsi="楷体" w:eastAsia="楷体" w:cs="楷体"/>
          <w:b/>
          <w:bCs/>
          <w:color w:val="auto"/>
          <w:sz w:val="32"/>
          <w:szCs w:val="32"/>
          <w:highlight w:val="none"/>
          <w:lang w:val="en-US" w:eastAsia="zh-CN"/>
        </w:rPr>
        <w:t>项目绩效目标完成程度</w:t>
      </w:r>
      <w:bookmarkEnd w:id="10"/>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default" w:ascii="仿宋" w:hAnsi="仿宋" w:eastAsia="仿宋" w:cs="仿宋"/>
          <w:b w:val="0"/>
          <w:bCs w:val="0"/>
          <w:color w:val="auto"/>
          <w:sz w:val="32"/>
          <w:szCs w:val="32"/>
          <w:highlight w:val="none"/>
          <w:lang w:val="en-US" w:eastAsia="zh-CN"/>
        </w:rPr>
      </w:pPr>
      <w:bookmarkStart w:id="11" w:name="_Toc390096926"/>
      <w:r>
        <w:rPr>
          <w:rFonts w:hint="eastAsia" w:ascii="仿宋" w:hAnsi="仿宋" w:eastAsia="仿宋" w:cs="仿宋"/>
          <w:b w:val="0"/>
          <w:bCs w:val="0"/>
          <w:color w:val="auto"/>
          <w:sz w:val="32"/>
          <w:szCs w:val="32"/>
          <w:highlight w:val="none"/>
          <w:lang w:val="en-US" w:eastAsia="zh-CN"/>
        </w:rPr>
        <w:t>该项目由于规划比较早，项目建设单位没有编报总体绩效目标和年度绩效目标，根据项目可研报告、立项批复文件和施工合同等相关资料，可设立以下绩效目标：</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w:t>
      </w:r>
      <w:bookmarkEnd w:id="11"/>
      <w:r>
        <w:rPr>
          <w:rFonts w:hint="eastAsia" w:ascii="仿宋" w:hAnsi="仿宋" w:eastAsia="仿宋" w:cs="仿宋"/>
          <w:b/>
          <w:bCs/>
          <w:color w:val="auto"/>
          <w:sz w:val="32"/>
          <w:szCs w:val="32"/>
          <w:highlight w:val="none"/>
          <w:lang w:val="en-US" w:eastAsia="zh-CN"/>
        </w:rPr>
        <w:t>项目总体目标。</w:t>
      </w:r>
      <w:r>
        <w:rPr>
          <w:rFonts w:hint="eastAsia" w:ascii="仿宋" w:hAnsi="仿宋" w:eastAsia="仿宋" w:cs="仿宋"/>
          <w:b w:val="0"/>
          <w:bCs w:val="0"/>
          <w:color w:val="auto"/>
          <w:sz w:val="32"/>
          <w:szCs w:val="32"/>
          <w:highlight w:val="none"/>
          <w:lang w:val="en-US" w:eastAsia="zh-CN"/>
        </w:rPr>
        <w:t>邵阳火车站综合交通枢纽项目是湖南省重点民生项目，是邵阳市“二中心一枢纽”战略的重点工程。项目具有交通集散、零距离换乘、停车等多种功能，项目投入使用后将彻底改变邵阳交通格局，搭建邵阳城市发展框架，拉近邵阳与全国中心城市、沿海发达地区的距离，极大的方便广大人民群众高效、便捷、舒适出行。</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2.项目年度目标。</w:t>
      </w:r>
      <w:r>
        <w:rPr>
          <w:rFonts w:hint="eastAsia" w:ascii="仿宋" w:hAnsi="仿宋" w:eastAsia="仿宋" w:cs="仿宋"/>
          <w:b w:val="0"/>
          <w:bCs w:val="0"/>
          <w:color w:val="auto"/>
          <w:sz w:val="32"/>
          <w:szCs w:val="32"/>
          <w:highlight w:val="none"/>
          <w:lang w:val="en-US" w:eastAsia="zh-CN"/>
        </w:rPr>
        <w:t>今年的年度目标为：完成总建筑面积为3.2 万平方米的北面站房和线上高架候车室建设，完成金山路下穿铁路道路立交工程建设，启用出站集散厅，桥面达到通车条件。</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3.项目产出情况。</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截止2023年6月30日，该项目累计完成工程建设相关支出157337.81万元，为项目概算总投资的52.5%；工程项目完工率约为90%，</w:t>
      </w:r>
      <w:r>
        <w:rPr>
          <w:rFonts w:hint="eastAsia" w:ascii="仿宋" w:hAnsi="仿宋" w:eastAsia="仿宋" w:cs="仿宋"/>
          <w:color w:val="auto"/>
          <w:sz w:val="32"/>
          <w:szCs w:val="32"/>
          <w:highlight w:val="none"/>
          <w:lang w:val="en-US" w:eastAsia="zh-CN"/>
        </w:rPr>
        <w:t>有望在2023年9月30日投入使用。</w:t>
      </w:r>
      <w:r>
        <w:rPr>
          <w:rFonts w:hint="eastAsia" w:ascii="仿宋" w:hAnsi="仿宋" w:eastAsia="仿宋" w:cs="仿宋"/>
          <w:b w:val="0"/>
          <w:bCs w:val="0"/>
          <w:color w:val="auto"/>
          <w:sz w:val="32"/>
          <w:szCs w:val="32"/>
          <w:highlight w:val="none"/>
          <w:lang w:val="en-US" w:eastAsia="zh-CN"/>
        </w:rPr>
        <w:t>各项工程进度方面如下：</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1）邵阳站站房、雨棚及相关工程。邵阳火车站主体工程已完成，站场内新建了旅客地道，一、二、四、五站台改造和雨棚装修已完成并恢复运营，三站台已完成主体工程，附属工程正在施工中；站房高架候车室、新建站房主体结构和原有站房改造已全部完成 ，机电安装完成 85%，金属屋面完成 95%，管线改造完成100%。</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（2）邵阳站北广场匝道、高架桥、出站集散厅工程。东、西匝道桥主体工程已完成，出站集散厅基坑主体已完工，高架桥护栏已安装，集散厅已建成，正在装修中。</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3）金山路下穿益湛铁路框架桥立交工程。完成第二阶段剩余32米框架主体，三站台及雨棚主体。装修工程：现阶段已全部完成铁路围墙内所有工作，铁路围墙外完成U型槽段基坑防护桩和冠梁。整体上已完成施工图设计工程量的90%。</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（4）未建设工程：根据项目总体规划，邵阳火车站综合交通枢纽项目周边需建14 条道路，形成一个完整的区域道路网络，但目前除金山路下穿益湛铁路框架桥立交工程在建、紫霞路下穿铁路工程建成外，其他12条道路均未动工；南站房、南广场、公交车和出租车停车系统、智能化地下停车场、长途客运站项目均未建设。</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黑体" w:hAnsi="黑体" w:eastAsia="黑体" w:cs="黑体"/>
          <w:color w:val="auto"/>
          <w:kern w:val="0"/>
          <w:sz w:val="32"/>
          <w:szCs w:val="32"/>
          <w:highlight w:val="none"/>
        </w:rPr>
      </w:pPr>
      <w:bookmarkStart w:id="12" w:name="_Toc29252"/>
      <w:bookmarkStart w:id="13" w:name="_Toc21291"/>
      <w:r>
        <w:rPr>
          <w:rFonts w:hint="eastAsia" w:ascii="黑体" w:hAnsi="黑体" w:eastAsia="黑体" w:cs="黑体"/>
          <w:color w:val="auto"/>
          <w:kern w:val="0"/>
          <w:sz w:val="32"/>
          <w:szCs w:val="32"/>
          <w:highlight w:val="none"/>
          <w:lang w:eastAsia="zh-CN"/>
        </w:rPr>
        <w:t>二</w:t>
      </w:r>
      <w:r>
        <w:rPr>
          <w:rFonts w:hint="eastAsia" w:ascii="黑体" w:hAnsi="黑体" w:eastAsia="黑体" w:cs="黑体"/>
          <w:color w:val="auto"/>
          <w:kern w:val="0"/>
          <w:sz w:val="32"/>
          <w:szCs w:val="32"/>
          <w:highlight w:val="none"/>
        </w:rPr>
        <w:t>、绩效评价工作情况</w:t>
      </w:r>
      <w:bookmarkEnd w:id="12"/>
      <w:bookmarkEnd w:id="13"/>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color w:val="auto"/>
          <w:sz w:val="32"/>
          <w:szCs w:val="32"/>
          <w:highlight w:val="none"/>
          <w:shd w:val="clear" w:color="auto" w:fill="FFFFFF"/>
          <w:lang w:eastAsia="zh-CN"/>
        </w:rPr>
      </w:pPr>
      <w:bookmarkStart w:id="14" w:name="_Toc30830"/>
      <w:bookmarkStart w:id="15" w:name="_Toc20898"/>
      <w:r>
        <w:rPr>
          <w:rFonts w:hint="eastAsia" w:ascii="楷体" w:hAnsi="楷体" w:eastAsia="楷体" w:cs="楷体"/>
          <w:b/>
          <w:color w:val="auto"/>
          <w:sz w:val="32"/>
          <w:szCs w:val="32"/>
          <w:highlight w:val="none"/>
          <w:shd w:val="clear" w:color="auto" w:fill="FFFFFF"/>
          <w:lang w:eastAsia="zh-CN"/>
        </w:rPr>
        <w:t>（一）绩效评价目的</w:t>
      </w:r>
      <w:bookmarkEnd w:id="14"/>
      <w:bookmarkEnd w:id="15"/>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 w:hAnsi="仿宋" w:eastAsia="仿宋" w:cs="仿宋"/>
          <w:color w:val="auto"/>
          <w:sz w:val="32"/>
          <w:szCs w:val="32"/>
          <w:highlight w:val="none"/>
          <w:shd w:val="clear" w:color="auto" w:fill="FFFFFF"/>
          <w:lang w:val="en-US"/>
        </w:rPr>
      </w:pPr>
      <w:r>
        <w:rPr>
          <w:rFonts w:hint="eastAsia" w:ascii="仿宋" w:hAnsi="仿宋" w:eastAsia="仿宋" w:cs="仿宋"/>
          <w:color w:val="auto"/>
          <w:sz w:val="32"/>
          <w:szCs w:val="32"/>
          <w:highlight w:val="none"/>
          <w:shd w:val="clear" w:color="auto" w:fill="FFFFFF"/>
        </w:rPr>
        <w:t>通过全面了解</w:t>
      </w:r>
      <w:r>
        <w:rPr>
          <w:rFonts w:hint="eastAsia" w:ascii="仿宋" w:hAnsi="仿宋" w:eastAsia="仿宋" w:cs="仿宋"/>
          <w:color w:val="auto"/>
          <w:sz w:val="32"/>
          <w:szCs w:val="32"/>
          <w:highlight w:val="none"/>
          <w:shd w:val="clear" w:color="auto" w:fill="FFFFFF"/>
          <w:lang w:val="en-US" w:eastAsia="zh-CN"/>
        </w:rPr>
        <w:t>该</w:t>
      </w:r>
      <w:r>
        <w:rPr>
          <w:rFonts w:hint="eastAsia" w:ascii="仿宋" w:hAnsi="仿宋" w:eastAsia="仿宋" w:cs="仿宋"/>
          <w:color w:val="auto"/>
          <w:sz w:val="32"/>
          <w:szCs w:val="32"/>
          <w:highlight w:val="none"/>
          <w:shd w:val="clear" w:color="auto" w:fill="FFFFFF"/>
        </w:rPr>
        <w:t>项目的</w:t>
      </w:r>
      <w:r>
        <w:rPr>
          <w:rFonts w:hint="eastAsia" w:ascii="仿宋" w:hAnsi="仿宋" w:eastAsia="仿宋" w:cs="仿宋"/>
          <w:color w:val="auto"/>
          <w:sz w:val="32"/>
          <w:szCs w:val="32"/>
          <w:highlight w:val="none"/>
          <w:shd w:val="clear" w:color="auto" w:fill="FFFFFF"/>
          <w:lang w:val="en-US" w:eastAsia="zh-CN"/>
        </w:rPr>
        <w:t>建设</w:t>
      </w:r>
      <w:r>
        <w:rPr>
          <w:rFonts w:hint="eastAsia" w:ascii="仿宋" w:hAnsi="仿宋" w:eastAsia="仿宋" w:cs="仿宋"/>
          <w:b w:val="0"/>
          <w:bCs w:val="0"/>
          <w:color w:val="auto"/>
          <w:sz w:val="32"/>
          <w:szCs w:val="32"/>
          <w:highlight w:val="none"/>
          <w:lang w:val="en-US" w:eastAsia="zh-CN"/>
        </w:rPr>
        <w:t>背景、项目的资金筹措、项目的</w:t>
      </w:r>
      <w:r>
        <w:rPr>
          <w:rFonts w:hint="eastAsia" w:ascii="仿宋" w:hAnsi="仿宋" w:eastAsia="仿宋" w:cs="仿宋"/>
          <w:color w:val="auto"/>
          <w:sz w:val="32"/>
          <w:szCs w:val="32"/>
          <w:highlight w:val="none"/>
          <w:shd w:val="clear" w:color="auto" w:fill="FFFFFF"/>
        </w:rPr>
        <w:t>申报审批、组织实施及</w:t>
      </w:r>
      <w:r>
        <w:rPr>
          <w:rFonts w:hint="eastAsia" w:ascii="仿宋" w:hAnsi="仿宋" w:eastAsia="仿宋" w:cs="仿宋"/>
          <w:color w:val="auto"/>
          <w:sz w:val="32"/>
          <w:szCs w:val="32"/>
          <w:highlight w:val="none"/>
          <w:shd w:val="clear" w:color="auto" w:fill="FFFFFF"/>
          <w:lang w:val="en-US" w:eastAsia="zh-CN"/>
        </w:rPr>
        <w:t>管理</w:t>
      </w:r>
      <w:r>
        <w:rPr>
          <w:rFonts w:hint="eastAsia" w:ascii="仿宋" w:hAnsi="仿宋" w:eastAsia="仿宋" w:cs="仿宋"/>
          <w:color w:val="auto"/>
          <w:sz w:val="32"/>
          <w:szCs w:val="32"/>
          <w:highlight w:val="none"/>
          <w:shd w:val="clear" w:color="auto" w:fill="FFFFFF"/>
        </w:rPr>
        <w:t>情况</w:t>
      </w:r>
      <w:r>
        <w:rPr>
          <w:rFonts w:hint="eastAsia" w:ascii="仿宋" w:hAnsi="仿宋" w:eastAsia="仿宋" w:cs="仿宋"/>
          <w:color w:val="auto"/>
          <w:sz w:val="32"/>
          <w:szCs w:val="32"/>
          <w:highlight w:val="none"/>
          <w:shd w:val="clear" w:color="auto" w:fill="FFFFFF"/>
          <w:lang w:eastAsia="zh-CN"/>
        </w:rPr>
        <w:t>，</w:t>
      </w:r>
      <w:r>
        <w:rPr>
          <w:rFonts w:hint="eastAsia" w:ascii="仿宋" w:hAnsi="仿宋" w:eastAsia="仿宋" w:cs="仿宋"/>
          <w:color w:val="auto"/>
          <w:sz w:val="32"/>
          <w:szCs w:val="32"/>
          <w:highlight w:val="none"/>
          <w:shd w:val="clear" w:color="auto" w:fill="FFFFFF"/>
          <w:lang w:val="en-US" w:eastAsia="zh-CN"/>
        </w:rPr>
        <w:t>深度挖掘资金管理和项目建设经验和不足，综合分析其产生的原因，为提高资金使用绩效、保证项目建设质量提出建设性意见。</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color w:val="auto"/>
          <w:sz w:val="32"/>
          <w:szCs w:val="32"/>
          <w:highlight w:val="none"/>
          <w:shd w:val="clear" w:color="auto" w:fill="FFFFFF"/>
          <w:lang w:eastAsia="zh-CN"/>
        </w:rPr>
      </w:pPr>
      <w:bookmarkStart w:id="16" w:name="_Toc9908"/>
      <w:bookmarkStart w:id="17" w:name="_Toc26254"/>
      <w:r>
        <w:rPr>
          <w:rFonts w:hint="eastAsia" w:ascii="楷体" w:hAnsi="楷体" w:eastAsia="楷体" w:cs="楷体"/>
          <w:b/>
          <w:color w:val="auto"/>
          <w:sz w:val="32"/>
          <w:szCs w:val="32"/>
          <w:highlight w:val="none"/>
          <w:shd w:val="clear" w:color="auto" w:fill="FFFFFF"/>
          <w:lang w:eastAsia="zh-CN"/>
        </w:rPr>
        <w:t>绩效评价</w:t>
      </w:r>
      <w:r>
        <w:rPr>
          <w:rFonts w:hint="eastAsia" w:ascii="楷体" w:hAnsi="楷体" w:eastAsia="楷体" w:cs="楷体"/>
          <w:b/>
          <w:color w:val="auto"/>
          <w:sz w:val="32"/>
          <w:szCs w:val="32"/>
          <w:highlight w:val="none"/>
          <w:shd w:val="clear" w:color="auto" w:fill="FFFFFF"/>
          <w:lang w:val="en-US" w:eastAsia="zh-CN"/>
        </w:rPr>
        <w:t>依据</w:t>
      </w:r>
      <w:bookmarkEnd w:id="16"/>
      <w:bookmarkEnd w:id="17"/>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1</w:t>
      </w:r>
      <w:r>
        <w:rPr>
          <w:rFonts w:hint="eastAsia" w:ascii="仿宋" w:hAnsi="仿宋" w:eastAsia="仿宋" w:cs="仿宋"/>
          <w:b/>
          <w:bCs/>
          <w:color w:val="auto"/>
          <w:sz w:val="32"/>
          <w:szCs w:val="32"/>
          <w:highlight w:val="none"/>
          <w:lang w:val="en-US" w:eastAsia="zh-CN"/>
        </w:rPr>
        <w:t>.与本项目有关的预算绩效管理政策制度。</w:t>
      </w:r>
      <w:r>
        <w:rPr>
          <w:rFonts w:hint="eastAsia" w:ascii="仿宋" w:hAnsi="仿宋" w:eastAsia="仿宋" w:cs="仿宋"/>
          <w:b w:val="0"/>
          <w:bCs w:val="0"/>
          <w:color w:val="auto"/>
          <w:sz w:val="32"/>
          <w:szCs w:val="32"/>
          <w:highlight w:val="none"/>
          <w:lang w:val="en-US" w:eastAsia="zh-CN"/>
        </w:rPr>
        <w:t>主</w:t>
      </w:r>
      <w:r>
        <w:rPr>
          <w:rFonts w:hint="eastAsia" w:ascii="仿宋" w:hAnsi="仿宋" w:eastAsia="仿宋" w:cs="仿宋"/>
          <w:color w:val="auto"/>
          <w:sz w:val="32"/>
          <w:szCs w:val="32"/>
          <w:highlight w:val="none"/>
        </w:rPr>
        <w:t>要包括：《中共中央 国务院关于全面实施预算绩效管理的意见》（中发〔2018〕34号）、财政部《项目支出绩效评价管理办法》（财预〔2020〕10号）、《中共湖南省委办公厅 湖南省人民政府办公厅关于全面实施预算绩效管理的实施意见》（湘办发〔2019〕10号）、《湖南省人民政府办公厅关于进一步规范财政管理硬化预算约束的通知》（湘政办发〔2020〕12号）、《湖南省预算支出绩效评价管理办法的通知》（湘财绩〔2020〕7号）等相关文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2.与政府专项债券资金管理相关政策制度。</w:t>
      </w:r>
      <w:r>
        <w:rPr>
          <w:rFonts w:hint="eastAsia" w:ascii="仿宋" w:hAnsi="仿宋" w:eastAsia="仿宋" w:cs="仿宋"/>
          <w:color w:val="auto"/>
          <w:sz w:val="32"/>
          <w:szCs w:val="32"/>
          <w:highlight w:val="none"/>
          <w:lang w:val="en-US" w:eastAsia="zh-CN"/>
        </w:rPr>
        <w:t>主要包括：《中共中央办公厅 国务院办公厅印发关于做好地方政府专项债券发行及项目配套融资工作的通知》（厅字〔2019〕33号）、《国务院关于加强地方政府性债务管理的意见》（国发〔2014〕43号）、《地方政府专项债务预算管理办法》（财预〔2016〕155号）、《地方政府专项债券项目资金绩效管理办法》（财预〔2021〕61号）、《中共湖南省委 湖南省人民政府关于严控政府性债务增长切实防范债务风险的若干意见》（湘发〔2018〕5号）、《湖南省政府债务项目绩效管理暂行办法》（湘财绩〔2020〕12号）、《湖南省政府专项债券管理暂行办法》（湘财债管〔2021〕18号）等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color w:val="auto"/>
          <w:sz w:val="32"/>
          <w:szCs w:val="32"/>
          <w:highlight w:val="none"/>
          <w:shd w:val="clear" w:color="auto" w:fill="FFFFFF"/>
          <w:lang w:eastAsia="zh-CN"/>
        </w:rPr>
      </w:pPr>
      <w:r>
        <w:rPr>
          <w:rFonts w:hint="eastAsia" w:ascii="楷体" w:hAnsi="楷体" w:eastAsia="楷体" w:cs="楷体"/>
          <w:b/>
          <w:color w:val="auto"/>
          <w:sz w:val="32"/>
          <w:szCs w:val="32"/>
          <w:highlight w:val="none"/>
          <w:shd w:val="clear" w:color="auto" w:fill="FFFFFF"/>
          <w:lang w:eastAsia="zh-CN"/>
        </w:rPr>
        <w:t>绩效评价指标体系、评价方法</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本次绩效评价工作制定了准确、合理、细致的三级绩效评价指标体系，包括</w:t>
      </w:r>
      <w:r>
        <w:rPr>
          <w:rFonts w:hint="eastAsia" w:ascii="仿宋" w:hAnsi="仿宋" w:eastAsia="仿宋" w:cs="仿宋"/>
          <w:color w:val="auto"/>
          <w:sz w:val="32"/>
          <w:szCs w:val="32"/>
          <w:highlight w:val="none"/>
          <w:lang w:eastAsia="zh-CN"/>
        </w:rPr>
        <w:t>项目决策、过程、产出、</w:t>
      </w:r>
      <w:r>
        <w:rPr>
          <w:rFonts w:hint="eastAsia" w:ascii="仿宋" w:hAnsi="仿宋" w:eastAsia="仿宋" w:cs="仿宋"/>
          <w:color w:val="auto"/>
          <w:sz w:val="32"/>
          <w:szCs w:val="32"/>
          <w:highlight w:val="none"/>
          <w:lang w:val="en-US" w:eastAsia="zh-CN"/>
        </w:rPr>
        <w:t>效果</w:t>
      </w:r>
      <w:r>
        <w:rPr>
          <w:rFonts w:hint="eastAsia" w:ascii="仿宋" w:hAnsi="仿宋" w:eastAsia="仿宋" w:cs="仿宋"/>
          <w:color w:val="auto"/>
          <w:sz w:val="32"/>
          <w:szCs w:val="32"/>
          <w:highlight w:val="none"/>
          <w:lang w:eastAsia="zh-CN"/>
        </w:rPr>
        <w:t>的</w:t>
      </w:r>
      <w:r>
        <w:rPr>
          <w:rFonts w:hint="eastAsia" w:ascii="仿宋" w:hAnsi="仿宋" w:eastAsia="仿宋" w:cs="仿宋"/>
          <w:color w:val="auto"/>
          <w:sz w:val="32"/>
          <w:szCs w:val="32"/>
          <w:highlight w:val="none"/>
        </w:rPr>
        <w:t>评价指标，</w:t>
      </w:r>
      <w:r>
        <w:rPr>
          <w:rFonts w:hint="eastAsia" w:ascii="仿宋" w:hAnsi="仿宋" w:eastAsia="仿宋" w:cs="仿宋"/>
          <w:color w:val="auto"/>
          <w:sz w:val="32"/>
          <w:szCs w:val="32"/>
          <w:highlight w:val="none"/>
          <w:lang w:val="en-US" w:eastAsia="zh-CN"/>
        </w:rPr>
        <w:t>满分100分。绩效评价结果分为四个等级：90分（含）—100分为优，80分（含）—90分为良，60分（含）—80分为较差，60分以下为差。</w:t>
      </w:r>
      <w:r>
        <w:rPr>
          <w:rFonts w:hint="eastAsia" w:ascii="仿宋" w:hAnsi="仿宋" w:eastAsia="仿宋" w:cs="仿宋"/>
          <w:color w:val="auto"/>
          <w:sz w:val="32"/>
          <w:szCs w:val="32"/>
          <w:highlight w:val="none"/>
        </w:rPr>
        <w:t>采用查阅资料、实地查看、问卷调查和听取情况介绍等方法进行。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楷体" w:hAnsi="楷体" w:eastAsia="楷体" w:cs="楷体"/>
          <w:b/>
          <w:bCs/>
          <w:color w:val="auto"/>
          <w:spacing w:val="-8"/>
          <w:kern w:val="2"/>
          <w:sz w:val="32"/>
          <w:szCs w:val="32"/>
          <w:highlight w:val="none"/>
          <w:lang w:val="en-US" w:eastAsia="zh-CN" w:bidi="ar-SA"/>
        </w:rPr>
      </w:pPr>
      <w:bookmarkStart w:id="18" w:name="_Toc7615"/>
      <w:bookmarkStart w:id="19" w:name="_Toc10316"/>
      <w:r>
        <w:rPr>
          <w:rFonts w:hint="eastAsia" w:ascii="黑体" w:hAnsi="黑体" w:eastAsia="黑体" w:cs="黑体"/>
          <w:color w:val="auto"/>
          <w:kern w:val="0"/>
          <w:sz w:val="32"/>
          <w:szCs w:val="32"/>
          <w:highlight w:val="none"/>
          <w:lang w:eastAsia="zh-CN"/>
        </w:rPr>
        <w:t>三</w:t>
      </w:r>
      <w:r>
        <w:rPr>
          <w:rFonts w:hint="eastAsia"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lang w:eastAsia="zh-CN"/>
        </w:rPr>
        <w:t>主要绩效及评价结论</w:t>
      </w:r>
      <w:bookmarkEnd w:id="18"/>
      <w:bookmarkEnd w:id="19"/>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1"/>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该项目的实施，极大地改善了邵阳市的交通格局和区位优势，为实现邵阳市委、市政府实施重大战略提供有力支撑。</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1"/>
        <w:rPr>
          <w:rFonts w:hint="eastAsia" w:ascii="楷体" w:hAnsi="楷体" w:eastAsia="楷体" w:cs="楷体"/>
          <w:b/>
          <w:bCs/>
          <w:color w:val="auto"/>
          <w:spacing w:val="-8"/>
          <w:kern w:val="2"/>
          <w:sz w:val="32"/>
          <w:szCs w:val="32"/>
          <w:highlight w:val="none"/>
          <w:lang w:val="en-US" w:eastAsia="zh-CN" w:bidi="ar-SA"/>
        </w:rPr>
      </w:pPr>
      <w:r>
        <w:rPr>
          <w:rFonts w:hint="eastAsia" w:ascii="楷体" w:hAnsi="楷体" w:eastAsia="楷体" w:cs="楷体"/>
          <w:b/>
          <w:bCs/>
          <w:color w:val="auto"/>
          <w:spacing w:val="-8"/>
          <w:kern w:val="2"/>
          <w:sz w:val="32"/>
          <w:szCs w:val="32"/>
          <w:highlight w:val="none"/>
          <w:lang w:val="en-US" w:eastAsia="zh-CN" w:bidi="ar-SA"/>
        </w:rPr>
        <w:t>（一）经济效益</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firstLine="640" w:firstLineChars="200"/>
        <w:textAlignment w:val="auto"/>
        <w:outlineLvl w:val="2"/>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为城市发展、招商引资创造宽松优秀的投资环境。主要表现在：一是项目建成后的运营、维护能够直接、间接地增加就业岗位，对稳就业有非常大的积极作用；二是有利于城市经济规模的进一步扩大，区域经济结构得到进一步优化，人才流、货物流、资金流和招商流等流动性进一步增加，交通和招商投资环境大为改善，促进先进制造产业链加速落户邵阳；三是带动旅游等相关产业的发展。邵阳境内旅游资源丰富，有多处世界文化遗产和国家级、省级风景名胜区，项目的建成，能极大方便四方游客来邵游玩，促进旅游事业快速、持续发展，助力邵阳打造成“旅游大市”。四是该项目配套的商业设施，通过“交通+商业”的开发模式，赋予交通枢纽更多的社会及经济附加值，将带动周围的商业、零售业、餐饮业等一系列经济发展，将极大的提升火车站周边土地开发的价值。</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1"/>
        <w:rPr>
          <w:rFonts w:hint="eastAsia" w:ascii="楷体" w:hAnsi="楷体" w:eastAsia="楷体" w:cs="楷体"/>
          <w:b/>
          <w:bCs/>
          <w:color w:val="auto"/>
          <w:spacing w:val="-8"/>
          <w:kern w:val="2"/>
          <w:sz w:val="32"/>
          <w:szCs w:val="32"/>
          <w:highlight w:val="none"/>
          <w:lang w:val="en-US" w:eastAsia="zh-CN" w:bidi="ar-SA"/>
        </w:rPr>
      </w:pPr>
      <w:bookmarkStart w:id="20" w:name="_Toc12875"/>
      <w:r>
        <w:rPr>
          <w:rFonts w:hint="eastAsia" w:ascii="楷体" w:hAnsi="楷体" w:eastAsia="楷体" w:cs="楷体"/>
          <w:b/>
          <w:bCs/>
          <w:color w:val="auto"/>
          <w:spacing w:val="-8"/>
          <w:kern w:val="2"/>
          <w:sz w:val="32"/>
          <w:szCs w:val="32"/>
          <w:highlight w:val="none"/>
          <w:lang w:val="en-US" w:eastAsia="zh-CN" w:bidi="ar-SA"/>
        </w:rPr>
        <w:t>（二）社会效益</w:t>
      </w:r>
      <w:bookmarkEnd w:id="20"/>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1"/>
        <w:rPr>
          <w:rFonts w:hint="default" w:ascii="仿宋" w:hAnsi="仿宋" w:eastAsia="仿宋" w:cs="仿宋"/>
          <w:b/>
          <w:bCs/>
          <w:color w:val="auto"/>
          <w:spacing w:val="-8"/>
          <w:kern w:val="2"/>
          <w:sz w:val="32"/>
          <w:szCs w:val="32"/>
          <w:highlight w:val="none"/>
          <w:lang w:val="en-US" w:eastAsia="zh-CN" w:bidi="ar-SA"/>
        </w:rPr>
      </w:pPr>
      <w:r>
        <w:rPr>
          <w:rFonts w:hint="eastAsia" w:ascii="仿宋" w:hAnsi="仿宋" w:eastAsia="仿宋" w:cs="仿宋"/>
          <w:b/>
          <w:bCs/>
          <w:color w:val="auto"/>
          <w:spacing w:val="-8"/>
          <w:kern w:val="2"/>
          <w:sz w:val="32"/>
          <w:szCs w:val="32"/>
          <w:highlight w:val="none"/>
          <w:lang w:val="en-US" w:eastAsia="zh-CN" w:bidi="ar-SA"/>
        </w:rPr>
        <w:t>1.助力形成区位优势，打造“二中心一枢纽”战略</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邵阳火车站是我国铁路规划“八纵八横”之一的洛湛铁路娄邵段和邵永段的节点车站，邵阳火车客运站交通枢纽工程项目的建设，补齐发展短板，促进构建邵阳公路、铁路、航空和水运现代交通运输网络体系，形成交通区位条件优势；加快邵阳融入更大发展格局，推进产业转移，展示城市形象，扩大对外开放，提升区域影响力、辐射力；加速邵阳“二中心一枢纽”重大战略的实施，促进邵阳经济、社会、文化等方面可持续发展。</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firstLine="611" w:firstLineChars="200"/>
        <w:textAlignment w:val="auto"/>
        <w:outlineLvl w:val="1"/>
        <w:rPr>
          <w:rFonts w:hint="eastAsia" w:ascii="仿宋" w:hAnsi="仿宋" w:eastAsia="仿宋" w:cs="仿宋"/>
          <w:b/>
          <w:bCs/>
          <w:color w:val="auto"/>
          <w:spacing w:val="-8"/>
          <w:kern w:val="2"/>
          <w:sz w:val="32"/>
          <w:szCs w:val="32"/>
          <w:highlight w:val="none"/>
          <w:lang w:val="en-US" w:eastAsia="zh-CN" w:bidi="ar-SA"/>
        </w:rPr>
      </w:pPr>
      <w:r>
        <w:rPr>
          <w:rFonts w:hint="eastAsia" w:ascii="仿宋" w:hAnsi="仿宋" w:eastAsia="仿宋" w:cs="仿宋"/>
          <w:b/>
          <w:bCs/>
          <w:color w:val="auto"/>
          <w:spacing w:val="-8"/>
          <w:kern w:val="2"/>
          <w:sz w:val="32"/>
          <w:szCs w:val="32"/>
          <w:highlight w:val="none"/>
          <w:lang w:val="en-US" w:eastAsia="zh-CN" w:bidi="ar-SA"/>
        </w:rPr>
        <w:t>2.有效打通城市交通瓶颈，缓解交通压力</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该项目的实施，建成了长途客运与市区公共交通换乘枢纽，将实现长途客运和市内交通的无缝对接；紫霞路下穿铁路道路工程和金山路下穿益湛铁路立交工程的建成，实现车流分流。这些都极大地方便了广大市民的出行，改善了城市交通的状况，体现了民生工程的属性。</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eastAsia" w:ascii="仿宋" w:hAnsi="仿宋" w:eastAsia="仿宋" w:cs="仿宋"/>
          <w:b w:val="0"/>
          <w:bCs w:val="0"/>
          <w:color w:val="auto"/>
          <w:sz w:val="32"/>
          <w:szCs w:val="32"/>
          <w:highlight w:val="none"/>
          <w:lang w:val="en-US" w:eastAsia="zh-CN"/>
        </w:rPr>
      </w:pPr>
      <w:bookmarkStart w:id="21" w:name="_Toc21289"/>
      <w:r>
        <w:rPr>
          <w:rFonts w:hint="eastAsia" w:ascii="楷体" w:hAnsi="楷体" w:eastAsia="楷体" w:cs="楷体"/>
          <w:b/>
          <w:bCs/>
          <w:color w:val="auto"/>
          <w:spacing w:val="-8"/>
          <w:kern w:val="2"/>
          <w:sz w:val="32"/>
          <w:szCs w:val="32"/>
          <w:highlight w:val="none"/>
          <w:lang w:val="en-US" w:eastAsia="zh-CN" w:bidi="ar-SA"/>
        </w:rPr>
        <w:t>（三）可持续影响</w:t>
      </w:r>
      <w:bookmarkEnd w:id="21"/>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outlineLvl w:val="2"/>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邵阳火车客运站交通枢纽工程项目的建设，彻底扭转了沪昆高铁未过市区给邵阳造成的尴尬局面，奠定了邵阳“二中心一枢纽”的雏形，构建了邵阳大交通的格局，提升了整个城市的品味，</w:t>
      </w:r>
      <w:r>
        <w:rPr>
          <w:rFonts w:hint="eastAsia" w:ascii="仿宋" w:hAnsi="仿宋" w:eastAsia="仿宋" w:cs="仿宋"/>
          <w:color w:val="auto"/>
          <w:spacing w:val="-8"/>
          <w:sz w:val="32"/>
          <w:szCs w:val="32"/>
          <w:highlight w:val="none"/>
          <w:lang w:eastAsia="zh-CN"/>
        </w:rPr>
        <w:t>完善</w:t>
      </w:r>
      <w:r>
        <w:rPr>
          <w:rFonts w:hint="eastAsia" w:ascii="仿宋" w:hAnsi="仿宋" w:eastAsia="仿宋" w:cs="仿宋"/>
          <w:color w:val="auto"/>
          <w:spacing w:val="-8"/>
          <w:sz w:val="32"/>
          <w:szCs w:val="32"/>
          <w:highlight w:val="none"/>
          <w:lang w:val="en-US" w:eastAsia="zh-CN"/>
        </w:rPr>
        <w:t>了</w:t>
      </w:r>
      <w:r>
        <w:rPr>
          <w:rFonts w:hint="eastAsia" w:ascii="仿宋" w:hAnsi="仿宋" w:eastAsia="仿宋" w:cs="仿宋"/>
          <w:color w:val="auto"/>
          <w:spacing w:val="-8"/>
          <w:sz w:val="32"/>
          <w:szCs w:val="32"/>
          <w:highlight w:val="none"/>
          <w:lang w:eastAsia="zh-CN"/>
        </w:rPr>
        <w:t>城市功能，</w:t>
      </w:r>
      <w:r>
        <w:rPr>
          <w:rFonts w:hint="eastAsia" w:ascii="仿宋" w:hAnsi="仿宋" w:eastAsia="仿宋" w:cs="仿宋"/>
          <w:b w:val="0"/>
          <w:bCs w:val="0"/>
          <w:color w:val="auto"/>
          <w:sz w:val="32"/>
          <w:szCs w:val="32"/>
          <w:highlight w:val="none"/>
          <w:lang w:val="en-US" w:eastAsia="zh-CN"/>
        </w:rPr>
        <w:t>为邵阳经济可持续发展提供了源源不断的动力。一座现代化的高铁站建成，除为广大人民群众提供高效、舒适的出行方式外，其本身就是一部很好宣传片，能展示城市魅力，凝聚发展动能，对整个邵阳的影响深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11" w:firstLineChars="200"/>
        <w:textAlignment w:val="auto"/>
        <w:outlineLvl w:val="1"/>
        <w:rPr>
          <w:rFonts w:hint="eastAsia" w:ascii="楷体" w:hAnsi="楷体" w:eastAsia="楷体" w:cs="楷体"/>
          <w:b/>
          <w:bCs/>
          <w:color w:val="auto"/>
          <w:spacing w:val="-8"/>
          <w:sz w:val="32"/>
          <w:szCs w:val="32"/>
          <w:highlight w:val="none"/>
          <w:lang w:val="en-US" w:eastAsia="zh-CN"/>
        </w:rPr>
      </w:pPr>
      <w:bookmarkStart w:id="22" w:name="_Toc29680"/>
      <w:r>
        <w:rPr>
          <w:rFonts w:hint="eastAsia" w:ascii="楷体" w:hAnsi="楷体" w:eastAsia="楷体" w:cs="楷体"/>
          <w:b/>
          <w:bCs/>
          <w:color w:val="auto"/>
          <w:spacing w:val="-8"/>
          <w:sz w:val="32"/>
          <w:szCs w:val="32"/>
          <w:highlight w:val="none"/>
          <w:lang w:val="en-US" w:eastAsia="zh-CN"/>
        </w:rPr>
        <w:t>（四）服务对象满意度</w:t>
      </w:r>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pacing w:val="-8"/>
          <w:sz w:val="32"/>
          <w:szCs w:val="32"/>
          <w:highlight w:val="none"/>
          <w:lang w:eastAsia="zh-CN"/>
        </w:rPr>
      </w:pPr>
      <w:r>
        <w:rPr>
          <w:rFonts w:hint="eastAsia" w:ascii="仿宋" w:hAnsi="仿宋" w:eastAsia="仿宋" w:cs="仿宋"/>
          <w:b w:val="0"/>
          <w:bCs w:val="0"/>
          <w:color w:val="auto"/>
          <w:sz w:val="32"/>
          <w:szCs w:val="32"/>
          <w:highlight w:val="none"/>
          <w:lang w:val="en-US" w:eastAsia="zh-CN"/>
        </w:rPr>
        <w:t>本次现场评价时，我们在火车站周边现场发放并收回30份有效调查问卷，调查对象包括商铺经营者、周边居民、游客，其中22份对项目建设投了满意票，满意率为73%。</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11" w:firstLineChars="200"/>
        <w:textAlignment w:val="auto"/>
        <w:outlineLvl w:val="1"/>
        <w:rPr>
          <w:rFonts w:hint="eastAsia" w:ascii="楷体" w:hAnsi="楷体" w:eastAsia="楷体" w:cs="楷体"/>
          <w:b/>
          <w:bCs/>
          <w:color w:val="auto"/>
          <w:spacing w:val="-8"/>
          <w:sz w:val="32"/>
          <w:szCs w:val="32"/>
          <w:highlight w:val="none"/>
          <w:lang w:val="en-US" w:eastAsia="zh-CN"/>
        </w:rPr>
      </w:pPr>
      <w:bookmarkStart w:id="23" w:name="_Toc5513"/>
      <w:r>
        <w:rPr>
          <w:rFonts w:hint="eastAsia" w:ascii="楷体" w:hAnsi="楷体" w:eastAsia="楷体" w:cs="楷体"/>
          <w:b/>
          <w:bCs/>
          <w:color w:val="auto"/>
          <w:spacing w:val="-8"/>
          <w:sz w:val="32"/>
          <w:szCs w:val="32"/>
          <w:highlight w:val="none"/>
          <w:lang w:eastAsia="zh-CN"/>
        </w:rPr>
        <w:t>（</w:t>
      </w:r>
      <w:r>
        <w:rPr>
          <w:rFonts w:hint="eastAsia" w:ascii="楷体" w:hAnsi="楷体" w:eastAsia="楷体" w:cs="楷体"/>
          <w:b/>
          <w:bCs/>
          <w:color w:val="auto"/>
          <w:spacing w:val="-8"/>
          <w:sz w:val="32"/>
          <w:szCs w:val="32"/>
          <w:highlight w:val="none"/>
          <w:lang w:val="en-US" w:eastAsia="zh-CN"/>
        </w:rPr>
        <w:t>五）评价结论</w:t>
      </w:r>
      <w:bookmarkEnd w:id="23"/>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根据被评价单位提供的资料和现场评价所掌握到的情况，现场评价组按照该项目设立的评分体系进行综合评议，集体打分，该项目得分85.5分，评价等级为“良”（详见附表和绩效评价指标评分过程情况说明）。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黑体" w:hAnsi="黑体" w:eastAsia="黑体" w:cs="黑体"/>
          <w:color w:val="auto"/>
          <w:kern w:val="0"/>
          <w:sz w:val="32"/>
          <w:szCs w:val="32"/>
          <w:highlight w:val="none"/>
          <w:lang w:eastAsia="zh-CN"/>
        </w:rPr>
      </w:pPr>
      <w:bookmarkStart w:id="24" w:name="_Toc27541"/>
      <w:bookmarkStart w:id="25" w:name="_Toc25824"/>
      <w:r>
        <w:rPr>
          <w:rFonts w:hint="eastAsia" w:ascii="黑体" w:hAnsi="黑体" w:eastAsia="黑体" w:cs="黑体"/>
          <w:color w:val="auto"/>
          <w:kern w:val="0"/>
          <w:sz w:val="32"/>
          <w:szCs w:val="32"/>
          <w:highlight w:val="none"/>
          <w:lang w:eastAsia="zh-CN"/>
        </w:rPr>
        <w:t>四</w:t>
      </w:r>
      <w:r>
        <w:rPr>
          <w:rFonts w:hint="eastAsia"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lang w:eastAsia="zh-CN"/>
        </w:rPr>
        <w:t>绩效评价指标分析</w:t>
      </w:r>
      <w:bookmarkEnd w:id="24"/>
      <w:bookmarkEnd w:id="25"/>
    </w:p>
    <w:p>
      <w:pPr>
        <w:keepNext w:val="0"/>
        <w:keepLines w:val="0"/>
        <w:pageBreakBefore w:val="0"/>
        <w:widowControl w:val="0"/>
        <w:kinsoku/>
        <w:wordWrap/>
        <w:overflowPunct/>
        <w:topLinePunct w:val="0"/>
        <w:autoSpaceDE/>
        <w:autoSpaceDN/>
        <w:bidi w:val="0"/>
        <w:adjustRightInd/>
        <w:snapToGrid/>
        <w:spacing w:line="360" w:lineRule="auto"/>
        <w:ind w:left="0" w:leftChars="0" w:firstLine="608" w:firstLineChars="200"/>
        <w:textAlignment w:val="auto"/>
        <w:outlineLvl w:val="1"/>
        <w:rPr>
          <w:rFonts w:hint="default" w:ascii="仿宋" w:hAnsi="仿宋" w:eastAsia="仿宋" w:cs="仿宋"/>
          <w:b w:val="0"/>
          <w:bCs w:val="0"/>
          <w:color w:val="auto"/>
          <w:sz w:val="32"/>
          <w:szCs w:val="32"/>
          <w:highlight w:val="none"/>
          <w:lang w:val="en-US" w:eastAsia="zh-CN"/>
        </w:rPr>
      </w:pPr>
      <w:bookmarkStart w:id="26" w:name="_Toc17767"/>
      <w:bookmarkStart w:id="27" w:name="_Toc23205"/>
      <w:bookmarkStart w:id="28" w:name="_Toc18630"/>
      <w:bookmarkStart w:id="29" w:name="_Toc26560"/>
      <w:r>
        <w:rPr>
          <w:rFonts w:hint="eastAsia" w:ascii="仿宋" w:hAnsi="仿宋" w:eastAsia="仿宋" w:cs="仿宋"/>
          <w:color w:val="auto"/>
          <w:spacing w:val="-8"/>
          <w:sz w:val="32"/>
          <w:szCs w:val="32"/>
          <w:highlight w:val="none"/>
        </w:rPr>
        <w:t>项目评价指标按</w:t>
      </w:r>
      <w:r>
        <w:rPr>
          <w:rFonts w:hint="eastAsia" w:ascii="仿宋" w:hAnsi="仿宋" w:eastAsia="仿宋" w:cs="仿宋"/>
          <w:color w:val="auto"/>
          <w:spacing w:val="-8"/>
          <w:sz w:val="32"/>
          <w:szCs w:val="32"/>
          <w:highlight w:val="none"/>
          <w:lang w:eastAsia="zh-CN"/>
        </w:rPr>
        <w:t>决策</w:t>
      </w:r>
      <w:r>
        <w:rPr>
          <w:rFonts w:hint="eastAsia" w:ascii="仿宋" w:hAnsi="仿宋" w:eastAsia="仿宋" w:cs="仿宋"/>
          <w:color w:val="auto"/>
          <w:spacing w:val="-8"/>
          <w:sz w:val="32"/>
          <w:szCs w:val="32"/>
          <w:highlight w:val="none"/>
        </w:rPr>
        <w:t>、过程、产出</w:t>
      </w:r>
      <w:r>
        <w:rPr>
          <w:rFonts w:hint="eastAsia" w:ascii="仿宋" w:hAnsi="仿宋" w:eastAsia="仿宋" w:cs="仿宋"/>
          <w:color w:val="auto"/>
          <w:spacing w:val="-8"/>
          <w:sz w:val="32"/>
          <w:szCs w:val="32"/>
          <w:highlight w:val="none"/>
          <w:lang w:val="en-US" w:eastAsia="zh-CN"/>
        </w:rPr>
        <w:t>与效益四</w:t>
      </w:r>
      <w:r>
        <w:rPr>
          <w:rFonts w:hint="eastAsia" w:ascii="仿宋" w:hAnsi="仿宋" w:eastAsia="仿宋" w:cs="仿宋"/>
          <w:color w:val="auto"/>
          <w:spacing w:val="-8"/>
          <w:sz w:val="32"/>
          <w:szCs w:val="32"/>
          <w:highlight w:val="none"/>
        </w:rPr>
        <w:t>个方面以百分制集体打分方式进行具体细分评价</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rPr>
        <w:t>其中：</w:t>
      </w:r>
      <w:r>
        <w:rPr>
          <w:rFonts w:hint="eastAsia" w:ascii="仿宋" w:hAnsi="仿宋" w:eastAsia="仿宋" w:cs="仿宋"/>
          <w:color w:val="auto"/>
          <w:spacing w:val="-8"/>
          <w:sz w:val="32"/>
          <w:szCs w:val="32"/>
          <w:highlight w:val="none"/>
          <w:lang w:eastAsia="zh-CN"/>
        </w:rPr>
        <w:t>决策标准分</w:t>
      </w:r>
      <w:r>
        <w:rPr>
          <w:rFonts w:hint="eastAsia" w:ascii="仿宋" w:hAnsi="仿宋" w:eastAsia="仿宋" w:cs="仿宋"/>
          <w:color w:val="auto"/>
          <w:spacing w:val="-8"/>
          <w:sz w:val="32"/>
          <w:szCs w:val="32"/>
          <w:highlight w:val="none"/>
          <w:lang w:val="en-US" w:eastAsia="zh-CN"/>
        </w:rPr>
        <w:t>10分、</w:t>
      </w:r>
      <w:r>
        <w:rPr>
          <w:rFonts w:hint="eastAsia" w:ascii="仿宋" w:hAnsi="仿宋" w:eastAsia="仿宋" w:cs="仿宋"/>
          <w:color w:val="auto"/>
          <w:spacing w:val="-8"/>
          <w:sz w:val="32"/>
          <w:szCs w:val="32"/>
          <w:highlight w:val="none"/>
          <w:lang w:eastAsia="zh-CN"/>
        </w:rPr>
        <w:t>得</w:t>
      </w:r>
      <w:r>
        <w:rPr>
          <w:rFonts w:hint="eastAsia" w:ascii="仿宋" w:hAnsi="仿宋" w:eastAsia="仿宋" w:cs="仿宋"/>
          <w:color w:val="auto"/>
          <w:spacing w:val="-8"/>
          <w:sz w:val="32"/>
          <w:szCs w:val="32"/>
          <w:highlight w:val="none"/>
        </w:rPr>
        <w:t>分</w:t>
      </w:r>
      <w:r>
        <w:rPr>
          <w:rFonts w:hint="eastAsia" w:ascii="仿宋" w:hAnsi="仿宋" w:eastAsia="仿宋" w:cs="仿宋"/>
          <w:color w:val="auto"/>
          <w:spacing w:val="-8"/>
          <w:sz w:val="32"/>
          <w:szCs w:val="32"/>
          <w:highlight w:val="none"/>
          <w:lang w:val="en-US" w:eastAsia="zh-CN"/>
        </w:rPr>
        <w:t>8</w:t>
      </w:r>
      <w:r>
        <w:rPr>
          <w:rFonts w:hint="eastAsia" w:ascii="仿宋" w:hAnsi="仿宋" w:eastAsia="仿宋" w:cs="仿宋"/>
          <w:color w:val="auto"/>
          <w:spacing w:val="-8"/>
          <w:sz w:val="32"/>
          <w:szCs w:val="32"/>
          <w:highlight w:val="none"/>
        </w:rPr>
        <w:t>分</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过程标准分30分、得分28分</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rPr>
        <w:t>产出</w:t>
      </w:r>
      <w:r>
        <w:rPr>
          <w:rFonts w:hint="eastAsia" w:ascii="仿宋" w:hAnsi="仿宋" w:eastAsia="仿宋" w:cs="仿宋"/>
          <w:color w:val="auto"/>
          <w:spacing w:val="-8"/>
          <w:sz w:val="32"/>
          <w:szCs w:val="32"/>
          <w:highlight w:val="none"/>
          <w:lang w:eastAsia="zh-CN"/>
        </w:rPr>
        <w:t>标准分</w:t>
      </w:r>
      <w:r>
        <w:rPr>
          <w:rFonts w:hint="eastAsia" w:ascii="仿宋" w:hAnsi="仿宋" w:eastAsia="仿宋" w:cs="仿宋"/>
          <w:color w:val="auto"/>
          <w:spacing w:val="-8"/>
          <w:sz w:val="32"/>
          <w:szCs w:val="32"/>
          <w:highlight w:val="none"/>
          <w:lang w:val="en-US" w:eastAsia="zh-CN"/>
        </w:rPr>
        <w:t>35分，得分29.5分，效益标准分25分、得分20</w:t>
      </w:r>
      <w:r>
        <w:rPr>
          <w:rFonts w:hint="eastAsia" w:ascii="仿宋" w:hAnsi="仿宋" w:eastAsia="仿宋" w:cs="仿宋"/>
          <w:color w:val="auto"/>
          <w:spacing w:val="-8"/>
          <w:sz w:val="32"/>
          <w:szCs w:val="32"/>
          <w:highlight w:val="none"/>
        </w:rPr>
        <w:t>分。</w:t>
      </w:r>
      <w:r>
        <w:rPr>
          <w:rFonts w:hint="eastAsia" w:ascii="仿宋" w:hAnsi="仿宋" w:eastAsia="仿宋" w:cs="仿宋"/>
          <w:color w:val="auto"/>
          <w:spacing w:val="-8"/>
          <w:sz w:val="32"/>
          <w:szCs w:val="32"/>
          <w:highlight w:val="none"/>
          <w:lang w:val="en-US" w:eastAsia="zh-CN"/>
        </w:rPr>
        <w:t>评分结果：85.5分</w:t>
      </w:r>
      <w:bookmarkEnd w:id="26"/>
      <w:r>
        <w:rPr>
          <w:rFonts w:hint="eastAsia" w:ascii="仿宋" w:hAnsi="仿宋" w:eastAsia="仿宋" w:cs="仿宋"/>
          <w:color w:val="auto"/>
          <w:spacing w:val="-8"/>
          <w:sz w:val="32"/>
          <w:szCs w:val="32"/>
          <w:highlight w:val="none"/>
          <w:lang w:val="en-US" w:eastAsia="zh-CN"/>
        </w:rPr>
        <w:t>。</w:t>
      </w:r>
      <w:bookmarkEnd w:id="27"/>
      <w:bookmarkEnd w:id="28"/>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30" w:name="_Toc3435"/>
      <w:r>
        <w:rPr>
          <w:rFonts w:hint="eastAsia" w:ascii="楷体" w:hAnsi="楷体" w:eastAsia="楷体" w:cs="楷体"/>
          <w:b/>
          <w:bCs/>
          <w:color w:val="auto"/>
          <w:sz w:val="32"/>
          <w:szCs w:val="32"/>
          <w:highlight w:val="none"/>
          <w:lang w:val="en-US" w:eastAsia="zh-CN"/>
        </w:rPr>
        <w:t>(一)项目决策情况</w:t>
      </w:r>
      <w:bookmarkEnd w:id="29"/>
      <w:bookmarkEnd w:id="30"/>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项目决策标准分10分，得分8分，扣2分。具体情况如下：</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1.项目立项</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符合国家法律法规，符合邵阳经济发展和城市定位，是具有一定收入的公益性项目和民生工程，属于公共财政支持范围。本项目事前编制了可行性研究报告，项目经中国铁路建设总公司、湖南省发改委、市发改委立项批复，取得</w:t>
      </w:r>
      <w:r>
        <w:rPr>
          <w:rFonts w:hint="eastAsia" w:ascii="仿宋" w:hAnsi="仿宋" w:eastAsia="仿宋" w:cs="仿宋"/>
          <w:color w:val="auto"/>
          <w:sz w:val="32"/>
          <w:szCs w:val="32"/>
          <w:highlight w:val="none"/>
          <w:lang w:val="en-US" w:eastAsia="zh-CN"/>
        </w:rPr>
        <w:t>相关部门的环评、用地、规划、施工许可，申报程序合法合规。</w:t>
      </w:r>
      <w:r>
        <w:rPr>
          <w:rFonts w:hint="eastAsia" w:ascii="仿宋" w:hAnsi="仿宋" w:eastAsia="仿宋" w:cs="仿宋"/>
          <w:b w:val="0"/>
          <w:bCs w:val="0"/>
          <w:color w:val="auto"/>
          <w:sz w:val="32"/>
          <w:szCs w:val="32"/>
          <w:highlight w:val="none"/>
          <w:lang w:val="en-US" w:eastAsia="zh-CN"/>
        </w:rPr>
        <w:t>建筑工程、安装工程、主要设备、重要材料、勘察、设计、监理等依法委托有相应资质的招投标代理机构实行公开招标，涉铁工程按规定进行委托代建。专项债券申报按要求编制了“一案两书”，在“中国地方政府债券信息公开平台”（</w:t>
      </w:r>
      <w:r>
        <w:rPr>
          <w:rFonts w:hint="eastAsia" w:ascii="仿宋" w:hAnsi="仿宋" w:eastAsia="仿宋" w:cs="仿宋"/>
          <w:b w:val="0"/>
          <w:bCs w:val="0"/>
          <w:color w:val="auto"/>
          <w:sz w:val="32"/>
          <w:szCs w:val="32"/>
          <w:highlight w:val="none"/>
          <w:lang w:val="en-US" w:eastAsia="zh-CN"/>
        </w:rPr>
        <w:fldChar w:fldCharType="begin"/>
      </w:r>
      <w:r>
        <w:rPr>
          <w:rFonts w:hint="eastAsia" w:ascii="仿宋" w:hAnsi="仿宋" w:eastAsia="仿宋" w:cs="仿宋"/>
          <w:b w:val="0"/>
          <w:bCs w:val="0"/>
          <w:color w:val="auto"/>
          <w:sz w:val="32"/>
          <w:szCs w:val="32"/>
          <w:highlight w:val="none"/>
          <w:lang w:val="en-US" w:eastAsia="zh-CN"/>
        </w:rPr>
        <w:instrText xml:space="preserve"> HYPERLINK "http://www.celma.org.cn/" </w:instrText>
      </w:r>
      <w:r>
        <w:rPr>
          <w:rFonts w:hint="eastAsia" w:ascii="仿宋" w:hAnsi="仿宋" w:eastAsia="仿宋" w:cs="仿宋"/>
          <w:b w:val="0"/>
          <w:bCs w:val="0"/>
          <w:color w:val="auto"/>
          <w:sz w:val="32"/>
          <w:szCs w:val="32"/>
          <w:highlight w:val="none"/>
          <w:lang w:val="en-US" w:eastAsia="zh-CN"/>
        </w:rPr>
        <w:fldChar w:fldCharType="separate"/>
      </w:r>
      <w:r>
        <w:rPr>
          <w:rFonts w:hint="eastAsia" w:ascii="仿宋" w:hAnsi="仿宋" w:eastAsia="仿宋" w:cs="仿宋"/>
          <w:b w:val="0"/>
          <w:bCs w:val="0"/>
          <w:color w:val="auto"/>
          <w:sz w:val="32"/>
          <w:szCs w:val="32"/>
          <w:highlight w:val="none"/>
          <w:lang w:val="en-US" w:eastAsia="zh-CN"/>
        </w:rPr>
        <w:t>www.celma.org.cn</w:t>
      </w:r>
      <w:r>
        <w:rPr>
          <w:rFonts w:hint="eastAsia" w:ascii="仿宋" w:hAnsi="仿宋" w:eastAsia="仿宋" w:cs="仿宋"/>
          <w:b w:val="0"/>
          <w:bCs w:val="0"/>
          <w:color w:val="auto"/>
          <w:sz w:val="32"/>
          <w:szCs w:val="32"/>
          <w:highlight w:val="none"/>
          <w:lang w:val="en-US" w:eastAsia="zh-CN"/>
        </w:rPr>
        <w:fldChar w:fldCharType="end"/>
      </w:r>
      <w:r>
        <w:rPr>
          <w:rFonts w:hint="eastAsia" w:ascii="仿宋" w:hAnsi="仿宋" w:eastAsia="仿宋" w:cs="仿宋"/>
          <w:b w:val="0"/>
          <w:bCs w:val="0"/>
          <w:color w:val="auto"/>
          <w:sz w:val="32"/>
          <w:szCs w:val="32"/>
          <w:highlight w:val="none"/>
          <w:lang w:val="en-US" w:eastAsia="zh-CN"/>
        </w:rPr>
        <w:t>）可查询到债券公开信息。申请额度与项目目标相适应，申请资金额度在项目能取得的收入（含土地出售收入、商铺出租收入、停车位出租收入）形成的偿还能力之内。</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2.绩效目标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项目没有进行绩效目标申报，没有设置清晰、可衡量的绩效指标值；未提供绩效自评报告和完整的基础数据表，扣2分。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31" w:name="_Toc14986"/>
      <w:r>
        <w:rPr>
          <w:rFonts w:hint="eastAsia" w:ascii="楷体" w:hAnsi="楷体" w:eastAsia="楷体" w:cs="楷体"/>
          <w:b/>
          <w:bCs/>
          <w:color w:val="auto"/>
          <w:sz w:val="32"/>
          <w:szCs w:val="32"/>
          <w:highlight w:val="none"/>
          <w:lang w:val="en-US" w:eastAsia="zh-CN"/>
        </w:rPr>
        <w:t>(二)项目过程情况</w:t>
      </w:r>
      <w:bookmarkEnd w:id="31"/>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项目过程标准分30分，得分28分，扣2分。具体情况如下：</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1.项目资金管理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一是资金到位率100%，70000万元债券资金分二批次发行后，市财政局及时将款项拨付到单位银行账户。二是专项资金预算执行率100%，到位的70000万元债券资金由单位按程序、按进度全部使用完毕。三是按公司财务管理制度和《湖南省政府专项债券管理暂行办法》进行专项债券资金管理，使用双控账户支付资金，专债资金拨付有完整的审批程序和手续，专款专用。四是及时支付利息，未出现违约现象。单位未能在融资平衡方案预定时间开始取得收益，造成运营期缩短而建设期增加，还息压力增大，预期收益时间与实际不符，扣1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2.项目实施</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rPr>
          <w:rFonts w:hint="default" w:ascii="仿宋" w:hAnsi="仿宋" w:eastAsia="仿宋" w:cs="仿宋"/>
          <w:b w:val="0"/>
          <w:bCs w:val="0"/>
          <w:color w:val="auto"/>
          <w:spacing w:val="-8"/>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处于建设期，项目建设单位制定了项目工程管理办法并得以执行。立项、报批、征拆过程、征拆补偿标准、工程建设、工程竣工验收等基本按照国家相关法律法规和规章制度的规定执行。项目建设单位采取了质量控制措施，工程部人员深入工地一线做好建设项目的现场质量管理、生产管理和安全管理工作。项目在</w:t>
      </w:r>
      <w:r>
        <w:rPr>
          <w:rFonts w:hint="eastAsia" w:ascii="仿宋" w:hAnsi="仿宋" w:eastAsia="仿宋" w:cs="仿宋"/>
          <w:b w:val="0"/>
          <w:bCs w:val="0"/>
          <w:color w:val="auto"/>
          <w:spacing w:val="-8"/>
          <w:sz w:val="32"/>
          <w:szCs w:val="32"/>
          <w:highlight w:val="none"/>
          <w:lang w:val="en-US" w:eastAsia="zh-CN"/>
        </w:rPr>
        <w:t>实施过程中未出现发生重大债务违约事件、重大安全事故、重大违法违规事件及重大群体性事件等。</w:t>
      </w:r>
      <w:r>
        <w:rPr>
          <w:rFonts w:hint="eastAsia" w:ascii="仿宋" w:hAnsi="仿宋" w:eastAsia="仿宋" w:cs="仿宋"/>
          <w:b w:val="0"/>
          <w:bCs w:val="0"/>
          <w:color w:val="auto"/>
          <w:sz w:val="32"/>
          <w:szCs w:val="32"/>
          <w:highlight w:val="none"/>
          <w:lang w:val="en-US" w:eastAsia="zh-CN"/>
        </w:rPr>
        <w:t>项目建设单位对达到限额标准的工程采用公开招标方式，未达标的采用竞争性磋商方式等，程序及手续合法，但存在中标后未在规定时间内签订合同等不规范行为，扣1分</w:t>
      </w:r>
      <w:r>
        <w:rPr>
          <w:rFonts w:hint="eastAsia" w:ascii="仿宋" w:hAnsi="仿宋" w:eastAsia="仿宋" w:cs="仿宋"/>
          <w:b w:val="0"/>
          <w:bCs w:val="0"/>
          <w:color w:val="auto"/>
          <w:spacing w:val="-8"/>
          <w:sz w:val="32"/>
          <w:szCs w:val="32"/>
          <w:highlight w:val="none"/>
          <w:lang w:val="en-US" w:eastAsia="zh-CN"/>
        </w:rPr>
        <w:t>。项目建设单位的项目档案及相关资料归档及时、内容完整。</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outlineLvl w:val="1"/>
        <w:rPr>
          <w:rFonts w:hint="eastAsia" w:ascii="楷体" w:hAnsi="楷体" w:eastAsia="楷体" w:cs="楷体"/>
          <w:b/>
          <w:bCs/>
          <w:color w:val="auto"/>
          <w:spacing w:val="-8"/>
          <w:sz w:val="32"/>
          <w:szCs w:val="32"/>
          <w:highlight w:val="none"/>
          <w:lang w:val="en-US" w:eastAsia="zh-CN"/>
        </w:rPr>
      </w:pPr>
      <w:bookmarkStart w:id="32" w:name="_Toc7623"/>
      <w:r>
        <w:rPr>
          <w:rFonts w:hint="eastAsia" w:ascii="楷体" w:hAnsi="楷体" w:eastAsia="楷体" w:cs="楷体"/>
          <w:b/>
          <w:bCs/>
          <w:color w:val="auto"/>
          <w:spacing w:val="-8"/>
          <w:sz w:val="32"/>
          <w:szCs w:val="32"/>
          <w:highlight w:val="none"/>
          <w:lang w:val="en-US" w:eastAsia="zh-CN"/>
        </w:rPr>
        <w:t>(三)项目产出情况</w:t>
      </w:r>
      <w:bookmarkEnd w:id="32"/>
    </w:p>
    <w:p>
      <w:pPr>
        <w:keepNext w:val="0"/>
        <w:keepLines w:val="0"/>
        <w:pageBreakBefore w:val="0"/>
        <w:widowControl w:val="0"/>
        <w:kinsoku/>
        <w:wordWrap/>
        <w:overflowPunct/>
        <w:topLinePunct w:val="0"/>
        <w:autoSpaceDE/>
        <w:autoSpaceDN/>
        <w:bidi w:val="0"/>
        <w:adjustRightInd/>
        <w:snapToGrid/>
        <w:spacing w:line="360" w:lineRule="auto"/>
        <w:ind w:left="0" w:leftChars="0" w:firstLine="608"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color w:val="auto"/>
          <w:spacing w:val="-8"/>
          <w:sz w:val="32"/>
          <w:szCs w:val="32"/>
          <w:highlight w:val="none"/>
        </w:rPr>
        <w:t>产出</w:t>
      </w:r>
      <w:r>
        <w:rPr>
          <w:rFonts w:hint="eastAsia" w:ascii="仿宋" w:hAnsi="仿宋" w:eastAsia="仿宋" w:cs="仿宋"/>
          <w:color w:val="auto"/>
          <w:spacing w:val="-8"/>
          <w:sz w:val="32"/>
          <w:szCs w:val="32"/>
          <w:highlight w:val="none"/>
          <w:lang w:eastAsia="zh-CN"/>
        </w:rPr>
        <w:t>标准分</w:t>
      </w:r>
      <w:r>
        <w:rPr>
          <w:rFonts w:hint="eastAsia" w:ascii="仿宋" w:hAnsi="仿宋" w:eastAsia="仿宋" w:cs="仿宋"/>
          <w:color w:val="auto"/>
          <w:spacing w:val="-8"/>
          <w:sz w:val="32"/>
          <w:szCs w:val="32"/>
          <w:highlight w:val="none"/>
          <w:lang w:val="en-US" w:eastAsia="zh-CN"/>
        </w:rPr>
        <w:t>35分，得分29.5分，扣5.5分</w:t>
      </w:r>
      <w:r>
        <w:rPr>
          <w:rFonts w:hint="eastAsia" w:ascii="仿宋" w:hAnsi="仿宋" w:eastAsia="仿宋" w:cs="仿宋"/>
          <w:b w:val="0"/>
          <w:bCs w:val="0"/>
          <w:color w:val="auto"/>
          <w:sz w:val="32"/>
          <w:szCs w:val="32"/>
          <w:highlight w:val="none"/>
          <w:lang w:val="en-US" w:eastAsia="zh-CN"/>
        </w:rPr>
        <w:t>。具体情况如下：</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rPr>
          <w:rFonts w:hint="eastAsia" w:ascii="仿宋" w:hAnsi="仿宋" w:eastAsia="仿宋" w:cs="仿宋"/>
          <w:b/>
          <w:bCs/>
          <w:color w:val="auto"/>
          <w:spacing w:val="-8"/>
          <w:sz w:val="32"/>
          <w:szCs w:val="32"/>
          <w:highlight w:val="none"/>
          <w:lang w:val="en-US" w:eastAsia="zh-CN"/>
        </w:rPr>
      </w:pPr>
      <w:r>
        <w:rPr>
          <w:rFonts w:hint="eastAsia" w:ascii="仿宋" w:hAnsi="仿宋" w:eastAsia="仿宋" w:cs="仿宋"/>
          <w:b/>
          <w:bCs/>
          <w:color w:val="auto"/>
          <w:spacing w:val="-8"/>
          <w:sz w:val="32"/>
          <w:szCs w:val="32"/>
          <w:highlight w:val="none"/>
          <w:lang w:val="en-US" w:eastAsia="zh-CN"/>
        </w:rPr>
        <w:t>1.产出数量</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val="0"/>
          <w:bCs w:val="0"/>
          <w:color w:val="auto"/>
          <w:spacing w:val="-8"/>
          <w:sz w:val="32"/>
          <w:szCs w:val="32"/>
          <w:highlight w:val="none"/>
          <w:lang w:val="en-US" w:eastAsia="zh-CN"/>
        </w:rPr>
        <w:t>金山路按规划完成进度90%</w:t>
      </w:r>
      <w:r>
        <w:rPr>
          <w:rFonts w:hint="eastAsia" w:ascii="仿宋" w:hAnsi="仿宋" w:eastAsia="仿宋" w:cs="仿宋"/>
          <w:color w:val="auto"/>
          <w:sz w:val="32"/>
          <w:szCs w:val="32"/>
          <w:highlight w:val="none"/>
          <w:lang w:val="en-US" w:eastAsia="zh-CN"/>
        </w:rPr>
        <w:t>，得分2.7分，扣0.3分；高架桥和集散厅按工期计算和现场查看，预计工程进度率90%，得分2.7分，扣0.3分；站房、雨棚等工程按工期计算和现场查看，预计工程进度率90%，得分2.7分，扣0.3分；产出数量指标共扣0.9分。</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rPr>
          <w:rFonts w:hint="eastAsia" w:ascii="仿宋" w:hAnsi="仿宋" w:eastAsia="仿宋" w:cs="仿宋"/>
          <w:b/>
          <w:bCs/>
          <w:color w:val="auto"/>
          <w:spacing w:val="-8"/>
          <w:sz w:val="32"/>
          <w:szCs w:val="32"/>
          <w:highlight w:val="none"/>
          <w:lang w:val="en-US" w:eastAsia="zh-CN"/>
        </w:rPr>
      </w:pPr>
      <w:r>
        <w:rPr>
          <w:rFonts w:hint="eastAsia" w:ascii="仿宋" w:hAnsi="仿宋" w:eastAsia="仿宋" w:cs="仿宋"/>
          <w:b/>
          <w:bCs/>
          <w:color w:val="auto"/>
          <w:spacing w:val="-8"/>
          <w:sz w:val="32"/>
          <w:szCs w:val="32"/>
          <w:highlight w:val="none"/>
          <w:lang w:val="en-US" w:eastAsia="zh-CN"/>
        </w:rPr>
        <w:t>2.产出质量</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已完工项目工程主要包括零星、附属或临时性工程，验收质量合格或经整改后验收合格。</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3.产出成本</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因建设项目未完工，暂不能确定实际建设成本，无法计算成本节约率，按80%得分率计算，本项目指标得分8.6分，扣1.6分。</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4.产出时效</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kern w:val="2"/>
          <w:sz w:val="32"/>
          <w:szCs w:val="32"/>
          <w:highlight w:val="none"/>
          <w:lang w:val="en-US" w:eastAsia="zh-CN" w:bidi="ar-SA"/>
        </w:rPr>
        <w:t>本项目指标扣分事项：邵阳火车站临时候车室配套设施改造工程于2020年11月完工投入使用，紫霞路下穿益湛铁路道路工程于2021年2月23日竣工验收，两个项目未及时办理竣工结算手续，扣3分。</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textAlignment w:val="auto"/>
        <w:outlineLvl w:val="1"/>
        <w:rPr>
          <w:rFonts w:hint="eastAsia" w:ascii="楷体" w:hAnsi="楷体" w:eastAsia="楷体" w:cs="楷体"/>
          <w:b/>
          <w:bCs/>
          <w:color w:val="auto"/>
          <w:sz w:val="32"/>
          <w:szCs w:val="32"/>
          <w:highlight w:val="none"/>
          <w:lang w:val="en-US" w:eastAsia="zh-CN"/>
        </w:rPr>
      </w:pPr>
      <w:bookmarkStart w:id="33" w:name="_Toc12690"/>
      <w:bookmarkStart w:id="34" w:name="_Toc17265"/>
      <w:r>
        <w:rPr>
          <w:rFonts w:hint="eastAsia" w:ascii="楷体" w:hAnsi="楷体" w:eastAsia="楷体" w:cs="楷体"/>
          <w:b/>
          <w:bCs/>
          <w:color w:val="auto"/>
          <w:sz w:val="32"/>
          <w:szCs w:val="32"/>
          <w:highlight w:val="none"/>
          <w:lang w:val="en-US" w:eastAsia="zh-CN"/>
        </w:rPr>
        <w:t>(四)项目效益情况</w:t>
      </w:r>
      <w:bookmarkEnd w:id="33"/>
      <w:bookmarkEnd w:id="34"/>
    </w:p>
    <w:p>
      <w:pPr>
        <w:pStyle w:val="5"/>
        <w:keepNext w:val="0"/>
        <w:keepLines w:val="0"/>
        <w:pageBreakBefore w:val="0"/>
        <w:numPr>
          <w:ilvl w:val="0"/>
          <w:numId w:val="0"/>
        </w:numPr>
        <w:kinsoku/>
        <w:wordWrap/>
        <w:overflowPunct/>
        <w:topLinePunct w:val="0"/>
        <w:autoSpaceDE/>
        <w:autoSpaceDN/>
        <w:bidi w:val="0"/>
        <w:adjustRightInd/>
        <w:snapToGrid/>
        <w:spacing w:line="360" w:lineRule="auto"/>
        <w:ind w:left="0"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项目支出效益包括经济效益、社会效益、生态效益、可持续影响和满意度。</w:t>
      </w:r>
      <w:r>
        <w:rPr>
          <w:rFonts w:hint="eastAsia" w:ascii="仿宋" w:hAnsi="仿宋" w:eastAsia="仿宋" w:cs="仿宋"/>
          <w:color w:val="auto"/>
          <w:spacing w:val="-8"/>
          <w:sz w:val="32"/>
          <w:szCs w:val="32"/>
          <w:highlight w:val="none"/>
          <w:lang w:val="en-US" w:eastAsia="zh-CN"/>
        </w:rPr>
        <w:t>效益标准分25分、得分20</w:t>
      </w:r>
      <w:r>
        <w:rPr>
          <w:rFonts w:hint="eastAsia" w:ascii="仿宋" w:hAnsi="仿宋" w:eastAsia="仿宋" w:cs="仿宋"/>
          <w:color w:val="auto"/>
          <w:spacing w:val="-8"/>
          <w:sz w:val="32"/>
          <w:szCs w:val="32"/>
          <w:highlight w:val="none"/>
        </w:rPr>
        <w:t>分。</w:t>
      </w:r>
      <w:r>
        <w:rPr>
          <w:rFonts w:hint="eastAsia" w:ascii="仿宋" w:hAnsi="仿宋" w:eastAsia="仿宋" w:cs="仿宋"/>
          <w:color w:val="auto"/>
          <w:spacing w:val="-8"/>
          <w:sz w:val="32"/>
          <w:szCs w:val="32"/>
          <w:highlight w:val="none"/>
          <w:lang w:val="en-US" w:eastAsia="zh-CN"/>
        </w:rPr>
        <w:t>扣分事项包括：经济效益指标是定性指标，评价标准为效益显著得6分、较大得5分、一般得3分、无效益0分，由于整个项目未完工投入使用，项目配套的商业设施将延迟发挥其应有的经济效益，对经济效益的评价结果为济效益较大，得5分，扣1分；满意度方面，22份调查问卷对建设项目满意，满意率73%，扣4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0"/>
        <w:rPr>
          <w:rFonts w:hint="eastAsia" w:ascii="黑体" w:hAnsi="黑体" w:eastAsia="黑体" w:cs="黑体"/>
          <w:color w:val="auto"/>
          <w:kern w:val="0"/>
          <w:sz w:val="32"/>
          <w:szCs w:val="32"/>
          <w:highlight w:val="none"/>
          <w:lang w:eastAsia="zh-CN"/>
        </w:rPr>
      </w:pPr>
      <w:bookmarkStart w:id="35" w:name="_Toc30398"/>
      <w:bookmarkStart w:id="36" w:name="_Toc390267055"/>
      <w:bookmarkStart w:id="37" w:name="_Toc24241"/>
      <w:bookmarkStart w:id="38" w:name="_Toc390096931"/>
      <w:r>
        <w:rPr>
          <w:rFonts w:hint="eastAsia" w:ascii="黑体" w:hAnsi="黑体" w:eastAsia="黑体" w:cs="黑体"/>
          <w:color w:val="auto"/>
          <w:kern w:val="0"/>
          <w:sz w:val="32"/>
          <w:szCs w:val="32"/>
          <w:highlight w:val="none"/>
          <w:lang w:eastAsia="zh-CN"/>
        </w:rPr>
        <w:t>五</w:t>
      </w:r>
      <w:r>
        <w:rPr>
          <w:rFonts w:hint="eastAsia"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lang w:val="en-US" w:eastAsia="zh-CN"/>
        </w:rPr>
        <w:t>绩效评价发现的主要</w:t>
      </w:r>
      <w:r>
        <w:rPr>
          <w:rFonts w:hint="eastAsia" w:ascii="黑体" w:hAnsi="黑体" w:eastAsia="黑体" w:cs="黑体"/>
          <w:color w:val="auto"/>
          <w:kern w:val="0"/>
          <w:sz w:val="32"/>
          <w:szCs w:val="32"/>
          <w:highlight w:val="none"/>
        </w:rPr>
        <w:t>问题</w:t>
      </w:r>
      <w:bookmarkEnd w:id="35"/>
      <w:bookmarkEnd w:id="36"/>
      <w:bookmarkEnd w:id="37"/>
      <w:bookmarkEnd w:id="38"/>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1"/>
        <w:rPr>
          <w:rFonts w:hint="default" w:ascii="楷体" w:hAnsi="楷体" w:eastAsia="楷体" w:cs="楷体"/>
          <w:b/>
          <w:bCs/>
          <w:color w:val="auto"/>
          <w:sz w:val="32"/>
          <w:szCs w:val="32"/>
          <w:highlight w:val="none"/>
          <w:lang w:val="en-US" w:eastAsia="zh-CN"/>
        </w:rPr>
      </w:pPr>
      <w:bookmarkStart w:id="39" w:name="_Toc30888"/>
      <w:bookmarkStart w:id="40" w:name="_Toc21507"/>
      <w:r>
        <w:rPr>
          <w:rFonts w:hint="eastAsia" w:ascii="楷体" w:hAnsi="楷体" w:eastAsia="楷体" w:cs="楷体"/>
          <w:b/>
          <w:bCs/>
          <w:color w:val="auto"/>
          <w:sz w:val="32"/>
          <w:szCs w:val="32"/>
          <w:highlight w:val="none"/>
          <w:lang w:eastAsia="zh-CN"/>
        </w:rPr>
        <w:t>（</w:t>
      </w:r>
      <w:r>
        <w:rPr>
          <w:rFonts w:hint="eastAsia" w:ascii="楷体" w:hAnsi="楷体" w:eastAsia="楷体" w:cs="楷体"/>
          <w:b/>
          <w:bCs/>
          <w:color w:val="auto"/>
          <w:sz w:val="32"/>
          <w:szCs w:val="32"/>
          <w:highlight w:val="none"/>
          <w:lang w:val="en-US" w:eastAsia="zh-CN"/>
        </w:rPr>
        <w:t>一）</w:t>
      </w:r>
      <w:r>
        <w:rPr>
          <w:rFonts w:hint="eastAsia" w:ascii="楷体" w:hAnsi="楷体" w:eastAsia="楷体" w:cs="楷体"/>
          <w:b/>
          <w:bCs/>
          <w:color w:val="auto"/>
          <w:sz w:val="32"/>
          <w:szCs w:val="32"/>
          <w:highlight w:val="none"/>
          <w:lang w:eastAsia="zh-CN"/>
        </w:rPr>
        <w:t>没有</w:t>
      </w:r>
      <w:r>
        <w:rPr>
          <w:rFonts w:hint="eastAsia" w:ascii="楷体" w:hAnsi="楷体" w:eastAsia="楷体" w:cs="楷体"/>
          <w:b/>
          <w:bCs/>
          <w:color w:val="auto"/>
          <w:sz w:val="32"/>
          <w:szCs w:val="32"/>
          <w:highlight w:val="none"/>
          <w:lang w:val="en-US" w:eastAsia="zh-CN"/>
        </w:rPr>
        <w:t>按照</w:t>
      </w:r>
      <w:r>
        <w:rPr>
          <w:rFonts w:hint="eastAsia" w:ascii="楷体" w:hAnsi="楷体" w:eastAsia="楷体" w:cs="楷体"/>
          <w:b/>
          <w:bCs/>
          <w:color w:val="auto"/>
          <w:sz w:val="32"/>
          <w:szCs w:val="32"/>
          <w:highlight w:val="none"/>
          <w:lang w:eastAsia="zh-CN"/>
        </w:rPr>
        <w:t>绩效</w:t>
      </w:r>
      <w:bookmarkEnd w:id="39"/>
      <w:bookmarkEnd w:id="40"/>
      <w:r>
        <w:rPr>
          <w:rFonts w:hint="eastAsia" w:ascii="楷体" w:hAnsi="楷体" w:eastAsia="楷体" w:cs="楷体"/>
          <w:b/>
          <w:bCs/>
          <w:color w:val="auto"/>
          <w:sz w:val="32"/>
          <w:szCs w:val="32"/>
          <w:highlight w:val="none"/>
          <w:lang w:val="en-US" w:eastAsia="zh-CN"/>
        </w:rPr>
        <w:t>管理的要求实行全生命周期绩效管理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根据绩效管理有关文件规定，项</w:t>
      </w:r>
      <w:r>
        <w:rPr>
          <w:rFonts w:hint="eastAsia" w:ascii="仿宋" w:hAnsi="仿宋" w:eastAsia="仿宋" w:cs="仿宋"/>
          <w:color w:val="auto"/>
          <w:sz w:val="32"/>
          <w:szCs w:val="32"/>
          <w:highlight w:val="none"/>
          <w:lang w:eastAsia="zh-CN"/>
        </w:rPr>
        <w:t>目</w:t>
      </w:r>
      <w:r>
        <w:rPr>
          <w:rFonts w:hint="eastAsia" w:ascii="仿宋" w:hAnsi="仿宋" w:eastAsia="仿宋" w:cs="仿宋"/>
          <w:color w:val="auto"/>
          <w:sz w:val="32"/>
          <w:szCs w:val="32"/>
          <w:highlight w:val="none"/>
          <w:lang w:val="en-US" w:eastAsia="zh-CN"/>
        </w:rPr>
        <w:t>责任人对项目预算绩效负责，重大项目实行项目全生命周期绩效管理和绩效终身责任追究制。该项目建设单位没有</w:t>
      </w:r>
      <w:r>
        <w:rPr>
          <w:rFonts w:hint="eastAsia" w:ascii="仿宋" w:hAnsi="仿宋" w:eastAsia="仿宋" w:cs="仿宋"/>
          <w:color w:val="auto"/>
          <w:sz w:val="32"/>
          <w:szCs w:val="32"/>
          <w:highlight w:val="none"/>
          <w:lang w:eastAsia="zh-CN"/>
        </w:rPr>
        <w:t>编报</w:t>
      </w:r>
      <w:r>
        <w:rPr>
          <w:rFonts w:hint="eastAsia" w:ascii="仿宋" w:hAnsi="仿宋" w:eastAsia="仿宋" w:cs="仿宋"/>
          <w:color w:val="auto"/>
          <w:sz w:val="32"/>
          <w:szCs w:val="32"/>
          <w:highlight w:val="none"/>
          <w:lang w:val="en-US" w:eastAsia="zh-CN"/>
        </w:rPr>
        <w:t>总体</w:t>
      </w:r>
      <w:r>
        <w:rPr>
          <w:rFonts w:hint="eastAsia" w:ascii="仿宋" w:hAnsi="仿宋" w:eastAsia="仿宋" w:cs="仿宋"/>
          <w:color w:val="auto"/>
          <w:sz w:val="32"/>
          <w:szCs w:val="32"/>
          <w:highlight w:val="none"/>
          <w:lang w:eastAsia="zh-CN"/>
        </w:rPr>
        <w:t>绩效目标和年度绩效目标，没有</w:t>
      </w:r>
      <w:r>
        <w:rPr>
          <w:rFonts w:hint="eastAsia" w:ascii="仿宋" w:hAnsi="仿宋" w:eastAsia="仿宋" w:cs="仿宋"/>
          <w:color w:val="auto"/>
          <w:sz w:val="32"/>
          <w:szCs w:val="32"/>
          <w:highlight w:val="none"/>
          <w:lang w:val="en-US" w:eastAsia="zh-CN"/>
        </w:rPr>
        <w:t>设置</w:t>
      </w:r>
      <w:r>
        <w:rPr>
          <w:rFonts w:hint="eastAsia" w:ascii="仿宋" w:hAnsi="仿宋" w:eastAsia="仿宋" w:cs="仿宋"/>
          <w:color w:val="auto"/>
          <w:sz w:val="32"/>
          <w:szCs w:val="32"/>
          <w:highlight w:val="none"/>
          <w:lang w:eastAsia="zh-CN"/>
        </w:rPr>
        <w:t>具体的绩效指标，</w:t>
      </w:r>
      <w:r>
        <w:rPr>
          <w:rFonts w:hint="eastAsia" w:ascii="仿宋" w:hAnsi="仿宋" w:eastAsia="仿宋" w:cs="仿宋"/>
          <w:color w:val="auto"/>
          <w:sz w:val="32"/>
          <w:szCs w:val="32"/>
          <w:highlight w:val="none"/>
          <w:lang w:val="en-US" w:eastAsia="zh-CN"/>
        </w:rPr>
        <w:t>也没有将具体的目标在公司的年度工作计划或总结中体现，没有开展绩效监控和绩效自评等工作。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1"/>
        <w:rPr>
          <w:rFonts w:hint="default" w:ascii="楷体" w:hAnsi="楷体" w:eastAsia="楷体" w:cs="楷体"/>
          <w:b/>
          <w:bCs/>
          <w:color w:val="auto"/>
          <w:sz w:val="32"/>
          <w:szCs w:val="32"/>
          <w:highlight w:val="none"/>
          <w:lang w:val="en-US" w:eastAsia="zh-CN"/>
        </w:rPr>
      </w:pPr>
      <w:bookmarkStart w:id="41" w:name="_Toc13791"/>
      <w:r>
        <w:rPr>
          <w:rFonts w:hint="eastAsia" w:ascii="楷体" w:hAnsi="楷体" w:eastAsia="楷体" w:cs="楷体"/>
          <w:b/>
          <w:bCs/>
          <w:color w:val="auto"/>
          <w:sz w:val="32"/>
          <w:szCs w:val="32"/>
          <w:highlight w:val="none"/>
          <w:lang w:val="en-US" w:eastAsia="zh-CN"/>
        </w:rPr>
        <w:t>（二）</w:t>
      </w:r>
      <w:bookmarkEnd w:id="41"/>
      <w:r>
        <w:rPr>
          <w:rFonts w:hint="eastAsia" w:ascii="楷体" w:hAnsi="楷体" w:eastAsia="楷体" w:cs="楷体"/>
          <w:b/>
          <w:bCs/>
          <w:color w:val="auto"/>
          <w:sz w:val="32"/>
          <w:szCs w:val="32"/>
          <w:highlight w:val="none"/>
          <w:lang w:val="en-US" w:eastAsia="zh-CN"/>
        </w:rPr>
        <w:t>融资平衡方案的预期收益时间与实际不符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该项目融资平衡方案中的收入来源包括停车场收入、商铺租赁收、物流业务收、土地出让收入等，预期2023年产生收益113198.00万元。实际情况是停车场等商业项目属于二期工程，仍未开工建设，所以该项目2023年没有产生收入，预取收益取得时间与实际不符，项目建设期延长，取得收益时间延后，造成专项债券还本付息压力加大。</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1"/>
        <w:rPr>
          <w:rFonts w:hint="default" w:ascii="楷体" w:hAnsi="楷体" w:eastAsia="楷体" w:cs="楷体"/>
          <w:b/>
          <w:bCs/>
          <w:color w:val="auto"/>
          <w:sz w:val="32"/>
          <w:szCs w:val="32"/>
          <w:highlight w:val="none"/>
          <w:lang w:val="en-US" w:eastAsia="zh-CN"/>
        </w:rPr>
      </w:pPr>
      <w:bookmarkStart w:id="42" w:name="_Toc481"/>
      <w:r>
        <w:rPr>
          <w:rFonts w:hint="eastAsia" w:ascii="楷体" w:hAnsi="楷体" w:eastAsia="楷体" w:cs="楷体"/>
          <w:b/>
          <w:bCs/>
          <w:color w:val="auto"/>
          <w:sz w:val="32"/>
          <w:szCs w:val="32"/>
          <w:highlight w:val="none"/>
          <w:lang w:val="en-US" w:eastAsia="zh-CN"/>
        </w:rPr>
        <w:t>（三）工程合同签订不</w:t>
      </w:r>
      <w:bookmarkEnd w:id="42"/>
      <w:r>
        <w:rPr>
          <w:rFonts w:hint="eastAsia" w:ascii="楷体" w:hAnsi="楷体" w:eastAsia="楷体" w:cs="楷体"/>
          <w:b/>
          <w:bCs/>
          <w:color w:val="auto"/>
          <w:sz w:val="32"/>
          <w:szCs w:val="32"/>
          <w:highlight w:val="none"/>
          <w:lang w:val="en-US" w:eastAsia="zh-CN"/>
        </w:rPr>
        <w:t>及时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08" w:firstLineChars="200"/>
        <w:textAlignment w:val="auto"/>
        <w:rPr>
          <w:rFonts w:hint="default" w:ascii="仿宋" w:hAnsi="仿宋" w:eastAsia="仿宋" w:cs="仿宋"/>
          <w:color w:val="auto"/>
          <w:sz w:val="32"/>
          <w:szCs w:val="32"/>
          <w:highlight w:val="none"/>
          <w:lang w:val="en-US" w:eastAsia="zh-CN"/>
        </w:rPr>
      </w:pPr>
      <w:bookmarkStart w:id="43" w:name="_Toc29278"/>
      <w:r>
        <w:rPr>
          <w:rFonts w:hint="eastAsia" w:ascii="仿宋" w:hAnsi="仿宋" w:eastAsia="仿宋" w:cs="仿宋"/>
          <w:color w:val="auto"/>
          <w:spacing w:val="-8"/>
          <w:sz w:val="32"/>
          <w:szCs w:val="32"/>
          <w:highlight w:val="none"/>
          <w:lang w:val="en-US" w:eastAsia="zh-CN"/>
        </w:rPr>
        <w:t>邵阳站北广场匝道等工程的中标通知书发出日期为2021年11月19日，根据《中华人民共和国招标投标法》第四十六条规定，招标人和中标人应当自中标通知书发出之日起三十日内签订合同，但该项目建设单位与中标方湖南省四公司签订工程合同日期为2022年3月9日，合同签订时间滞后了3个多月。</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1"/>
        <w:rPr>
          <w:rFonts w:hint="default" w:ascii="楷体" w:hAnsi="楷体" w:eastAsia="楷体" w:cs="楷体"/>
          <w:b/>
          <w:bCs/>
          <w:color w:val="auto"/>
          <w:sz w:val="32"/>
          <w:szCs w:val="32"/>
          <w:highlight w:val="none"/>
          <w:lang w:val="en-US" w:eastAsia="zh-CN"/>
        </w:rPr>
      </w:pPr>
      <w:bookmarkStart w:id="44" w:name="_Toc15130"/>
      <w:r>
        <w:rPr>
          <w:rFonts w:hint="eastAsia" w:ascii="楷体" w:hAnsi="楷体" w:eastAsia="楷体" w:cs="楷体"/>
          <w:b/>
          <w:bCs/>
          <w:color w:val="auto"/>
          <w:sz w:val="32"/>
          <w:szCs w:val="32"/>
          <w:highlight w:val="none"/>
          <w:lang w:val="en-US" w:eastAsia="zh-CN"/>
        </w:rPr>
        <w:t>（四）项目产出跟规划设计存在偏差</w:t>
      </w:r>
      <w:bookmarkEnd w:id="44"/>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根据项目总体规划，邵阳火车站综合交通枢纽项目周边需建14 条道路，但目前仅紫霞路下穿铁路工程已完工、金山路下穿铁路工程即将建成，其他12条道路均未动工，项目产出跟规划</w:t>
      </w:r>
      <w:r>
        <w:rPr>
          <w:rFonts w:hint="eastAsia" w:ascii="仿宋" w:hAnsi="仿宋" w:eastAsia="仿宋" w:cs="仿宋"/>
          <w:color w:val="auto"/>
          <w:sz w:val="32"/>
          <w:szCs w:val="32"/>
          <w:highlight w:val="none"/>
          <w:lang w:val="en-US" w:eastAsia="zh-CN"/>
        </w:rPr>
        <w:t>存在较大差异。</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45" w:name="_Toc29685"/>
      <w:r>
        <w:rPr>
          <w:rFonts w:hint="eastAsia" w:ascii="楷体" w:hAnsi="楷体" w:eastAsia="楷体" w:cs="楷体"/>
          <w:b/>
          <w:bCs/>
          <w:color w:val="auto"/>
          <w:sz w:val="32"/>
          <w:szCs w:val="32"/>
          <w:highlight w:val="none"/>
          <w:lang w:val="en-US" w:eastAsia="zh-CN"/>
        </w:rPr>
        <w:t>（五）工程完工未及时办理竣工结算手续</w:t>
      </w:r>
      <w:bookmarkEnd w:id="45"/>
    </w:p>
    <w:p>
      <w:pPr>
        <w:pStyle w:val="2"/>
        <w:rPr>
          <w:rFonts w:hint="default"/>
          <w:color w:val="auto"/>
          <w:highlight w:val="none"/>
          <w:lang w:val="en-US" w:eastAsia="zh-CN"/>
        </w:rPr>
      </w:pPr>
      <w:r>
        <w:rPr>
          <w:rFonts w:hint="eastAsia" w:ascii="仿宋" w:hAnsi="仿宋" w:eastAsia="仿宋" w:cs="仿宋"/>
          <w:color w:val="auto"/>
          <w:sz w:val="32"/>
          <w:szCs w:val="32"/>
          <w:highlight w:val="none"/>
          <w:lang w:val="en-US" w:eastAsia="zh-CN"/>
        </w:rPr>
        <w:t>临时站房工程和紫霞路下穿益湛铁路道路工程分别于2020年11月和2021年2月竣工验收，两项工程系独立签订合同及计算施工承包费，长时间未办理工程竣工结算手续。</w:t>
      </w:r>
    </w:p>
    <w:bookmarkEnd w:id="43"/>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0"/>
        <w:rPr>
          <w:rFonts w:hint="default" w:ascii="黑体" w:hAnsi="黑体" w:eastAsia="黑体" w:cs="黑体"/>
          <w:color w:val="auto"/>
          <w:kern w:val="0"/>
          <w:sz w:val="32"/>
          <w:szCs w:val="32"/>
          <w:highlight w:val="none"/>
          <w:lang w:val="en-US" w:eastAsia="zh-CN"/>
        </w:rPr>
      </w:pPr>
      <w:bookmarkStart w:id="46" w:name="_Toc9278"/>
      <w:r>
        <w:rPr>
          <w:rFonts w:hint="eastAsia" w:ascii="黑体" w:hAnsi="黑体" w:eastAsia="黑体" w:cs="黑体"/>
          <w:color w:val="auto"/>
          <w:kern w:val="0"/>
          <w:sz w:val="32"/>
          <w:szCs w:val="32"/>
          <w:highlight w:val="none"/>
          <w:lang w:val="en-US" w:eastAsia="zh-CN"/>
        </w:rPr>
        <w:t>六</w:t>
      </w:r>
      <w:r>
        <w:rPr>
          <w:rFonts w:hint="eastAsia"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lang w:val="en-US" w:eastAsia="zh-CN"/>
        </w:rPr>
        <w:t>有关建议及措施</w:t>
      </w:r>
      <w:bookmarkEnd w:id="46"/>
    </w:p>
    <w:p>
      <w:pPr>
        <w:keepNext w:val="0"/>
        <w:keepLines w:val="0"/>
        <w:pageBreakBefore w:val="0"/>
        <w:widowControl w:val="0"/>
        <w:kinsoku/>
        <w:wordWrap/>
        <w:overflowPunct/>
        <w:topLinePunct w:val="0"/>
        <w:autoSpaceDE/>
        <w:autoSpaceDN/>
        <w:bidi w:val="0"/>
        <w:adjustRightInd/>
        <w:snapToGrid/>
        <w:spacing w:line="360" w:lineRule="auto"/>
        <w:ind w:left="0" w:firstLine="643"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eastAsia="zh-CN"/>
        </w:rPr>
        <w:t>（</w:t>
      </w:r>
      <w:r>
        <w:rPr>
          <w:rFonts w:hint="eastAsia" w:ascii="楷体" w:hAnsi="楷体" w:eastAsia="楷体" w:cs="楷体"/>
          <w:b/>
          <w:bCs/>
          <w:color w:val="auto"/>
          <w:sz w:val="32"/>
          <w:szCs w:val="32"/>
          <w:highlight w:val="none"/>
          <w:lang w:val="en-US" w:eastAsia="zh-CN"/>
        </w:rPr>
        <w:t>一）按照文件要求切实做好项目全生命周期绩效管理工作。</w:t>
      </w:r>
      <w:r>
        <w:rPr>
          <w:rFonts w:hint="eastAsia" w:ascii="仿宋" w:hAnsi="仿宋" w:eastAsia="仿宋" w:cs="仿宋"/>
          <w:b w:val="0"/>
          <w:bCs w:val="0"/>
          <w:color w:val="auto"/>
          <w:sz w:val="32"/>
          <w:szCs w:val="32"/>
          <w:highlight w:val="none"/>
          <w:lang w:val="en-US" w:eastAsia="zh-CN"/>
        </w:rPr>
        <w:t>邵阳火车站综合交通枢纽项目总投资近30亿元，属省级重大民生项目，根据</w:t>
      </w:r>
      <w:r>
        <w:rPr>
          <w:rFonts w:hint="eastAsia" w:ascii="仿宋" w:hAnsi="仿宋" w:eastAsia="仿宋" w:cs="仿宋"/>
          <w:color w:val="auto"/>
          <w:sz w:val="32"/>
          <w:szCs w:val="32"/>
          <w:highlight w:val="none"/>
          <w:lang w:val="en-US" w:eastAsia="zh-CN"/>
        </w:rPr>
        <w:t>文件政策要求，为落实项目建设主体责任，该项目必须实行项目全生命周期绩效管理和绩效终身责任追究制；必须按照绩效管理全过程的要求，做好绩效目标申报、绩效运行监控、绩效自评等工作，并就自评发现的问题，提出可行的措施将问题整改到位。目前该项目建设单位没有开展绩效管理相关工作，建议立即整改。</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eastAsia" w:ascii="仿宋" w:hAnsi="仿宋" w:eastAsia="仿宋" w:cs="仿宋"/>
          <w:b w:val="0"/>
          <w:bCs w:val="0"/>
          <w:color w:val="auto"/>
          <w:sz w:val="32"/>
          <w:szCs w:val="32"/>
          <w:highlight w:val="none"/>
          <w:lang w:val="en-US" w:eastAsia="zh-CN"/>
        </w:rPr>
      </w:pPr>
      <w:r>
        <w:rPr>
          <w:rFonts w:hint="eastAsia" w:ascii="楷体" w:hAnsi="楷体" w:eastAsia="楷体" w:cs="楷体"/>
          <w:b/>
          <w:bCs/>
          <w:color w:val="auto"/>
          <w:kern w:val="2"/>
          <w:sz w:val="32"/>
          <w:szCs w:val="32"/>
          <w:highlight w:val="none"/>
          <w:lang w:val="en-US" w:eastAsia="zh-CN" w:bidi="ar-SA"/>
        </w:rPr>
        <w:t>（二）完善债券融资前期准备工作。</w:t>
      </w:r>
      <w:r>
        <w:rPr>
          <w:rFonts w:hint="eastAsia" w:ascii="仿宋" w:hAnsi="仿宋" w:eastAsia="仿宋" w:cs="仿宋"/>
          <w:b w:val="0"/>
          <w:bCs w:val="0"/>
          <w:color w:val="auto"/>
          <w:sz w:val="32"/>
          <w:szCs w:val="32"/>
          <w:highlight w:val="none"/>
          <w:lang w:val="en-US" w:eastAsia="zh-CN"/>
        </w:rPr>
        <w:t>项目建设单位在新申请发行专项债券时，对原融资平衡方案进行适当补充与修正，确保取得预期收益的时间与项目建设、运营期限匹配。</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eastAsia" w:ascii="仿宋" w:hAnsi="仿宋" w:eastAsia="仿宋" w:cs="仿宋"/>
          <w:b w:val="0"/>
          <w:bCs w:val="0"/>
          <w:color w:val="auto"/>
          <w:sz w:val="32"/>
          <w:szCs w:val="32"/>
          <w:highlight w:val="none"/>
          <w:lang w:val="en-US" w:eastAsia="zh-CN"/>
        </w:rPr>
      </w:pPr>
      <w:r>
        <w:rPr>
          <w:rFonts w:hint="eastAsia" w:ascii="楷体" w:hAnsi="楷体" w:eastAsia="楷体" w:cs="楷体"/>
          <w:b/>
          <w:bCs/>
          <w:color w:val="auto"/>
          <w:kern w:val="2"/>
          <w:sz w:val="32"/>
          <w:szCs w:val="32"/>
          <w:highlight w:val="none"/>
          <w:lang w:val="en-US" w:eastAsia="zh-CN" w:bidi="ar-SA"/>
        </w:rPr>
        <w:t>（三）加强合同审核工作。</w:t>
      </w:r>
      <w:r>
        <w:rPr>
          <w:rFonts w:hint="eastAsia" w:ascii="仿宋" w:hAnsi="仿宋" w:eastAsia="仿宋" w:cs="仿宋"/>
          <w:b w:val="0"/>
          <w:bCs w:val="0"/>
          <w:color w:val="auto"/>
          <w:sz w:val="32"/>
          <w:szCs w:val="32"/>
          <w:highlight w:val="none"/>
          <w:lang w:val="en-US" w:eastAsia="zh-CN"/>
        </w:rPr>
        <w:t>强化合同管理意识，规范合同决策程序，加大合同审查力度，防范合同风险。</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eastAsia" w:ascii="仿宋" w:hAnsi="仿宋" w:eastAsia="仿宋" w:cs="仿宋"/>
          <w:b w:val="0"/>
          <w:bCs w:val="0"/>
          <w:color w:val="auto"/>
          <w:sz w:val="32"/>
          <w:szCs w:val="32"/>
          <w:highlight w:val="none"/>
          <w:lang w:val="en-US" w:eastAsia="zh-CN"/>
        </w:rPr>
      </w:pPr>
      <w:r>
        <w:rPr>
          <w:rFonts w:hint="eastAsia" w:ascii="楷体" w:hAnsi="楷体" w:eastAsia="楷体" w:cs="楷体"/>
          <w:b/>
          <w:bCs/>
          <w:color w:val="auto"/>
          <w:kern w:val="2"/>
          <w:sz w:val="32"/>
          <w:szCs w:val="32"/>
          <w:highlight w:val="none"/>
          <w:lang w:val="en-US" w:eastAsia="zh-CN" w:bidi="ar-SA"/>
        </w:rPr>
        <w:t>（四）明确火车站周边路网建设工程是否属于调整事项。</w:t>
      </w:r>
      <w:r>
        <w:rPr>
          <w:rFonts w:hint="eastAsia" w:ascii="仿宋" w:hAnsi="仿宋" w:eastAsia="仿宋" w:cs="仿宋"/>
          <w:b w:val="0"/>
          <w:bCs w:val="0"/>
          <w:color w:val="auto"/>
          <w:sz w:val="32"/>
          <w:szCs w:val="32"/>
          <w:highlight w:val="none"/>
          <w:lang w:val="en-US" w:eastAsia="zh-CN"/>
        </w:rPr>
        <w:t>财政部印发的《地方政府专项债券用途调整操作指引》第三条指出，专项债券资金使用，坚持以不调整为常态、调整为例外。专项债券一经发行，应当严格按照发行信息公开文件约定的项目用途使用债券资金，各地确因特殊情况需要调整的，应当严格履行规定程序，严禁擅自随意调整专项债券用途，严禁先挪用、后调整等行为。</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立项批复文件和可研报告未明确道路工程建设属于一期或二期建设范围，如不需调整建设内容的，在二期开工建设其余12条道路；否则，应履行规定程序调整。</w:t>
      </w:r>
    </w:p>
    <w:p>
      <w:pPr>
        <w:pStyle w:val="13"/>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textAlignment w:val="auto"/>
        <w:rPr>
          <w:rFonts w:hint="eastAsia"/>
          <w:color w:val="auto"/>
          <w:highlight w:val="none"/>
        </w:rPr>
      </w:pPr>
      <w:r>
        <w:rPr>
          <w:rFonts w:hint="eastAsia" w:ascii="楷体" w:hAnsi="楷体" w:eastAsia="楷体" w:cs="楷体"/>
          <w:b/>
          <w:bCs/>
          <w:color w:val="auto"/>
          <w:kern w:val="2"/>
          <w:sz w:val="32"/>
          <w:szCs w:val="32"/>
          <w:highlight w:val="none"/>
          <w:lang w:val="en-US" w:eastAsia="zh-CN" w:bidi="ar-SA"/>
        </w:rPr>
        <w:t>（五）及时组织验收和工程竣工结算工作。</w:t>
      </w:r>
      <w:r>
        <w:rPr>
          <w:rFonts w:hint="eastAsia" w:ascii="仿宋" w:hAnsi="仿宋" w:eastAsia="仿宋" w:cs="仿宋"/>
          <w:b w:val="0"/>
          <w:bCs w:val="0"/>
          <w:color w:val="auto"/>
          <w:sz w:val="32"/>
          <w:szCs w:val="32"/>
          <w:highlight w:val="none"/>
          <w:lang w:val="en-US" w:eastAsia="zh-CN"/>
        </w:rPr>
        <w:t>项目建设单位做好结算前期准备工作，加强与施工方协调沟通，督促施工方及时提供结算所需资料，双方及时办理竣工结算手续，避免因长期未结算导致工程资料缺失。</w:t>
      </w:r>
      <w:bookmarkStart w:id="47" w:name="_GoBack"/>
      <w:bookmarkEnd w:id="47"/>
    </w:p>
    <w:p>
      <w:pPr>
        <w:keepNext w:val="0"/>
        <w:keepLines w:val="0"/>
        <w:pageBreakBefore w:val="0"/>
        <w:kinsoku/>
        <w:wordWrap/>
        <w:overflowPunct/>
        <w:topLinePunct w:val="0"/>
        <w:autoSpaceDN/>
        <w:bidi w:val="0"/>
        <w:spacing w:line="360" w:lineRule="auto"/>
        <w:rPr>
          <w:rFonts w:hint="eastAsia" w:ascii="仿宋" w:hAnsi="仿宋" w:eastAsia="仿宋" w:cs="仿宋"/>
          <w:color w:val="auto"/>
          <w:sz w:val="32"/>
          <w:szCs w:val="32"/>
          <w:highlight w:val="none"/>
        </w:rPr>
      </w:pPr>
    </w:p>
    <w:sectPr>
      <w:headerReference r:id="rId5" w:type="default"/>
      <w:footerReference r:id="rId6" w:type="default"/>
      <w:pgSz w:w="11906" w:h="16838"/>
      <w:pgMar w:top="1440" w:right="1474" w:bottom="1440" w:left="1474" w:header="851" w:footer="992" w:gutter="0"/>
      <w:pgBorders>
        <w:top w:val="none" w:sz="0" w:space="0"/>
        <w:left w:val="none" w:sz="0" w:space="0"/>
        <w:bottom w:val="none" w:sz="0" w:space="0"/>
        <w:right w:val="none" w:sz="0" w:space="0"/>
      </w:pgBorders>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9</w:t>
    </w:r>
    <w:r>
      <w:rPr>
        <w:sz w:val="24"/>
        <w:szCs w:val="24"/>
        <w:lang w:val="zh-CN"/>
      </w:rPr>
      <w:fldChar w:fldCharType="end"/>
    </w:r>
  </w:p>
  <w:p>
    <w:pPr>
      <w:pStyle w:val="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beforeLines="0" w:afterLines="0"/>
      <w:rPr>
        <w:rFonts w:hint="default"/>
        <w:sz w:val="1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9C18D4"/>
    <w:multiLevelType w:val="multilevel"/>
    <w:tmpl w:val="429C18D4"/>
    <w:lvl w:ilvl="0" w:tentative="0">
      <w:start w:val="2"/>
      <w:numFmt w:val="chineseCounting"/>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179A7DFE"/>
    <w:rsid w:val="00002BF9"/>
    <w:rsid w:val="00006239"/>
    <w:rsid w:val="0001078D"/>
    <w:rsid w:val="000179A6"/>
    <w:rsid w:val="00017CFF"/>
    <w:rsid w:val="00021171"/>
    <w:rsid w:val="00021BBF"/>
    <w:rsid w:val="00030F51"/>
    <w:rsid w:val="00031DB1"/>
    <w:rsid w:val="000337F9"/>
    <w:rsid w:val="00042BE4"/>
    <w:rsid w:val="00043824"/>
    <w:rsid w:val="00045438"/>
    <w:rsid w:val="00045890"/>
    <w:rsid w:val="0005067B"/>
    <w:rsid w:val="00052741"/>
    <w:rsid w:val="00060B7A"/>
    <w:rsid w:val="0007169F"/>
    <w:rsid w:val="00075EEC"/>
    <w:rsid w:val="00085D4A"/>
    <w:rsid w:val="0008732D"/>
    <w:rsid w:val="00091E5A"/>
    <w:rsid w:val="00095CD8"/>
    <w:rsid w:val="00096B2B"/>
    <w:rsid w:val="000A31BF"/>
    <w:rsid w:val="000A5D8B"/>
    <w:rsid w:val="000A7767"/>
    <w:rsid w:val="000A7A60"/>
    <w:rsid w:val="000B1712"/>
    <w:rsid w:val="000B2C90"/>
    <w:rsid w:val="000C1C11"/>
    <w:rsid w:val="000C1CB5"/>
    <w:rsid w:val="000C3668"/>
    <w:rsid w:val="000C5E54"/>
    <w:rsid w:val="000D27BF"/>
    <w:rsid w:val="000D48A0"/>
    <w:rsid w:val="000D52A9"/>
    <w:rsid w:val="000D615E"/>
    <w:rsid w:val="000E1672"/>
    <w:rsid w:val="000E4CDE"/>
    <w:rsid w:val="000F1F2D"/>
    <w:rsid w:val="00112AB2"/>
    <w:rsid w:val="00112B17"/>
    <w:rsid w:val="00117D1D"/>
    <w:rsid w:val="00122220"/>
    <w:rsid w:val="00125F7F"/>
    <w:rsid w:val="00126CD7"/>
    <w:rsid w:val="00132055"/>
    <w:rsid w:val="00141520"/>
    <w:rsid w:val="00144FBD"/>
    <w:rsid w:val="00154948"/>
    <w:rsid w:val="00156C2F"/>
    <w:rsid w:val="00160F00"/>
    <w:rsid w:val="0016275D"/>
    <w:rsid w:val="00163D22"/>
    <w:rsid w:val="00170723"/>
    <w:rsid w:val="00174217"/>
    <w:rsid w:val="00182AB1"/>
    <w:rsid w:val="00191035"/>
    <w:rsid w:val="00192862"/>
    <w:rsid w:val="001943B3"/>
    <w:rsid w:val="001A087A"/>
    <w:rsid w:val="001A423F"/>
    <w:rsid w:val="001A4F6C"/>
    <w:rsid w:val="001A55B1"/>
    <w:rsid w:val="001B4087"/>
    <w:rsid w:val="001C2D2C"/>
    <w:rsid w:val="001C6CC2"/>
    <w:rsid w:val="001C7AB4"/>
    <w:rsid w:val="001D1BF8"/>
    <w:rsid w:val="001D6B40"/>
    <w:rsid w:val="001E1094"/>
    <w:rsid w:val="00212C37"/>
    <w:rsid w:val="00216A80"/>
    <w:rsid w:val="0021707E"/>
    <w:rsid w:val="00220DF7"/>
    <w:rsid w:val="00232E99"/>
    <w:rsid w:val="0024093D"/>
    <w:rsid w:val="002474A0"/>
    <w:rsid w:val="00264BE1"/>
    <w:rsid w:val="002663B8"/>
    <w:rsid w:val="00274FC0"/>
    <w:rsid w:val="002764E9"/>
    <w:rsid w:val="002772CE"/>
    <w:rsid w:val="002776E9"/>
    <w:rsid w:val="00280A10"/>
    <w:rsid w:val="00296820"/>
    <w:rsid w:val="002A1673"/>
    <w:rsid w:val="002A65EC"/>
    <w:rsid w:val="002C1A5E"/>
    <w:rsid w:val="002D1A15"/>
    <w:rsid w:val="002D2E77"/>
    <w:rsid w:val="002E45B7"/>
    <w:rsid w:val="002E4F01"/>
    <w:rsid w:val="002E715E"/>
    <w:rsid w:val="002F0C1A"/>
    <w:rsid w:val="002F5C4D"/>
    <w:rsid w:val="002F60C6"/>
    <w:rsid w:val="00302D78"/>
    <w:rsid w:val="00315BE8"/>
    <w:rsid w:val="00320613"/>
    <w:rsid w:val="003221C6"/>
    <w:rsid w:val="00322A08"/>
    <w:rsid w:val="00323FF9"/>
    <w:rsid w:val="00332FB2"/>
    <w:rsid w:val="003405B9"/>
    <w:rsid w:val="003455C7"/>
    <w:rsid w:val="00347520"/>
    <w:rsid w:val="00353122"/>
    <w:rsid w:val="00371A35"/>
    <w:rsid w:val="00380B73"/>
    <w:rsid w:val="0038444D"/>
    <w:rsid w:val="00386DD7"/>
    <w:rsid w:val="003930CA"/>
    <w:rsid w:val="003A0D21"/>
    <w:rsid w:val="003B3191"/>
    <w:rsid w:val="003B56CA"/>
    <w:rsid w:val="003D5109"/>
    <w:rsid w:val="003D57A4"/>
    <w:rsid w:val="003D5EBF"/>
    <w:rsid w:val="003E0944"/>
    <w:rsid w:val="003E31EF"/>
    <w:rsid w:val="003E322C"/>
    <w:rsid w:val="003E38ED"/>
    <w:rsid w:val="003E641C"/>
    <w:rsid w:val="003F480F"/>
    <w:rsid w:val="00401D82"/>
    <w:rsid w:val="00402B90"/>
    <w:rsid w:val="004038F0"/>
    <w:rsid w:val="00407341"/>
    <w:rsid w:val="004079D4"/>
    <w:rsid w:val="00411052"/>
    <w:rsid w:val="00413FA8"/>
    <w:rsid w:val="0042038B"/>
    <w:rsid w:val="00433100"/>
    <w:rsid w:val="004362DE"/>
    <w:rsid w:val="0044492E"/>
    <w:rsid w:val="0045112E"/>
    <w:rsid w:val="00457949"/>
    <w:rsid w:val="00461149"/>
    <w:rsid w:val="004615C1"/>
    <w:rsid w:val="004619FC"/>
    <w:rsid w:val="0046521B"/>
    <w:rsid w:val="004771C3"/>
    <w:rsid w:val="00480BDC"/>
    <w:rsid w:val="00481D80"/>
    <w:rsid w:val="0048354D"/>
    <w:rsid w:val="0048402C"/>
    <w:rsid w:val="00495479"/>
    <w:rsid w:val="004954C8"/>
    <w:rsid w:val="004A4876"/>
    <w:rsid w:val="004B03DA"/>
    <w:rsid w:val="004B5178"/>
    <w:rsid w:val="004B5BB7"/>
    <w:rsid w:val="004B6D51"/>
    <w:rsid w:val="004B7199"/>
    <w:rsid w:val="004C006C"/>
    <w:rsid w:val="004C1D26"/>
    <w:rsid w:val="004C3013"/>
    <w:rsid w:val="004C38B5"/>
    <w:rsid w:val="004C3EF3"/>
    <w:rsid w:val="004D2810"/>
    <w:rsid w:val="004E7695"/>
    <w:rsid w:val="004E7E13"/>
    <w:rsid w:val="004F0FFF"/>
    <w:rsid w:val="004F27DA"/>
    <w:rsid w:val="004F2ED7"/>
    <w:rsid w:val="004F630E"/>
    <w:rsid w:val="004F67BA"/>
    <w:rsid w:val="0050290C"/>
    <w:rsid w:val="00511523"/>
    <w:rsid w:val="005117D0"/>
    <w:rsid w:val="005142A8"/>
    <w:rsid w:val="00515BFE"/>
    <w:rsid w:val="00522FE0"/>
    <w:rsid w:val="00526229"/>
    <w:rsid w:val="00527646"/>
    <w:rsid w:val="0053250E"/>
    <w:rsid w:val="0053658F"/>
    <w:rsid w:val="0054210E"/>
    <w:rsid w:val="005468BD"/>
    <w:rsid w:val="00547DD1"/>
    <w:rsid w:val="00552C8F"/>
    <w:rsid w:val="00554AA0"/>
    <w:rsid w:val="005612A6"/>
    <w:rsid w:val="0056156F"/>
    <w:rsid w:val="00562A6A"/>
    <w:rsid w:val="00565120"/>
    <w:rsid w:val="00565E63"/>
    <w:rsid w:val="00575F8C"/>
    <w:rsid w:val="00582A95"/>
    <w:rsid w:val="00582EDC"/>
    <w:rsid w:val="005859BC"/>
    <w:rsid w:val="00585B45"/>
    <w:rsid w:val="00590E91"/>
    <w:rsid w:val="0059111B"/>
    <w:rsid w:val="005952C7"/>
    <w:rsid w:val="00595E2A"/>
    <w:rsid w:val="005A19DA"/>
    <w:rsid w:val="005B1B65"/>
    <w:rsid w:val="005C1F3C"/>
    <w:rsid w:val="005C412D"/>
    <w:rsid w:val="005D4BCE"/>
    <w:rsid w:val="005E1A7D"/>
    <w:rsid w:val="005E1D2E"/>
    <w:rsid w:val="005E4FB3"/>
    <w:rsid w:val="0060610B"/>
    <w:rsid w:val="0060761D"/>
    <w:rsid w:val="00616CFB"/>
    <w:rsid w:val="0062057C"/>
    <w:rsid w:val="0062083A"/>
    <w:rsid w:val="00621E0F"/>
    <w:rsid w:val="00624170"/>
    <w:rsid w:val="0063351C"/>
    <w:rsid w:val="0063375F"/>
    <w:rsid w:val="00636426"/>
    <w:rsid w:val="0064020A"/>
    <w:rsid w:val="00643241"/>
    <w:rsid w:val="00644CC5"/>
    <w:rsid w:val="00652FDC"/>
    <w:rsid w:val="00653FB6"/>
    <w:rsid w:val="00665656"/>
    <w:rsid w:val="00666B80"/>
    <w:rsid w:val="00677156"/>
    <w:rsid w:val="00686CD4"/>
    <w:rsid w:val="00687AB5"/>
    <w:rsid w:val="00696F6C"/>
    <w:rsid w:val="006B18B5"/>
    <w:rsid w:val="006B7176"/>
    <w:rsid w:val="006C0665"/>
    <w:rsid w:val="006C4618"/>
    <w:rsid w:val="006D20DB"/>
    <w:rsid w:val="006E2C16"/>
    <w:rsid w:val="006E37B4"/>
    <w:rsid w:val="006E6DCA"/>
    <w:rsid w:val="006F0EB5"/>
    <w:rsid w:val="006F4F60"/>
    <w:rsid w:val="007115D8"/>
    <w:rsid w:val="00717778"/>
    <w:rsid w:val="0071778E"/>
    <w:rsid w:val="00724CEE"/>
    <w:rsid w:val="00725D4B"/>
    <w:rsid w:val="007375F1"/>
    <w:rsid w:val="00737A92"/>
    <w:rsid w:val="00741B00"/>
    <w:rsid w:val="0076267B"/>
    <w:rsid w:val="00770B80"/>
    <w:rsid w:val="007755F6"/>
    <w:rsid w:val="00782159"/>
    <w:rsid w:val="007855D9"/>
    <w:rsid w:val="00786FA9"/>
    <w:rsid w:val="007921D4"/>
    <w:rsid w:val="0079239C"/>
    <w:rsid w:val="007928AC"/>
    <w:rsid w:val="007A199A"/>
    <w:rsid w:val="007A24B2"/>
    <w:rsid w:val="007A5130"/>
    <w:rsid w:val="007B0AF1"/>
    <w:rsid w:val="007E62CA"/>
    <w:rsid w:val="007F03E2"/>
    <w:rsid w:val="007F4D73"/>
    <w:rsid w:val="007F7554"/>
    <w:rsid w:val="0080443E"/>
    <w:rsid w:val="00810C13"/>
    <w:rsid w:val="00813C64"/>
    <w:rsid w:val="00814B59"/>
    <w:rsid w:val="00816A0B"/>
    <w:rsid w:val="008214B4"/>
    <w:rsid w:val="00823337"/>
    <w:rsid w:val="00830B32"/>
    <w:rsid w:val="008319AE"/>
    <w:rsid w:val="008319FC"/>
    <w:rsid w:val="00832557"/>
    <w:rsid w:val="00845D0D"/>
    <w:rsid w:val="00846563"/>
    <w:rsid w:val="00865AF2"/>
    <w:rsid w:val="008703A6"/>
    <w:rsid w:val="008724B6"/>
    <w:rsid w:val="00873266"/>
    <w:rsid w:val="0087378D"/>
    <w:rsid w:val="00882D94"/>
    <w:rsid w:val="00887E84"/>
    <w:rsid w:val="00896DBC"/>
    <w:rsid w:val="008A5A90"/>
    <w:rsid w:val="008A7567"/>
    <w:rsid w:val="008B03B9"/>
    <w:rsid w:val="008B1C13"/>
    <w:rsid w:val="008B5AC7"/>
    <w:rsid w:val="008B6378"/>
    <w:rsid w:val="008B7355"/>
    <w:rsid w:val="008D1117"/>
    <w:rsid w:val="008D4268"/>
    <w:rsid w:val="008E3B2B"/>
    <w:rsid w:val="008E6A3C"/>
    <w:rsid w:val="008E72D6"/>
    <w:rsid w:val="008E7A6F"/>
    <w:rsid w:val="008F2254"/>
    <w:rsid w:val="00900F86"/>
    <w:rsid w:val="009036AB"/>
    <w:rsid w:val="00903EDF"/>
    <w:rsid w:val="0090703F"/>
    <w:rsid w:val="009171DD"/>
    <w:rsid w:val="009223B7"/>
    <w:rsid w:val="00932076"/>
    <w:rsid w:val="00946B3E"/>
    <w:rsid w:val="00952AF4"/>
    <w:rsid w:val="00955671"/>
    <w:rsid w:val="00960299"/>
    <w:rsid w:val="009637C1"/>
    <w:rsid w:val="00967282"/>
    <w:rsid w:val="00972E70"/>
    <w:rsid w:val="00987835"/>
    <w:rsid w:val="00990352"/>
    <w:rsid w:val="0099380F"/>
    <w:rsid w:val="009942E5"/>
    <w:rsid w:val="00997E8A"/>
    <w:rsid w:val="009A05DE"/>
    <w:rsid w:val="009A1037"/>
    <w:rsid w:val="009B0AD7"/>
    <w:rsid w:val="009B52CB"/>
    <w:rsid w:val="009B633A"/>
    <w:rsid w:val="009C39CF"/>
    <w:rsid w:val="009C4FA7"/>
    <w:rsid w:val="009D6E5A"/>
    <w:rsid w:val="009E5393"/>
    <w:rsid w:val="009F2436"/>
    <w:rsid w:val="009F6839"/>
    <w:rsid w:val="00A12BA9"/>
    <w:rsid w:val="00A132E5"/>
    <w:rsid w:val="00A2798E"/>
    <w:rsid w:val="00A3177C"/>
    <w:rsid w:val="00A36133"/>
    <w:rsid w:val="00A41BAD"/>
    <w:rsid w:val="00A56660"/>
    <w:rsid w:val="00A6079C"/>
    <w:rsid w:val="00A62B6C"/>
    <w:rsid w:val="00A655A9"/>
    <w:rsid w:val="00A65876"/>
    <w:rsid w:val="00A66D70"/>
    <w:rsid w:val="00A81BF7"/>
    <w:rsid w:val="00A81C0B"/>
    <w:rsid w:val="00A82827"/>
    <w:rsid w:val="00A83BF1"/>
    <w:rsid w:val="00A858BA"/>
    <w:rsid w:val="00AA3E0D"/>
    <w:rsid w:val="00AA7ACD"/>
    <w:rsid w:val="00AA7BA6"/>
    <w:rsid w:val="00AC372F"/>
    <w:rsid w:val="00AD3987"/>
    <w:rsid w:val="00AE070F"/>
    <w:rsid w:val="00AF42CE"/>
    <w:rsid w:val="00AF4EEC"/>
    <w:rsid w:val="00AF6C37"/>
    <w:rsid w:val="00AF7F72"/>
    <w:rsid w:val="00B07448"/>
    <w:rsid w:val="00B079EB"/>
    <w:rsid w:val="00B12F3A"/>
    <w:rsid w:val="00B22FD7"/>
    <w:rsid w:val="00B3090C"/>
    <w:rsid w:val="00B336AB"/>
    <w:rsid w:val="00B441CF"/>
    <w:rsid w:val="00B46A30"/>
    <w:rsid w:val="00B50218"/>
    <w:rsid w:val="00B51A72"/>
    <w:rsid w:val="00B74AE9"/>
    <w:rsid w:val="00B81354"/>
    <w:rsid w:val="00B845C8"/>
    <w:rsid w:val="00B87615"/>
    <w:rsid w:val="00B909EB"/>
    <w:rsid w:val="00B93081"/>
    <w:rsid w:val="00B9695B"/>
    <w:rsid w:val="00BA10BF"/>
    <w:rsid w:val="00BA35C1"/>
    <w:rsid w:val="00BB40D7"/>
    <w:rsid w:val="00BC6B1A"/>
    <w:rsid w:val="00BD0311"/>
    <w:rsid w:val="00BD260D"/>
    <w:rsid w:val="00BD3556"/>
    <w:rsid w:val="00BD655D"/>
    <w:rsid w:val="00BF009F"/>
    <w:rsid w:val="00BF244B"/>
    <w:rsid w:val="00BF60FA"/>
    <w:rsid w:val="00C008B4"/>
    <w:rsid w:val="00C11412"/>
    <w:rsid w:val="00C2275C"/>
    <w:rsid w:val="00C275EF"/>
    <w:rsid w:val="00C30081"/>
    <w:rsid w:val="00C31CE3"/>
    <w:rsid w:val="00C3219A"/>
    <w:rsid w:val="00C33F20"/>
    <w:rsid w:val="00C47D51"/>
    <w:rsid w:val="00C53234"/>
    <w:rsid w:val="00C55693"/>
    <w:rsid w:val="00C72F21"/>
    <w:rsid w:val="00C761EF"/>
    <w:rsid w:val="00C76DD7"/>
    <w:rsid w:val="00CA2EB8"/>
    <w:rsid w:val="00CA4F86"/>
    <w:rsid w:val="00CA5552"/>
    <w:rsid w:val="00CB40F1"/>
    <w:rsid w:val="00CB6BE5"/>
    <w:rsid w:val="00CC1355"/>
    <w:rsid w:val="00CC7EB1"/>
    <w:rsid w:val="00CD5879"/>
    <w:rsid w:val="00CE2892"/>
    <w:rsid w:val="00CE71A3"/>
    <w:rsid w:val="00CF2CC2"/>
    <w:rsid w:val="00CF50F2"/>
    <w:rsid w:val="00CF7F00"/>
    <w:rsid w:val="00CF7F8B"/>
    <w:rsid w:val="00D05659"/>
    <w:rsid w:val="00D057BD"/>
    <w:rsid w:val="00D05C9D"/>
    <w:rsid w:val="00D07B0E"/>
    <w:rsid w:val="00D235AB"/>
    <w:rsid w:val="00D268FC"/>
    <w:rsid w:val="00D323C8"/>
    <w:rsid w:val="00D32606"/>
    <w:rsid w:val="00D41279"/>
    <w:rsid w:val="00D4293C"/>
    <w:rsid w:val="00D441EE"/>
    <w:rsid w:val="00D44586"/>
    <w:rsid w:val="00D44982"/>
    <w:rsid w:val="00D45302"/>
    <w:rsid w:val="00D471F6"/>
    <w:rsid w:val="00D50B8D"/>
    <w:rsid w:val="00D55AA1"/>
    <w:rsid w:val="00D5625E"/>
    <w:rsid w:val="00D630E3"/>
    <w:rsid w:val="00D720FC"/>
    <w:rsid w:val="00D740AC"/>
    <w:rsid w:val="00D751C4"/>
    <w:rsid w:val="00D76D35"/>
    <w:rsid w:val="00D81AEA"/>
    <w:rsid w:val="00D823A7"/>
    <w:rsid w:val="00D930D4"/>
    <w:rsid w:val="00D933D1"/>
    <w:rsid w:val="00DA105F"/>
    <w:rsid w:val="00DB13C4"/>
    <w:rsid w:val="00DB6C30"/>
    <w:rsid w:val="00DC1AE6"/>
    <w:rsid w:val="00DC362D"/>
    <w:rsid w:val="00DC40AD"/>
    <w:rsid w:val="00DD1070"/>
    <w:rsid w:val="00DD334E"/>
    <w:rsid w:val="00DE02A7"/>
    <w:rsid w:val="00DE67F1"/>
    <w:rsid w:val="00DE6DA2"/>
    <w:rsid w:val="00DF1D68"/>
    <w:rsid w:val="00E025ED"/>
    <w:rsid w:val="00E10EE3"/>
    <w:rsid w:val="00E145F3"/>
    <w:rsid w:val="00E17449"/>
    <w:rsid w:val="00E20EA3"/>
    <w:rsid w:val="00E21597"/>
    <w:rsid w:val="00E224B6"/>
    <w:rsid w:val="00E23067"/>
    <w:rsid w:val="00E26124"/>
    <w:rsid w:val="00E26705"/>
    <w:rsid w:val="00E308EC"/>
    <w:rsid w:val="00E325D6"/>
    <w:rsid w:val="00E32C9E"/>
    <w:rsid w:val="00E36FE0"/>
    <w:rsid w:val="00E5050D"/>
    <w:rsid w:val="00E52674"/>
    <w:rsid w:val="00E53F5F"/>
    <w:rsid w:val="00E57149"/>
    <w:rsid w:val="00E57C54"/>
    <w:rsid w:val="00E60341"/>
    <w:rsid w:val="00E60591"/>
    <w:rsid w:val="00E627B4"/>
    <w:rsid w:val="00E6724E"/>
    <w:rsid w:val="00E80F23"/>
    <w:rsid w:val="00E81288"/>
    <w:rsid w:val="00E876C6"/>
    <w:rsid w:val="00E94E92"/>
    <w:rsid w:val="00E96429"/>
    <w:rsid w:val="00EA2444"/>
    <w:rsid w:val="00EA5C37"/>
    <w:rsid w:val="00EC7A75"/>
    <w:rsid w:val="00ED54DA"/>
    <w:rsid w:val="00EE0E0C"/>
    <w:rsid w:val="00EE404A"/>
    <w:rsid w:val="00EE46B8"/>
    <w:rsid w:val="00EF0E40"/>
    <w:rsid w:val="00EF1962"/>
    <w:rsid w:val="00EF1A86"/>
    <w:rsid w:val="00EF5D9C"/>
    <w:rsid w:val="00EF70B5"/>
    <w:rsid w:val="00F01ACB"/>
    <w:rsid w:val="00F147B0"/>
    <w:rsid w:val="00F16D51"/>
    <w:rsid w:val="00F20D3F"/>
    <w:rsid w:val="00F23DF9"/>
    <w:rsid w:val="00F25A4F"/>
    <w:rsid w:val="00F25A76"/>
    <w:rsid w:val="00F336BA"/>
    <w:rsid w:val="00F4414D"/>
    <w:rsid w:val="00F44F5F"/>
    <w:rsid w:val="00F46062"/>
    <w:rsid w:val="00F519E7"/>
    <w:rsid w:val="00F535C8"/>
    <w:rsid w:val="00F559C1"/>
    <w:rsid w:val="00F574D2"/>
    <w:rsid w:val="00F623F3"/>
    <w:rsid w:val="00F6459B"/>
    <w:rsid w:val="00F675F5"/>
    <w:rsid w:val="00F71CF8"/>
    <w:rsid w:val="00F75D6F"/>
    <w:rsid w:val="00F76CB8"/>
    <w:rsid w:val="00F80714"/>
    <w:rsid w:val="00F84AC0"/>
    <w:rsid w:val="00F95D11"/>
    <w:rsid w:val="00FB14C1"/>
    <w:rsid w:val="00FC6D82"/>
    <w:rsid w:val="00FD11F4"/>
    <w:rsid w:val="00FD16B5"/>
    <w:rsid w:val="00FD28BB"/>
    <w:rsid w:val="00FD5242"/>
    <w:rsid w:val="00FE72ED"/>
    <w:rsid w:val="00FF2D9A"/>
    <w:rsid w:val="01475555"/>
    <w:rsid w:val="01A5501A"/>
    <w:rsid w:val="022D2114"/>
    <w:rsid w:val="026526AD"/>
    <w:rsid w:val="028D6232"/>
    <w:rsid w:val="02A97ABB"/>
    <w:rsid w:val="02F61090"/>
    <w:rsid w:val="030E11AE"/>
    <w:rsid w:val="03C05177"/>
    <w:rsid w:val="03C07382"/>
    <w:rsid w:val="03E8493D"/>
    <w:rsid w:val="04104B5B"/>
    <w:rsid w:val="04162219"/>
    <w:rsid w:val="04CF5997"/>
    <w:rsid w:val="04EE2D5F"/>
    <w:rsid w:val="051C2142"/>
    <w:rsid w:val="05D05DE6"/>
    <w:rsid w:val="05DE4E38"/>
    <w:rsid w:val="06635490"/>
    <w:rsid w:val="06A50AB1"/>
    <w:rsid w:val="06B4658F"/>
    <w:rsid w:val="087D6CD7"/>
    <w:rsid w:val="08AE4799"/>
    <w:rsid w:val="09EA1170"/>
    <w:rsid w:val="0BA05B13"/>
    <w:rsid w:val="0BCD6AE0"/>
    <w:rsid w:val="0C154BDA"/>
    <w:rsid w:val="0C340988"/>
    <w:rsid w:val="0C4469D5"/>
    <w:rsid w:val="0C745AD0"/>
    <w:rsid w:val="0DAF012D"/>
    <w:rsid w:val="0E4A2881"/>
    <w:rsid w:val="0EE21C68"/>
    <w:rsid w:val="0F1D420E"/>
    <w:rsid w:val="0F473047"/>
    <w:rsid w:val="0F8B4F83"/>
    <w:rsid w:val="0FF03B9A"/>
    <w:rsid w:val="1005446D"/>
    <w:rsid w:val="10C559FB"/>
    <w:rsid w:val="10D456ED"/>
    <w:rsid w:val="13782556"/>
    <w:rsid w:val="13ED4CBF"/>
    <w:rsid w:val="143533EF"/>
    <w:rsid w:val="148E2CBB"/>
    <w:rsid w:val="15433117"/>
    <w:rsid w:val="15BB7257"/>
    <w:rsid w:val="15D46CBD"/>
    <w:rsid w:val="15ED4C2F"/>
    <w:rsid w:val="16D703D2"/>
    <w:rsid w:val="172404DE"/>
    <w:rsid w:val="17991C55"/>
    <w:rsid w:val="179A7DFE"/>
    <w:rsid w:val="185A717E"/>
    <w:rsid w:val="18DC0E31"/>
    <w:rsid w:val="191F493A"/>
    <w:rsid w:val="19BB54A5"/>
    <w:rsid w:val="19E04DC1"/>
    <w:rsid w:val="1A2B252D"/>
    <w:rsid w:val="1A4C7F36"/>
    <w:rsid w:val="1B412931"/>
    <w:rsid w:val="1BDB37F6"/>
    <w:rsid w:val="1BDF3454"/>
    <w:rsid w:val="1C2F459B"/>
    <w:rsid w:val="1DAA3337"/>
    <w:rsid w:val="1DCD023F"/>
    <w:rsid w:val="1EA94D8D"/>
    <w:rsid w:val="1EB044EF"/>
    <w:rsid w:val="1F8039B7"/>
    <w:rsid w:val="1FC439C3"/>
    <w:rsid w:val="1FE35BFE"/>
    <w:rsid w:val="1FE53650"/>
    <w:rsid w:val="2283639D"/>
    <w:rsid w:val="229E0275"/>
    <w:rsid w:val="22BD56C6"/>
    <w:rsid w:val="23510C16"/>
    <w:rsid w:val="237142BB"/>
    <w:rsid w:val="248154B2"/>
    <w:rsid w:val="24912949"/>
    <w:rsid w:val="24D8157B"/>
    <w:rsid w:val="24DE1906"/>
    <w:rsid w:val="257302A1"/>
    <w:rsid w:val="26793E60"/>
    <w:rsid w:val="26AC5EED"/>
    <w:rsid w:val="26D568A3"/>
    <w:rsid w:val="26E4023C"/>
    <w:rsid w:val="276C6CF0"/>
    <w:rsid w:val="28313A6D"/>
    <w:rsid w:val="29542197"/>
    <w:rsid w:val="2ADE2DF4"/>
    <w:rsid w:val="2B157704"/>
    <w:rsid w:val="2C630FF3"/>
    <w:rsid w:val="2D474B1C"/>
    <w:rsid w:val="2EBC2225"/>
    <w:rsid w:val="2EFB3F1E"/>
    <w:rsid w:val="2F1F2FAA"/>
    <w:rsid w:val="2FA5042C"/>
    <w:rsid w:val="2FD44032"/>
    <w:rsid w:val="2FE53EEE"/>
    <w:rsid w:val="30484B34"/>
    <w:rsid w:val="30605945"/>
    <w:rsid w:val="30B76285"/>
    <w:rsid w:val="30E62216"/>
    <w:rsid w:val="313A6C46"/>
    <w:rsid w:val="316977D8"/>
    <w:rsid w:val="324E556E"/>
    <w:rsid w:val="3297143E"/>
    <w:rsid w:val="336F3CEC"/>
    <w:rsid w:val="344371DC"/>
    <w:rsid w:val="35AB7BFD"/>
    <w:rsid w:val="35C901BD"/>
    <w:rsid w:val="35D17E5D"/>
    <w:rsid w:val="35F5305F"/>
    <w:rsid w:val="36262CA9"/>
    <w:rsid w:val="362D0DB9"/>
    <w:rsid w:val="36D3294D"/>
    <w:rsid w:val="37335AE2"/>
    <w:rsid w:val="3762412B"/>
    <w:rsid w:val="386C1AF4"/>
    <w:rsid w:val="39BB76E7"/>
    <w:rsid w:val="3A13436F"/>
    <w:rsid w:val="3A937945"/>
    <w:rsid w:val="3AD1251F"/>
    <w:rsid w:val="3ADA5A10"/>
    <w:rsid w:val="3BB74292"/>
    <w:rsid w:val="3C10341E"/>
    <w:rsid w:val="3C814BF9"/>
    <w:rsid w:val="3DC362EA"/>
    <w:rsid w:val="3ECE4FA3"/>
    <w:rsid w:val="3F511310"/>
    <w:rsid w:val="3F854359"/>
    <w:rsid w:val="3F916F38"/>
    <w:rsid w:val="3F942181"/>
    <w:rsid w:val="3FCF3A7C"/>
    <w:rsid w:val="40675209"/>
    <w:rsid w:val="40B25CC9"/>
    <w:rsid w:val="4165562A"/>
    <w:rsid w:val="41F65A30"/>
    <w:rsid w:val="423151DA"/>
    <w:rsid w:val="4238502D"/>
    <w:rsid w:val="42481AE9"/>
    <w:rsid w:val="42EE2F04"/>
    <w:rsid w:val="43551122"/>
    <w:rsid w:val="44F64404"/>
    <w:rsid w:val="45515F3F"/>
    <w:rsid w:val="455A06DD"/>
    <w:rsid w:val="45963E29"/>
    <w:rsid w:val="460A445E"/>
    <w:rsid w:val="463C77EA"/>
    <w:rsid w:val="46414F33"/>
    <w:rsid w:val="46CA6B36"/>
    <w:rsid w:val="47E501C1"/>
    <w:rsid w:val="482955DB"/>
    <w:rsid w:val="48AD60BB"/>
    <w:rsid w:val="48DA0D16"/>
    <w:rsid w:val="499D3907"/>
    <w:rsid w:val="4A2C5E98"/>
    <w:rsid w:val="4A365275"/>
    <w:rsid w:val="4AAA0AA3"/>
    <w:rsid w:val="4AE52334"/>
    <w:rsid w:val="4AF12D99"/>
    <w:rsid w:val="4C4C6CED"/>
    <w:rsid w:val="4C772927"/>
    <w:rsid w:val="4C8C4B93"/>
    <w:rsid w:val="4C8D1069"/>
    <w:rsid w:val="4E1A11CE"/>
    <w:rsid w:val="4F007CA8"/>
    <w:rsid w:val="4F4001F6"/>
    <w:rsid w:val="4F6F4D85"/>
    <w:rsid w:val="509A373B"/>
    <w:rsid w:val="50B90493"/>
    <w:rsid w:val="51D96C4C"/>
    <w:rsid w:val="5224675F"/>
    <w:rsid w:val="5292044F"/>
    <w:rsid w:val="529B1883"/>
    <w:rsid w:val="53B574F4"/>
    <w:rsid w:val="53ED65F1"/>
    <w:rsid w:val="53F43F3C"/>
    <w:rsid w:val="54ED5752"/>
    <w:rsid w:val="5521691A"/>
    <w:rsid w:val="55684366"/>
    <w:rsid w:val="56367202"/>
    <w:rsid w:val="5666013E"/>
    <w:rsid w:val="569334F4"/>
    <w:rsid w:val="56C96294"/>
    <w:rsid w:val="575B4963"/>
    <w:rsid w:val="57E24C8E"/>
    <w:rsid w:val="57F97DF1"/>
    <w:rsid w:val="582F17F4"/>
    <w:rsid w:val="586E5624"/>
    <w:rsid w:val="586F318E"/>
    <w:rsid w:val="59162E41"/>
    <w:rsid w:val="59893D04"/>
    <w:rsid w:val="59DA6C2B"/>
    <w:rsid w:val="5A365477"/>
    <w:rsid w:val="5BAD1957"/>
    <w:rsid w:val="5D2B335E"/>
    <w:rsid w:val="5D6B74D4"/>
    <w:rsid w:val="5DA55AF0"/>
    <w:rsid w:val="5F2D33BC"/>
    <w:rsid w:val="5F711212"/>
    <w:rsid w:val="60122565"/>
    <w:rsid w:val="61477910"/>
    <w:rsid w:val="616B095C"/>
    <w:rsid w:val="6175447D"/>
    <w:rsid w:val="619D0F65"/>
    <w:rsid w:val="61D11F1D"/>
    <w:rsid w:val="62137D14"/>
    <w:rsid w:val="624B3430"/>
    <w:rsid w:val="627672AA"/>
    <w:rsid w:val="6470717E"/>
    <w:rsid w:val="66A201AD"/>
    <w:rsid w:val="68D221B5"/>
    <w:rsid w:val="695928D6"/>
    <w:rsid w:val="6AA62DC3"/>
    <w:rsid w:val="6AAD2732"/>
    <w:rsid w:val="6B9B4265"/>
    <w:rsid w:val="6C6E453D"/>
    <w:rsid w:val="6DF66FD9"/>
    <w:rsid w:val="707C2B13"/>
    <w:rsid w:val="70E22282"/>
    <w:rsid w:val="71564A8B"/>
    <w:rsid w:val="717B0A82"/>
    <w:rsid w:val="71810EA5"/>
    <w:rsid w:val="721E39C3"/>
    <w:rsid w:val="73593886"/>
    <w:rsid w:val="737D481B"/>
    <w:rsid w:val="7447676F"/>
    <w:rsid w:val="75546BA3"/>
    <w:rsid w:val="76366479"/>
    <w:rsid w:val="767F5177"/>
    <w:rsid w:val="76D312D4"/>
    <w:rsid w:val="76D8093F"/>
    <w:rsid w:val="76F24B1A"/>
    <w:rsid w:val="781D4F1A"/>
    <w:rsid w:val="78BB156D"/>
    <w:rsid w:val="79451D5A"/>
    <w:rsid w:val="798628B5"/>
    <w:rsid w:val="798C141D"/>
    <w:rsid w:val="798D3E17"/>
    <w:rsid w:val="79AB16E0"/>
    <w:rsid w:val="79AF1EDD"/>
    <w:rsid w:val="79B86A1B"/>
    <w:rsid w:val="7AFB0A2E"/>
    <w:rsid w:val="7B4C59ED"/>
    <w:rsid w:val="7BCA12E9"/>
    <w:rsid w:val="7C031CDE"/>
    <w:rsid w:val="7C2850A0"/>
    <w:rsid w:val="7C754D26"/>
    <w:rsid w:val="7CA23282"/>
    <w:rsid w:val="7CDD709E"/>
    <w:rsid w:val="7CF72F9A"/>
    <w:rsid w:val="7DC244CD"/>
    <w:rsid w:val="7DD75B9E"/>
    <w:rsid w:val="7E162CD3"/>
    <w:rsid w:val="7E295C79"/>
    <w:rsid w:val="7FB00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1"/>
      <w:szCs w:val="24"/>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ind w:firstLine="480" w:firstLineChars="200"/>
    </w:pPr>
    <w:rPr>
      <w:lang w:val="zh-CN"/>
    </w:rPr>
  </w:style>
  <w:style w:type="paragraph" w:styleId="3">
    <w:name w:val="toa heading"/>
    <w:basedOn w:val="1"/>
    <w:next w:val="1"/>
    <w:qFormat/>
    <w:uiPriority w:val="0"/>
    <w:pPr>
      <w:spacing w:before="120" w:after="200" w:line="276" w:lineRule="auto"/>
    </w:pPr>
    <w:rPr>
      <w:rFonts w:ascii="Arial" w:hAnsi="Arial" w:eastAsia="宋体" w:cs="Times New Roman"/>
      <w:sz w:val="24"/>
      <w:szCs w:val="24"/>
    </w:rPr>
  </w:style>
  <w:style w:type="paragraph" w:styleId="4">
    <w:name w:val="annotation text"/>
    <w:basedOn w:val="1"/>
    <w:qFormat/>
    <w:uiPriority w:val="0"/>
    <w:pPr>
      <w:jc w:val="left"/>
    </w:pPr>
  </w:style>
  <w:style w:type="paragraph" w:styleId="5">
    <w:name w:val="Body Text"/>
    <w:basedOn w:val="1"/>
    <w:qFormat/>
    <w:uiPriority w:val="1"/>
    <w:rPr>
      <w:rFonts w:ascii="宋体" w:hAnsi="宋体" w:cs="宋体"/>
      <w:sz w:val="32"/>
      <w:szCs w:val="32"/>
    </w:rPr>
  </w:style>
  <w:style w:type="paragraph" w:styleId="6">
    <w:name w:val="Body Text Indent"/>
    <w:basedOn w:val="1"/>
    <w:unhideWhenUsed/>
    <w:qFormat/>
    <w:uiPriority w:val="0"/>
    <w:pPr>
      <w:spacing w:beforeLines="0" w:afterLines="0"/>
      <w:ind w:firstLine="640" w:firstLineChars="200"/>
    </w:pPr>
    <w:rPr>
      <w:rFonts w:hint="default"/>
      <w:sz w:val="32"/>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1"/>
    <w:basedOn w:val="1"/>
    <w:next w:val="1"/>
    <w:qFormat/>
    <w:uiPriority w:val="0"/>
  </w:style>
  <w:style w:type="paragraph" w:styleId="10">
    <w:name w:val="Subtitle"/>
    <w:basedOn w:val="1"/>
    <w:next w:val="1"/>
    <w:qFormat/>
    <w:uiPriority w:val="0"/>
    <w:pPr>
      <w:spacing w:line="312" w:lineRule="auto"/>
      <w:jc w:val="center"/>
      <w:outlineLvl w:val="1"/>
    </w:pPr>
    <w:rPr>
      <w:rFonts w:ascii="Cambria" w:hAnsi="Cambria"/>
      <w:b/>
      <w:bCs/>
      <w:kern w:val="28"/>
      <w:sz w:val="32"/>
      <w:szCs w:val="32"/>
    </w:rPr>
  </w:style>
  <w:style w:type="paragraph" w:styleId="11">
    <w:name w:val="toc 2"/>
    <w:basedOn w:val="1"/>
    <w:next w:val="1"/>
    <w:qFormat/>
    <w:uiPriority w:val="0"/>
    <w:pPr>
      <w:ind w:left="420" w:leftChars="200"/>
    </w:p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Body Text First Indent 2"/>
    <w:basedOn w:val="6"/>
    <w:unhideWhenUsed/>
    <w:qFormat/>
    <w:uiPriority w:val="99"/>
    <w:pPr>
      <w:spacing w:beforeLines="0" w:afterLines="0"/>
      <w:ind w:firstLine="420"/>
    </w:pPr>
    <w:rPr>
      <w:rFonts w:hint="default"/>
      <w:sz w:val="32"/>
    </w:rPr>
  </w:style>
  <w:style w:type="table" w:styleId="15">
    <w:name w:val="Table Grid"/>
    <w:basedOn w:val="14"/>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7">
    <w:name w:val="Emphasis"/>
    <w:basedOn w:val="16"/>
    <w:qFormat/>
    <w:uiPriority w:val="0"/>
    <w:rPr>
      <w:i/>
    </w:rPr>
  </w:style>
  <w:style w:type="character" w:styleId="18">
    <w:name w:val="Hyperlink"/>
    <w:basedOn w:val="16"/>
    <w:qFormat/>
    <w:uiPriority w:val="0"/>
    <w:rPr>
      <w:color w:val="0000FF"/>
      <w:u w:val="single"/>
    </w:rPr>
  </w:style>
  <w:style w:type="character" w:customStyle="1" w:styleId="19">
    <w:name w:val="页眉 Char"/>
    <w:basedOn w:val="16"/>
    <w:link w:val="8"/>
    <w:qFormat/>
    <w:uiPriority w:val="0"/>
    <w:rPr>
      <w:kern w:val="2"/>
      <w:sz w:val="18"/>
      <w:szCs w:val="18"/>
    </w:rPr>
  </w:style>
  <w:style w:type="paragraph" w:styleId="20">
    <w:name w:val="List Paragraph"/>
    <w:basedOn w:val="1"/>
    <w:unhideWhenUsed/>
    <w:qFormat/>
    <w:uiPriority w:val="99"/>
    <w:pPr>
      <w:ind w:firstLine="420" w:firstLineChars="200"/>
    </w:pPr>
  </w:style>
  <w:style w:type="paragraph" w:customStyle="1" w:styleId="21">
    <w:name w:val="WPSOffice手动目录 1"/>
    <w:qFormat/>
    <w:uiPriority w:val="0"/>
    <w:pPr>
      <w:ind w:leftChars="0"/>
    </w:pPr>
    <w:rPr>
      <w:rFonts w:ascii="Calibri" w:hAnsi="Calibri" w:eastAsia="宋体" w:cs="Times New Roman"/>
      <w:sz w:val="20"/>
      <w:szCs w:val="20"/>
    </w:rPr>
  </w:style>
  <w:style w:type="paragraph" w:customStyle="1" w:styleId="22">
    <w:name w:val="WPSOffice手动目录 2"/>
    <w:qFormat/>
    <w:uiPriority w:val="0"/>
    <w:pPr>
      <w:ind w:leftChars="200"/>
    </w:pPr>
    <w:rPr>
      <w:rFonts w:ascii="Calibri" w:hAnsi="Calibri" w:eastAsia="宋体" w:cs="Times New Roman"/>
      <w:sz w:val="20"/>
      <w:szCs w:val="20"/>
    </w:rPr>
  </w:style>
  <w:style w:type="paragraph" w:customStyle="1" w:styleId="23">
    <w:name w:val="WPSOffice手动目录 3"/>
    <w:qFormat/>
    <w:uiPriority w:val="0"/>
    <w:pPr>
      <w:ind w:leftChars="400"/>
    </w:pPr>
    <w:rPr>
      <w:rFonts w:ascii="Calibri" w:hAnsi="Calibri" w:eastAsia="宋体" w:cs="Times New Roman"/>
      <w:sz w:val="20"/>
      <w:szCs w:val="20"/>
    </w:rPr>
  </w:style>
  <w:style w:type="character" w:customStyle="1" w:styleId="24">
    <w:name w:val="font31"/>
    <w:basedOn w:val="16"/>
    <w:qFormat/>
    <w:uiPriority w:val="0"/>
    <w:rPr>
      <w:rFonts w:hint="default" w:ascii="仿宋_GB2312" w:eastAsia="仿宋_GB2312" w:cs="仿宋_GB2312"/>
      <w:color w:val="000000"/>
      <w:sz w:val="21"/>
      <w:szCs w:val="21"/>
      <w:u w:val="none"/>
    </w:rPr>
  </w:style>
  <w:style w:type="character" w:customStyle="1" w:styleId="25">
    <w:name w:val="font01"/>
    <w:basedOn w:val="16"/>
    <w:qFormat/>
    <w:uiPriority w:val="0"/>
    <w:rPr>
      <w:rFonts w:hint="eastAsia" w:ascii="宋体" w:hAnsi="宋体" w:eastAsia="宋体" w:cs="宋体"/>
      <w:color w:val="000000"/>
      <w:sz w:val="21"/>
      <w:szCs w:val="21"/>
      <w:u w:val="none"/>
    </w:rPr>
  </w:style>
  <w:style w:type="character" w:customStyle="1" w:styleId="26">
    <w:name w:val="font11"/>
    <w:basedOn w:val="16"/>
    <w:qFormat/>
    <w:uiPriority w:val="0"/>
    <w:rPr>
      <w:rFonts w:hint="default" w:ascii="仿宋_GB2312" w:eastAsia="仿宋_GB2312" w:cs="仿宋_GB2312"/>
      <w:color w:val="000000"/>
      <w:sz w:val="20"/>
      <w:szCs w:val="20"/>
      <w:u w:val="none"/>
    </w:rPr>
  </w:style>
  <w:style w:type="character" w:customStyle="1" w:styleId="27">
    <w:name w:val="font81"/>
    <w:basedOn w:val="16"/>
    <w:qFormat/>
    <w:uiPriority w:val="0"/>
    <w:rPr>
      <w:rFonts w:hint="eastAsia" w:ascii="宋体" w:hAnsi="宋体" w:eastAsia="宋体" w:cs="宋体"/>
      <w:color w:val="000000"/>
      <w:sz w:val="20"/>
      <w:szCs w:val="20"/>
      <w:u w:val="none"/>
    </w:rPr>
  </w:style>
  <w:style w:type="character" w:customStyle="1" w:styleId="28">
    <w:name w:val="font101"/>
    <w:basedOn w:val="16"/>
    <w:qFormat/>
    <w:uiPriority w:val="0"/>
    <w:rPr>
      <w:rFonts w:hint="default" w:ascii="仿宋_GB2312" w:eastAsia="仿宋_GB2312" w:cs="仿宋_GB2312"/>
      <w:color w:val="000000"/>
      <w:sz w:val="24"/>
      <w:szCs w:val="24"/>
      <w:u w:val="none"/>
    </w:rPr>
  </w:style>
  <w:style w:type="character" w:customStyle="1" w:styleId="29">
    <w:name w:val="font41"/>
    <w:basedOn w:val="16"/>
    <w:qFormat/>
    <w:uiPriority w:val="0"/>
    <w:rPr>
      <w:rFonts w:hint="eastAsia" w:ascii="宋体" w:hAnsi="宋体" w:eastAsia="宋体" w:cs="宋体"/>
      <w:color w:val="000000"/>
      <w:sz w:val="24"/>
      <w:szCs w:val="24"/>
      <w:u w:val="none"/>
    </w:rPr>
  </w:style>
  <w:style w:type="character" w:customStyle="1" w:styleId="30">
    <w:name w:val="font61"/>
    <w:basedOn w:val="16"/>
    <w:qFormat/>
    <w:uiPriority w:val="0"/>
    <w:rPr>
      <w:rFonts w:hint="eastAsia" w:ascii="宋体" w:hAnsi="宋体" w:eastAsia="宋体" w:cs="宋体"/>
      <w:b/>
      <w:bCs/>
      <w:color w:val="000000"/>
      <w:sz w:val="21"/>
      <w:szCs w:val="21"/>
      <w:u w:val="none"/>
    </w:rPr>
  </w:style>
  <w:style w:type="character" w:customStyle="1" w:styleId="31">
    <w:name w:val="font112"/>
    <w:basedOn w:val="16"/>
    <w:qFormat/>
    <w:uiPriority w:val="0"/>
    <w:rPr>
      <w:rFonts w:hint="default" w:ascii="仿宋_GB2312" w:eastAsia="仿宋_GB2312" w:cs="仿宋_GB2312"/>
      <w:b/>
      <w:bCs/>
      <w:color w:val="000000"/>
      <w:sz w:val="21"/>
      <w:szCs w:val="21"/>
      <w:u w:val="none"/>
    </w:rPr>
  </w:style>
  <w:style w:type="character" w:customStyle="1" w:styleId="32">
    <w:name w:val="font71"/>
    <w:basedOn w:val="16"/>
    <w:qFormat/>
    <w:uiPriority w:val="0"/>
    <w:rPr>
      <w:rFonts w:hint="eastAsia" w:ascii="宋体" w:hAnsi="宋体" w:eastAsia="宋体" w:cs="宋体"/>
      <w:color w:val="000000"/>
      <w:sz w:val="20"/>
      <w:szCs w:val="20"/>
      <w:u w:val="none"/>
    </w:rPr>
  </w:style>
  <w:style w:type="character" w:customStyle="1" w:styleId="33">
    <w:name w:val="font91"/>
    <w:basedOn w:val="16"/>
    <w:qFormat/>
    <w:uiPriority w:val="0"/>
    <w:rPr>
      <w:rFonts w:hint="default"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EEFABEF-77D3-4CCE-8E45-A380BA264AB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14620</Words>
  <Characters>15869</Characters>
  <Lines>59</Lines>
  <Paragraphs>16</Paragraphs>
  <TotalTime>0</TotalTime>
  <ScaleCrop>false</ScaleCrop>
  <LinksUpToDate>false</LinksUpToDate>
  <CharactersWithSpaces>16156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2016-10-19T09:38:00Z</dcterms:created>
  <dc:creator>Administrator</dc:creator>
  <cp:lastModifiedBy>双双</cp:lastModifiedBy>
  <cp:lastPrinted>2016-12-19T00:58:00Z</cp:lastPrinted>
  <dcterms:modified xsi:type="dcterms:W3CDTF">2023-10-17T06:22:54Z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BD8B428BD2C94D929260EA9E715D022A_13</vt:lpwstr>
  </property>
</Properties>
</file>