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numPr>
          <w:ilvl w:val="0"/>
          <w:numId w:val="0"/>
        </w:numPr>
        <w:kinsoku/>
        <w:wordWrap/>
        <w:overflowPunct/>
        <w:topLinePunct w:val="0"/>
        <w:autoSpaceDE/>
        <w:autoSpaceDN/>
        <w:bidi w:val="0"/>
        <w:adjustRightInd/>
        <w:snapToGrid/>
        <w:spacing w:beforeAutospacing="0" w:after="0"/>
        <w:ind w:firstLine="640" w:firstLineChars="200"/>
        <w:jc w:val="left"/>
        <w:textAlignment w:val="auto"/>
        <w:rPr>
          <w:rFonts w:hint="eastAsia" w:ascii="仿宋" w:hAnsi="仿宋" w:eastAsia="仿宋" w:cs="仿宋"/>
          <w:color w:val="3F3F3F"/>
          <w:sz w:val="32"/>
          <w:szCs w:val="32"/>
        </w:rPr>
      </w:pPr>
    </w:p>
    <w:p>
      <w:pPr>
        <w:jc w:val="both"/>
        <w:rPr>
          <w:sz w:val="44"/>
          <w:szCs w:val="44"/>
        </w:rPr>
      </w:pPr>
      <w:r>
        <w:rPr>
          <w:rFonts w:hint="eastAsia"/>
          <w:sz w:val="44"/>
          <w:szCs w:val="44"/>
        </w:rPr>
        <w:t>邵阳市20</w:t>
      </w:r>
      <w:r>
        <w:rPr>
          <w:rFonts w:hint="eastAsia"/>
          <w:sz w:val="44"/>
          <w:szCs w:val="44"/>
          <w:lang w:val="en-US" w:eastAsia="zh-CN"/>
        </w:rPr>
        <w:t>21</w:t>
      </w:r>
      <w:r>
        <w:rPr>
          <w:rFonts w:hint="eastAsia"/>
          <w:sz w:val="44"/>
          <w:szCs w:val="44"/>
        </w:rPr>
        <w:t>年预算绩效管理工作情况说明</w:t>
      </w:r>
    </w:p>
    <w:p>
      <w:pPr>
        <w:pageBreakBefore w:val="0"/>
        <w:numPr>
          <w:ilvl w:val="0"/>
          <w:numId w:val="0"/>
        </w:numPr>
        <w:kinsoku/>
        <w:wordWrap/>
        <w:overflowPunct/>
        <w:topLinePunct w:val="0"/>
        <w:autoSpaceDE/>
        <w:autoSpaceDN/>
        <w:bidi w:val="0"/>
        <w:adjustRightInd/>
        <w:snapToGrid/>
        <w:spacing w:beforeAutospacing="0" w:after="0"/>
        <w:ind w:firstLine="640" w:firstLineChars="200"/>
        <w:jc w:val="left"/>
        <w:textAlignment w:val="auto"/>
        <w:rPr>
          <w:rFonts w:hint="eastAsia" w:ascii="仿宋" w:hAnsi="仿宋" w:eastAsia="仿宋" w:cs="仿宋"/>
          <w:color w:val="3F3F3F"/>
          <w:sz w:val="32"/>
          <w:szCs w:val="32"/>
        </w:rPr>
      </w:pPr>
    </w:p>
    <w:p>
      <w:pPr>
        <w:pageBreakBefore w:val="0"/>
        <w:numPr>
          <w:ilvl w:val="0"/>
          <w:numId w:val="0"/>
        </w:numPr>
        <w:kinsoku/>
        <w:wordWrap/>
        <w:overflowPunct/>
        <w:topLinePunct w:val="0"/>
        <w:autoSpaceDE/>
        <w:autoSpaceDN/>
        <w:bidi w:val="0"/>
        <w:adjustRightInd/>
        <w:snapToGrid/>
        <w:spacing w:beforeAutospacing="0" w:after="0"/>
        <w:ind w:firstLine="640" w:firstLineChars="200"/>
        <w:jc w:val="left"/>
        <w:textAlignment w:val="auto"/>
        <w:rPr>
          <w:rFonts w:hint="eastAsia" w:ascii="仿宋" w:hAnsi="仿宋" w:eastAsia="仿宋" w:cs="仿宋"/>
          <w:color w:val="3F3F3F"/>
          <w:sz w:val="32"/>
          <w:szCs w:val="32"/>
          <w:lang w:eastAsia="zh-CN"/>
        </w:rPr>
      </w:pPr>
      <w:r>
        <w:rPr>
          <w:rFonts w:hint="eastAsia" w:ascii="仿宋" w:hAnsi="仿宋" w:eastAsia="仿宋" w:cs="仿宋"/>
          <w:sz w:val="32"/>
          <w:szCs w:val="32"/>
          <w:lang w:val="en-US" w:eastAsia="zh-CN"/>
        </w:rPr>
        <w:t>2021年，全市各级各部门坚持以习近平新时代中国特色社会主义思想为指导，</w:t>
      </w:r>
      <w:r>
        <w:rPr>
          <w:rFonts w:eastAsia="仿宋_GB2312"/>
          <w:spacing w:val="-4"/>
          <w:sz w:val="32"/>
          <w:szCs w:val="32"/>
        </w:rPr>
        <w:t>深入贯彻落实《中共中央 国务院关于全面实施预算绩效管理的意见》（中发〔2018〕34号）精神，按照《中共湖南省委办公厅</w:t>
      </w:r>
      <w:r>
        <w:rPr>
          <w:rFonts w:hint="eastAsia" w:eastAsia="仿宋_GB2312"/>
          <w:spacing w:val="-4"/>
          <w:sz w:val="32"/>
          <w:szCs w:val="32"/>
        </w:rPr>
        <w:t xml:space="preserve"> 湖南省人民政府办公厅关于全面实施预算绩效管理的实施意见</w:t>
      </w:r>
      <w:r>
        <w:rPr>
          <w:rFonts w:eastAsia="仿宋_GB2312"/>
          <w:spacing w:val="-4"/>
          <w:sz w:val="32"/>
          <w:szCs w:val="32"/>
        </w:rPr>
        <w:t>》（湘办发〔20</w:t>
      </w:r>
      <w:r>
        <w:rPr>
          <w:rFonts w:hint="eastAsia" w:eastAsia="仿宋_GB2312"/>
          <w:spacing w:val="-4"/>
          <w:sz w:val="32"/>
          <w:szCs w:val="32"/>
        </w:rPr>
        <w:t>19</w:t>
      </w:r>
      <w:r>
        <w:rPr>
          <w:rFonts w:eastAsia="仿宋_GB2312"/>
          <w:spacing w:val="-4"/>
          <w:sz w:val="32"/>
          <w:szCs w:val="32"/>
        </w:rPr>
        <w:t>〕1</w:t>
      </w:r>
      <w:r>
        <w:rPr>
          <w:rFonts w:hint="eastAsia" w:eastAsia="仿宋_GB2312"/>
          <w:spacing w:val="-4"/>
          <w:sz w:val="32"/>
          <w:szCs w:val="32"/>
        </w:rPr>
        <w:t>0</w:t>
      </w:r>
      <w:r>
        <w:rPr>
          <w:rFonts w:eastAsia="仿宋_GB2312"/>
          <w:spacing w:val="-4"/>
          <w:sz w:val="32"/>
          <w:szCs w:val="32"/>
        </w:rPr>
        <w:t>号）</w:t>
      </w:r>
      <w:r>
        <w:rPr>
          <w:rFonts w:hint="eastAsia" w:eastAsia="仿宋_GB2312"/>
          <w:spacing w:val="-4"/>
          <w:sz w:val="32"/>
          <w:szCs w:val="32"/>
        </w:rPr>
        <w:t>等文件规定</w:t>
      </w:r>
      <w:r>
        <w:rPr>
          <w:rFonts w:hint="eastAsia" w:eastAsia="仿宋_GB2312"/>
          <w:spacing w:val="-4"/>
          <w:sz w:val="32"/>
          <w:szCs w:val="32"/>
          <w:lang w:eastAsia="zh-CN"/>
        </w:rPr>
        <w:t>，全面推进预算绩效管理工作，树立了“花钱必问效，无效必问责”绩效管理理念，增强了资金支出责任，实现了“全方位、全过程、全覆盖”的目标任</w:t>
      </w:r>
      <w:bookmarkStart w:id="0" w:name="_GoBack"/>
      <w:bookmarkEnd w:id="0"/>
      <w:r>
        <w:rPr>
          <w:rFonts w:hint="eastAsia" w:eastAsia="仿宋_GB2312"/>
          <w:spacing w:val="-4"/>
          <w:sz w:val="32"/>
          <w:szCs w:val="32"/>
          <w:lang w:eastAsia="zh-CN"/>
        </w:rPr>
        <w:t>务，我市预算绩效管理水平不断提升，取得了较好的成效，</w:t>
      </w:r>
      <w:r>
        <w:rPr>
          <w:rFonts w:hint="eastAsia" w:ascii="仿宋" w:hAnsi="仿宋" w:eastAsia="仿宋" w:cs="仿宋"/>
          <w:color w:val="3F3F3F"/>
          <w:sz w:val="32"/>
          <w:szCs w:val="32"/>
          <w:lang w:eastAsia="zh-CN"/>
        </w:rPr>
        <w:t>主要做了以下工作：</w:t>
      </w:r>
    </w:p>
    <w:p>
      <w:pPr>
        <w:pageBreakBefore w:val="0"/>
        <w:numPr>
          <w:ilvl w:val="0"/>
          <w:numId w:val="0"/>
        </w:numPr>
        <w:kinsoku/>
        <w:wordWrap/>
        <w:overflowPunct/>
        <w:topLinePunct w:val="0"/>
        <w:autoSpaceDE/>
        <w:autoSpaceDN/>
        <w:bidi w:val="0"/>
        <w:adjustRightInd/>
        <w:snapToGrid/>
        <w:spacing w:beforeAutospacing="0" w:after="0"/>
        <w:ind w:firstLine="640" w:firstLineChars="200"/>
        <w:jc w:val="left"/>
        <w:textAlignment w:val="auto"/>
        <w:rPr>
          <w:rFonts w:hint="eastAsia" w:ascii="仿宋" w:hAnsi="仿宋" w:eastAsia="仿宋" w:cs="仿宋"/>
          <w:color w:val="3F3F3F"/>
          <w:sz w:val="32"/>
          <w:szCs w:val="32"/>
          <w:lang w:eastAsia="zh-CN"/>
        </w:rPr>
      </w:pPr>
      <w:r>
        <w:rPr>
          <w:rFonts w:hint="eastAsia" w:ascii="楷体" w:hAnsi="楷体" w:eastAsia="楷体" w:cs="楷体"/>
          <w:color w:val="3F3F3F"/>
          <w:sz w:val="32"/>
          <w:szCs w:val="32"/>
          <w:lang w:val="en-US" w:eastAsia="zh-CN"/>
        </w:rPr>
        <w:t>（一）</w:t>
      </w:r>
      <w:r>
        <w:rPr>
          <w:rFonts w:hint="eastAsia" w:ascii="楷体" w:hAnsi="楷体" w:eastAsia="楷体" w:cs="楷体"/>
          <w:color w:val="3F3F3F"/>
          <w:sz w:val="32"/>
          <w:szCs w:val="32"/>
        </w:rPr>
        <w:t>狠抓绩效目标，把好预算编制龙头。</w:t>
      </w:r>
      <w:r>
        <w:rPr>
          <w:rFonts w:hint="eastAsia" w:ascii="仿宋" w:hAnsi="仿宋" w:eastAsia="仿宋" w:cs="仿宋"/>
          <w:color w:val="3F3F3F"/>
          <w:sz w:val="32"/>
          <w:szCs w:val="32"/>
        </w:rPr>
        <w:t>紧盯绩效目标编制不放松，坚持绩效目标编制与预算编制实行“五同”，即“一同布置、一同编制、一同审核、一同批复、一同公开”，绩效目标随部门预算送市人民代表大会审议。2021年，对市直253个预算单位、458个专项资金</w:t>
      </w:r>
      <w:r>
        <w:rPr>
          <w:rFonts w:hint="eastAsia" w:ascii="仿宋" w:hAnsi="仿宋" w:eastAsia="仿宋" w:cs="仿宋"/>
          <w:color w:val="3F3F3F"/>
          <w:sz w:val="32"/>
          <w:szCs w:val="32"/>
          <w:lang w:eastAsia="zh-CN"/>
        </w:rPr>
        <w:t>、</w:t>
      </w:r>
      <w:r>
        <w:rPr>
          <w:rFonts w:hint="eastAsia" w:ascii="仿宋" w:hAnsi="仿宋" w:eastAsia="仿宋" w:cs="仿宋"/>
          <w:color w:val="3F3F3F"/>
          <w:sz w:val="32"/>
          <w:szCs w:val="32"/>
        </w:rPr>
        <w:t>社保基金进行了绩效目标编制，首次实现了绩效目标预算单位全覆盖</w:t>
      </w:r>
      <w:r>
        <w:rPr>
          <w:rFonts w:hint="eastAsia" w:ascii="仿宋" w:hAnsi="仿宋" w:eastAsia="仿宋" w:cs="仿宋"/>
          <w:color w:val="3F3F3F"/>
          <w:sz w:val="32"/>
          <w:szCs w:val="32"/>
          <w:lang w:eastAsia="zh-CN"/>
        </w:rPr>
        <w:t>。</w:t>
      </w:r>
    </w:p>
    <w:p>
      <w:pPr>
        <w:pageBreakBefore w:val="0"/>
        <w:numPr>
          <w:ilvl w:val="0"/>
          <w:numId w:val="0"/>
        </w:numPr>
        <w:kinsoku/>
        <w:wordWrap/>
        <w:overflowPunct/>
        <w:topLinePunct w:val="0"/>
        <w:autoSpaceDE/>
        <w:autoSpaceDN/>
        <w:bidi w:val="0"/>
        <w:adjustRightInd/>
        <w:snapToGrid/>
        <w:spacing w:beforeAutospacing="0" w:after="0"/>
        <w:ind w:firstLine="640" w:firstLineChars="200"/>
        <w:jc w:val="left"/>
        <w:textAlignment w:val="auto"/>
        <w:rPr>
          <w:rFonts w:hint="eastAsia" w:ascii="仿宋" w:hAnsi="仿宋" w:eastAsia="仿宋" w:cs="仿宋"/>
          <w:color w:val="3F3F3F"/>
          <w:sz w:val="32"/>
          <w:szCs w:val="32"/>
        </w:rPr>
      </w:pPr>
      <w:r>
        <w:rPr>
          <w:rFonts w:hint="eastAsia" w:ascii="楷体" w:hAnsi="楷体" w:eastAsia="楷体" w:cs="楷体"/>
          <w:color w:val="3F3F3F"/>
          <w:sz w:val="32"/>
          <w:szCs w:val="32"/>
          <w:lang w:eastAsia="zh-CN"/>
        </w:rPr>
        <w:t>（二）</w:t>
      </w:r>
      <w:r>
        <w:rPr>
          <w:rFonts w:hint="eastAsia" w:ascii="楷体" w:hAnsi="楷体" w:eastAsia="楷体" w:cs="楷体"/>
          <w:color w:val="3F3F3F"/>
          <w:sz w:val="32"/>
          <w:szCs w:val="32"/>
        </w:rPr>
        <w:t>狠抓绩效评价，突出绩效管理核心。</w:t>
      </w:r>
      <w:r>
        <w:rPr>
          <w:rFonts w:hint="eastAsia" w:ascii="仿宋" w:hAnsi="仿宋" w:eastAsia="仿宋" w:cs="仿宋"/>
          <w:color w:val="3F3F3F"/>
          <w:sz w:val="32"/>
          <w:szCs w:val="32"/>
          <w:lang w:eastAsia="zh-CN"/>
        </w:rPr>
        <w:t>一是</w:t>
      </w:r>
      <w:r>
        <w:rPr>
          <w:rFonts w:hint="eastAsia" w:ascii="仿宋" w:hAnsi="仿宋" w:eastAsia="仿宋" w:cs="仿宋"/>
          <w:color w:val="3F3F3F"/>
          <w:sz w:val="32"/>
          <w:szCs w:val="32"/>
        </w:rPr>
        <w:t>全面组织单位开展绩效自评。2021年，市直部门整体支出绩效自评150个，自评资金达19亿元；市直项目自评160个，自评资金达2.3亿元</w:t>
      </w:r>
      <w:r>
        <w:rPr>
          <w:rFonts w:hint="eastAsia" w:ascii="仿宋" w:hAnsi="仿宋" w:eastAsia="仿宋" w:cs="仿宋"/>
          <w:color w:val="3F3F3F"/>
          <w:sz w:val="32"/>
          <w:szCs w:val="32"/>
          <w:lang w:eastAsia="zh-CN"/>
        </w:rPr>
        <w:t>；二是</w:t>
      </w:r>
      <w:r>
        <w:rPr>
          <w:rFonts w:hint="eastAsia" w:ascii="仿宋" w:hAnsi="仿宋" w:eastAsia="仿宋" w:cs="仿宋"/>
          <w:color w:val="3F3F3F"/>
          <w:sz w:val="32"/>
          <w:szCs w:val="32"/>
        </w:rPr>
        <w:t>抓好重点项目</w:t>
      </w:r>
      <w:r>
        <w:rPr>
          <w:rFonts w:hint="eastAsia" w:ascii="仿宋" w:hAnsi="仿宋" w:eastAsia="仿宋" w:cs="仿宋"/>
          <w:color w:val="3F3F3F"/>
          <w:sz w:val="32"/>
          <w:szCs w:val="32"/>
          <w:lang w:eastAsia="zh-CN"/>
        </w:rPr>
        <w:t>绩效</w:t>
      </w:r>
      <w:r>
        <w:rPr>
          <w:rFonts w:hint="eastAsia" w:ascii="仿宋" w:hAnsi="仿宋" w:eastAsia="仿宋" w:cs="仿宋"/>
          <w:color w:val="3F3F3F"/>
          <w:sz w:val="32"/>
          <w:szCs w:val="32"/>
        </w:rPr>
        <w:t>评价工作。2021年在绩效评价增点扩面方面持续发力，重点绩效评价项目扩大到</w:t>
      </w:r>
      <w:r>
        <w:rPr>
          <w:rFonts w:hint="eastAsia" w:ascii="仿宋" w:hAnsi="仿宋" w:eastAsia="仿宋" w:cs="仿宋"/>
          <w:color w:val="3F3F3F"/>
          <w:sz w:val="32"/>
          <w:szCs w:val="32"/>
          <w:lang w:val="en-US" w:eastAsia="zh-CN"/>
        </w:rPr>
        <w:t>23</w:t>
      </w:r>
      <w:r>
        <w:rPr>
          <w:rFonts w:hint="eastAsia" w:ascii="仿宋" w:hAnsi="仿宋" w:eastAsia="仿宋" w:cs="仿宋"/>
          <w:color w:val="3F3F3F"/>
          <w:sz w:val="32"/>
          <w:szCs w:val="32"/>
        </w:rPr>
        <w:t>个，评价金额突破35亿（其中，一般公共预算赞10亿元，政府专项债券资金25亿元），评价项目涉及到预算安排的专项资金、预算调整资金、债券资金及反映市委、市政府重大决策部署和重点民生资金；</w:t>
      </w:r>
      <w:r>
        <w:rPr>
          <w:rFonts w:hint="eastAsia" w:ascii="仿宋" w:hAnsi="仿宋" w:eastAsia="仿宋" w:cs="仿宋"/>
          <w:color w:val="3F3F3F"/>
          <w:sz w:val="32"/>
          <w:szCs w:val="32"/>
          <w:lang w:eastAsia="zh-CN"/>
        </w:rPr>
        <w:t>三是继续扩大部门整体支出评价范围。</w:t>
      </w:r>
      <w:r>
        <w:rPr>
          <w:rFonts w:hint="eastAsia" w:ascii="仿宋" w:hAnsi="仿宋" w:eastAsia="仿宋" w:cs="仿宋"/>
          <w:color w:val="3F3F3F"/>
          <w:sz w:val="32"/>
          <w:szCs w:val="32"/>
        </w:rPr>
        <w:t>2021年市直部门整体支出重点绩效评价单位增加到30个</w:t>
      </w:r>
      <w:r>
        <w:rPr>
          <w:rFonts w:hint="eastAsia" w:ascii="仿宋" w:hAnsi="仿宋" w:eastAsia="仿宋" w:cs="仿宋"/>
          <w:color w:val="3F3F3F"/>
          <w:sz w:val="32"/>
          <w:szCs w:val="32"/>
          <w:lang w:eastAsia="zh-CN"/>
        </w:rPr>
        <w:t>。</w:t>
      </w:r>
    </w:p>
    <w:p>
      <w:pPr>
        <w:pageBreakBefore w:val="0"/>
        <w:numPr>
          <w:ilvl w:val="0"/>
          <w:numId w:val="0"/>
        </w:numPr>
        <w:kinsoku/>
        <w:wordWrap/>
        <w:overflowPunct/>
        <w:topLinePunct w:val="0"/>
        <w:autoSpaceDE/>
        <w:autoSpaceDN/>
        <w:bidi w:val="0"/>
        <w:adjustRightInd/>
        <w:snapToGrid/>
        <w:spacing w:beforeAutospacing="0" w:after="0"/>
        <w:ind w:firstLine="640" w:firstLineChars="200"/>
        <w:jc w:val="left"/>
        <w:textAlignment w:val="auto"/>
        <w:rPr>
          <w:rFonts w:hint="eastAsia" w:ascii="仿宋" w:hAnsi="仿宋" w:eastAsia="仿宋" w:cs="仿宋"/>
          <w:color w:val="3F3F3F"/>
          <w:sz w:val="32"/>
          <w:szCs w:val="32"/>
        </w:rPr>
      </w:pPr>
      <w:r>
        <w:rPr>
          <w:rFonts w:hint="eastAsia" w:ascii="楷体" w:hAnsi="楷体" w:eastAsia="楷体" w:cs="楷体"/>
          <w:color w:val="3F3F3F"/>
          <w:sz w:val="32"/>
          <w:szCs w:val="32"/>
          <w:lang w:eastAsia="zh-CN"/>
        </w:rPr>
        <w:t>（三）</w:t>
      </w:r>
      <w:r>
        <w:rPr>
          <w:rFonts w:hint="eastAsia" w:ascii="楷体" w:hAnsi="楷体" w:eastAsia="楷体" w:cs="楷体"/>
          <w:color w:val="3F3F3F"/>
          <w:sz w:val="32"/>
          <w:szCs w:val="32"/>
        </w:rPr>
        <w:t>建立财审联动机制，强化绩效评价结果运用。</w:t>
      </w:r>
      <w:r>
        <w:rPr>
          <w:rFonts w:hint="eastAsia" w:ascii="仿宋" w:hAnsi="仿宋" w:eastAsia="仿宋" w:cs="仿宋"/>
          <w:color w:val="3F3F3F"/>
          <w:sz w:val="32"/>
          <w:szCs w:val="32"/>
        </w:rPr>
        <w:t>市财政局、市审计局联合下发了《关于建立全面预算绩效管理工作协同联动机制的意见〉的通知》（邵财绩[2020]14号），确定联动原则、方式、内容和保障措施。高度重视评价过程中发现的问题，督促、指导被评价单位整改落实；公开、反馈评价报告，被评价的单位和项目评价报告反馈率、公开率均达到了100%；强化评价结果应用，并将绩效评价结果作为预算安排资金的重要依据，2021年预算安排专项资金时对上年度绩效评价结果不理想的项目调减资金200万元。</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7F16D7"/>
    <w:rsid w:val="077F0387"/>
    <w:rsid w:val="417F16D7"/>
    <w:rsid w:val="4F3E03B9"/>
    <w:rsid w:val="4FA91C29"/>
    <w:rsid w:val="508A1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宋体"/>
      <w:kern w:val="2"/>
      <w:sz w:val="21"/>
      <w:szCs w:val="24"/>
      <w:lang w:val="en-US" w:eastAsia="zh-CN" w:bidi="ar-SA"/>
    </w:rPr>
  </w:style>
  <w:style w:type="paragraph" w:styleId="2">
    <w:name w:val="heading 2"/>
    <w:basedOn w:val="1"/>
    <w:next w:val="1"/>
    <w:link w:val="6"/>
    <w:semiHidden/>
    <w:unhideWhenUsed/>
    <w:qFormat/>
    <w:uiPriority w:val="0"/>
    <w:pPr>
      <w:keepNext/>
      <w:keepLines/>
      <w:spacing w:line="240" w:lineRule="auto"/>
      <w:outlineLvl w:val="1"/>
    </w:pPr>
    <w:rPr>
      <w:rFonts w:ascii="Cambria" w:hAnsi="Cambria" w:eastAsia="宋体" w:cs="Times New Roman"/>
      <w:bCs/>
      <w:sz w:val="32"/>
      <w:szCs w:val="32"/>
    </w:rPr>
  </w:style>
  <w:style w:type="character" w:default="1" w:styleId="5">
    <w:name w:val="Default Paragraph Font"/>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toc 1"/>
    <w:basedOn w:val="2"/>
    <w:next w:val="1"/>
    <w:uiPriority w:val="0"/>
    <w:pPr>
      <w:tabs>
        <w:tab w:val="right" w:leader="dot" w:pos="9060"/>
      </w:tabs>
      <w:spacing w:after="0"/>
      <w:jc w:val="center"/>
    </w:pPr>
    <w:rPr>
      <w:rFonts w:ascii="微软雅黑" w:hAnsi="微软雅黑"/>
      <w:sz w:val="24"/>
      <w:szCs w:val="24"/>
    </w:rPr>
  </w:style>
  <w:style w:type="character" w:customStyle="1" w:styleId="6">
    <w:name w:val="标题 2 Char"/>
    <w:basedOn w:val="5"/>
    <w:link w:val="2"/>
    <w:semiHidden/>
    <w:uiPriority w:val="9"/>
    <w:rPr>
      <w:rFonts w:ascii="Cambria" w:hAnsi="Cambria" w:eastAsia="宋体" w:cs="Times New Roman"/>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2022-01-10T01:57:00Z</dcterms:created>
  <dc:creator>石山</dc:creator>
  <cp:lastModifiedBy>石山</cp:lastModifiedBy>
  <dcterms:modified xsi:type="dcterms:W3CDTF">2022-01-10T02:04:55Z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CF08518E577D49209DC120D8FBDC65D2</vt:lpwstr>
  </property>
</Properties>
</file>