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pStyle w:val="3"/>
        <w:spacing w:beforeLines="100" w:afterLines="100"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邵阳市医疗保障特殊门诊药店现场评估表</w:t>
      </w:r>
    </w:p>
    <w:bookmarkEnd w:id="0"/>
    <w:p>
      <w:pPr>
        <w:widowControl/>
        <w:tabs>
          <w:tab w:val="left" w:pos="2273"/>
        </w:tabs>
        <w:spacing w:line="500" w:lineRule="exac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pPr>
        <w:widowControl/>
        <w:tabs>
          <w:tab w:val="left" w:pos="2273"/>
        </w:tabs>
        <w:spacing w:line="500" w:lineRule="exact"/>
        <w:textAlignment w:val="center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协议零售药店（盖章）：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                 评估时间：   年   月   日</w:t>
      </w:r>
    </w:p>
    <w:tbl>
      <w:tblPr>
        <w:tblStyle w:val="4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623"/>
        <w:gridCol w:w="4007"/>
        <w:gridCol w:w="578"/>
        <w:gridCol w:w="587"/>
        <w:gridCol w:w="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54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评分项目</w:t>
            </w:r>
          </w:p>
        </w:tc>
        <w:tc>
          <w:tcPr>
            <w:tcW w:w="97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评估指标</w:t>
            </w:r>
          </w:p>
        </w:tc>
        <w:tc>
          <w:tcPr>
            <w:tcW w:w="240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评估标准</w:t>
            </w:r>
          </w:p>
        </w:tc>
        <w:tc>
          <w:tcPr>
            <w:tcW w:w="699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是否达标</w:t>
            </w:r>
          </w:p>
        </w:tc>
        <w:tc>
          <w:tcPr>
            <w:tcW w:w="3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54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97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240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一、基础制度管理评估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制度建设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药品进销存管理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制度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建立规范的制度，有相关的纸质文件存档或上墙的制度表。查看申报前一年药品进销存台账、存量药品销售价格和公共资源交易中心挂网价格对比等。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财务管理制度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建立规范的财务、医保费用结算制度，有相关的纸质文件存档或上墙的制度表。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医保违规处理制度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建立规范的医保违规处理制度，有相关的纸质文件存档或上墙的制度表/图。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刷卡拿药流程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建立规范的制度，有相关的纸质文件存档或上墙的刷卡拿药流程表（图）。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医保宣传栏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有医保政策的宣传、信息的发布图（表）。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医保管理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配备专（兼）职医保管理人员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有专（兼）职的医保管理人员。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劳务合同及参保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职工劳务合同、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社保登记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职工签订劳务合同、并进行了社保登记，为职工办理了参保手续。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二、服务能力评估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功能区域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经营场所面积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门店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整体面积原则上在150平米以上(县市区在120平米以上)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，经营场所如为租赁，提供3年以上的有效租赁合同。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特门业务场所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设立独立的特门业务场所，并设有开票区、顾客休息区、收银区、药房和库房等区域。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特门服务流程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设置相应的服务岗位并配备了专门人员（管理员、药师、送货员、开票员），内部管理制度是否健全，特门服务流程是否建立并规范合理。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功能区域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药品保存和价格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配备特门病种90%以上的药品，有健全和完善的药品经营质量管理体系，确保供药安全、有效。有独立的特门药品库房，随机抽查药物，并查看库存，是否达到储药、备药要求。特门药品价格与挂网价相比，下浮5%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信息档案保存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是否具备建立特门病人基本信息档案和病人电子信息基本档案（特门审批表、处方、病人基本信息、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pacing w:val="-6"/>
                <w:kern w:val="0"/>
                <w:szCs w:val="21"/>
              </w:rPr>
              <w:t>购药记录、结算清单、购药品名、药品配送原始凭证、代领（购）情况登记）的条件。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药店、人员资质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药店相关资质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提供药店相关开办资质。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职业药师注册信息和相关情况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至少应配备2名及以上执业药师，提供处方审批和调配、合理用药指导等服务；职业药师的注册和到岗情况。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信息系统</w:t>
            </w: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配备独立的信息系统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建立信息管理制度。配备独立的电脑及信息系统，能连接医保网络专线，能与医保管理机构实时联网，可以真实、全面、准确、及时上传数据和结算费用。配备独立的pos机收银系统。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特门药品信息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能将特门药品相关信息及进销存信息纳入独立的信息系统管理。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9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信息系统硬件设施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配备专门的服务器，24小时视频监控系统，并配备了身份证读卡器、人脸数据采集设备和监管码扫描设备。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379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近三年是否有基本医疗保险的重大违规违约行为，是否收受到过市场监督、卫生健康等部门的行政处罚。</w:t>
            </w:r>
          </w:p>
        </w:tc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备注：采取现场评估，评估指标不能达标者则限期整改，整改到位三个月后再申请评估，两次整改不达标者，取消本年度特门申报。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评估人员签字：                                    药店负责人签字：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r>
        <w:rPr>
          <w:rFonts w:hint="eastAsia" w:ascii="仿宋" w:hAnsi="仿宋" w:eastAsia="仿宋_GB2312" w:cs="仿宋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8777D"/>
    <w:rsid w:val="6E5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2020-12-28T02:46:00Z</dcterms:created>
  <dc:creator>ZENGYUYI</dc:creator>
  <cp:lastModifiedBy>ZENGYUYI</cp:lastModifiedBy>
  <dcterms:modified xsi:type="dcterms:W3CDTF">2020-12-28T02:47:09Z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