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9C" w:rsidRDefault="00C5129C" w:rsidP="00C5129C">
      <w:pPr>
        <w:adjustRightInd w:val="0"/>
        <w:spacing w:line="600" w:lineRule="exact"/>
        <w:ind w:right="641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C5129C" w:rsidRDefault="00C5129C" w:rsidP="00C5129C">
      <w:pPr>
        <w:adjustRightInd w:val="0"/>
        <w:spacing w:line="600" w:lineRule="exact"/>
        <w:ind w:right="641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 xml:space="preserve">   </w:t>
      </w:r>
      <w:r>
        <w:rPr>
          <w:rFonts w:eastAsia="方正小标宋_GBK" w:hint="eastAsia"/>
          <w:sz w:val="36"/>
          <w:szCs w:val="36"/>
        </w:rPr>
        <w:t>邵阳市医疗卫生紧急救援中心整体支出绩效评价报告</w:t>
      </w:r>
    </w:p>
    <w:p w:rsidR="00C5129C" w:rsidRDefault="00C5129C" w:rsidP="00C5129C">
      <w:pPr>
        <w:adjustRightInd w:val="0"/>
        <w:spacing w:line="600" w:lineRule="exact"/>
        <w:ind w:right="641"/>
        <w:rPr>
          <w:rFonts w:eastAsia="仿宋_GB2312"/>
          <w:sz w:val="32"/>
          <w:szCs w:val="32"/>
        </w:rPr>
      </w:pP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一、部门概况</w:t>
      </w: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（一）部门基本情况（包括部门的在职人员情况、机构设置、主要职能及重点工作计划等）。</w:t>
      </w:r>
      <w:r>
        <w:rPr>
          <w:rFonts w:ascii="仿宋" w:eastAsia="仿宋" w:hAnsi="仿宋" w:hint="eastAsia"/>
          <w:color w:val="444444"/>
          <w:sz w:val="32"/>
          <w:szCs w:val="32"/>
        </w:rPr>
        <w:t>邵阳市医疗卫生紧急救援中心主要承担重大突发公共卫生事件，疫情，群体性损伤的院前应急和救治的指挥调度。日常120医疗急救的指挥调度。邵阳市医疗卫生紧急救援中心内设机构包括：本单位为全额拨款公益性事业单位,正式在编人员4人,临聘人员8人,退休人员1人,其中:主任1人,副主任1人,办公室,财务室,信息科共4人,指挥调度室6人。</w:t>
      </w: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（二）部门整体支出规模、使用方向和主要内容、涉及范围等。</w:t>
      </w: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444444"/>
          <w:sz w:val="32"/>
          <w:szCs w:val="32"/>
        </w:rPr>
        <w:t>本年支出合计</w:t>
      </w:r>
      <w:r>
        <w:rPr>
          <w:rFonts w:ascii="仿宋" w:eastAsia="仿宋"/>
          <w:color w:val="444444"/>
          <w:sz w:val="32"/>
          <w:szCs w:val="32"/>
        </w:rPr>
        <w:t> </w:t>
      </w:r>
      <w:r>
        <w:rPr>
          <w:rFonts w:ascii="仿宋" w:eastAsia="仿宋" w:hAnsi="仿宋" w:hint="eastAsia"/>
          <w:color w:val="444444"/>
          <w:sz w:val="32"/>
          <w:szCs w:val="32"/>
        </w:rPr>
        <w:t>98.55万元，其中：基本支出73.55万元，占本年总支出74.63%。项目支出25万元，占本年总支出25.37%。其增加的主要原因为：人员工资的增加和办公用房整体搬迁装修经费.</w:t>
      </w: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二、部门整体支出管理及使用情况</w:t>
      </w: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（一）预算执行情况</w:t>
      </w: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color w:val="444444"/>
          <w:sz w:val="32"/>
          <w:szCs w:val="32"/>
        </w:rPr>
        <w:t>与2017年度相比，基本支出与上年持平。</w:t>
      </w: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（二）基本支出</w:t>
      </w:r>
    </w:p>
    <w:p w:rsidR="00C5129C" w:rsidRDefault="00C5129C" w:rsidP="00C5129C">
      <w:pPr>
        <w:shd w:val="clear" w:color="auto" w:fill="FFFFFF"/>
        <w:spacing w:before="100" w:beforeAutospacing="1" w:after="100" w:afterAutospacing="1" w:line="600" w:lineRule="atLeast"/>
        <w:ind w:firstLine="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介绍基本支出的主要用途、范围以及资金的管理情况，尤其是“三公”经费的使用和管理情况。</w:t>
      </w:r>
    </w:p>
    <w:p w:rsidR="00C5129C" w:rsidRDefault="00C5129C" w:rsidP="00C5129C">
      <w:pPr>
        <w:shd w:val="clear" w:color="auto" w:fill="FFFFFF"/>
        <w:spacing w:before="100" w:beforeAutospacing="1" w:after="100" w:afterAutospacing="1" w:line="600" w:lineRule="atLeast"/>
        <w:ind w:firstLine="480"/>
        <w:rPr>
          <w:rFonts w:ascii="仿宋" w:eastAsia="仿宋" w:hAnsi="仿宋" w:cs="宋体"/>
          <w:color w:val="444444"/>
          <w:kern w:val="0"/>
          <w:sz w:val="32"/>
          <w:szCs w:val="32"/>
        </w:rPr>
      </w:pPr>
      <w:r>
        <w:rPr>
          <w:rFonts w:ascii="仿宋" w:eastAsia="仿宋" w:hAnsi="仿宋" w:hint="eastAsia"/>
          <w:color w:val="444444"/>
          <w:sz w:val="32"/>
          <w:szCs w:val="32"/>
        </w:rPr>
        <w:t>2018年度一般公共预算财政拨款基本支出73.55万元。</w:t>
      </w: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其中: </w:t>
      </w:r>
    </w:p>
    <w:p w:rsidR="00C5129C" w:rsidRDefault="00C5129C" w:rsidP="00C5129C">
      <w:pPr>
        <w:widowControl/>
        <w:shd w:val="clear" w:color="auto" w:fill="FFFFFF"/>
        <w:spacing w:before="100" w:beforeAutospacing="1" w:after="100" w:afterAutospacing="1" w:line="60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人员经费64.62万元，主要包括：按国家规定支出的基本工资、津贴补贴、其他社会保障缴费、伙食补助费、机关事业单位基本养老保险缴费、其他工资福利支出、离休费、退休费、抚恤金、生活补助、医疗费、住房公积金、提租补贴、购房补贴、采暖补贴、物业服务补贴、其他对个人和家庭的补助支出； </w:t>
      </w:r>
    </w:p>
    <w:p w:rsidR="00C5129C" w:rsidRDefault="00C5129C" w:rsidP="00C5129C">
      <w:pPr>
        <w:widowControl/>
        <w:shd w:val="clear" w:color="auto" w:fill="FFFFFF"/>
        <w:spacing w:before="100" w:beforeAutospacing="1" w:after="100" w:afterAutospacing="1" w:line="60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公用经费8.93万元，主要包括：办公费、印刷费、咨询费、手续费、水费、电费、邮电费、取暖费、物业管理费、差旅费、因公出国（境）费用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其他资本性支出。</w:t>
      </w:r>
    </w:p>
    <w:p w:rsidR="00C5129C" w:rsidRDefault="00C5129C" w:rsidP="00C5129C">
      <w:pPr>
        <w:widowControl/>
        <w:shd w:val="clear" w:color="auto" w:fill="FFFFFF"/>
        <w:spacing w:before="100" w:beforeAutospacing="1" w:after="100" w:afterAutospacing="1" w:line="60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>
        <w:rPr>
          <w:rFonts w:ascii="仿宋" w:eastAsia="仿宋" w:hAnsi="仿宋" w:hint="eastAsia"/>
          <w:color w:val="444444"/>
          <w:sz w:val="32"/>
          <w:szCs w:val="32"/>
        </w:rPr>
        <w:t>本单位三公经费预算数0.8万元,决算数全年无三公经费支出，公务接待费0万元，公务用车保有量和购置数为0辆，因公出国出（境）组团及人数为0人。</w:t>
      </w: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（三）专项支出</w:t>
      </w: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无专项支出。</w:t>
      </w: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三、资产管理情况</w:t>
      </w:r>
    </w:p>
    <w:p w:rsidR="00C5129C" w:rsidRDefault="003D2265" w:rsidP="00C5129C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资产的配置、管理、处置等</w:t>
      </w:r>
      <w:r w:rsidR="00C5129C">
        <w:rPr>
          <w:rFonts w:eastAsia="仿宋_GB2312" w:hint="eastAsia"/>
          <w:sz w:val="32"/>
          <w:szCs w:val="32"/>
        </w:rPr>
        <w:t>情况</w:t>
      </w:r>
      <w:r>
        <w:rPr>
          <w:rFonts w:eastAsia="仿宋_GB2312" w:hint="eastAsia"/>
          <w:sz w:val="32"/>
          <w:szCs w:val="32"/>
        </w:rPr>
        <w:t>良好</w:t>
      </w:r>
      <w:r w:rsidR="00C5129C">
        <w:rPr>
          <w:rFonts w:eastAsia="仿宋_GB2312" w:hint="eastAsia"/>
          <w:sz w:val="32"/>
          <w:szCs w:val="32"/>
        </w:rPr>
        <w:t>。包括制度建设、管理措施、配置处置的程序等。</w:t>
      </w: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四、绩效评价工作情况</w:t>
      </w: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444444"/>
          <w:sz w:val="32"/>
          <w:szCs w:val="32"/>
        </w:rPr>
        <w:t>一、圆满完成全市院前医疗急救指挥调度任务。二、开展了院前医疗急救宣传和急救知识培训工作。三、确保了全市院前医疗急救水平平稳发展，群众满意度大大提升。</w:t>
      </w: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五、综合评价情况及评价结论</w:t>
      </w: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综合评价为优。</w:t>
      </w: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六、部门整体支出主要绩效</w:t>
      </w: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满意度90%以上。</w:t>
      </w: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七、存在的问题</w:t>
      </w: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0"/>
        <w:rPr>
          <w:rFonts w:ascii="黑体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无</w:t>
      </w: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八、改进措施和有关建议</w:t>
      </w:r>
    </w:p>
    <w:p w:rsidR="00C5129C" w:rsidRDefault="00C5129C" w:rsidP="00C5129C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无</w:t>
      </w:r>
    </w:p>
    <w:p w:rsidR="0055178E" w:rsidRDefault="0055178E"/>
    <w:sectPr w:rsidR="0055178E" w:rsidSect="00B80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CAD" w:rsidRDefault="00FC5CAD" w:rsidP="00C5129C">
      <w:r>
        <w:separator/>
      </w:r>
    </w:p>
  </w:endnote>
  <w:endnote w:type="continuationSeparator" w:id="1">
    <w:p w:rsidR="00FC5CAD" w:rsidRDefault="00FC5CAD" w:rsidP="00C51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CAD" w:rsidRDefault="00FC5CAD" w:rsidP="00C5129C">
      <w:r>
        <w:separator/>
      </w:r>
    </w:p>
  </w:footnote>
  <w:footnote w:type="continuationSeparator" w:id="1">
    <w:p w:rsidR="00FC5CAD" w:rsidRDefault="00FC5CAD" w:rsidP="00C51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29C"/>
    <w:rsid w:val="003D2265"/>
    <w:rsid w:val="0055178E"/>
    <w:rsid w:val="00B800EC"/>
    <w:rsid w:val="00C5129C"/>
    <w:rsid w:val="00FC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2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2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2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2021-05-14T01:48:00Z</dcterms:created>
  <dcterms:modified xsi:type="dcterms:W3CDTF">2021-05-14T01:55:00Z</dcterms:modified>
</cp:coreProperties>
</file>