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周官桥乡2020年度整体支出绩效自评报告</w:t>
      </w:r>
    </w:p>
    <w:p/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sz w:val="32"/>
          <w:szCs w:val="32"/>
        </w:rPr>
        <w:t>概况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机构组成和机构职能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周官桥乡</w:t>
      </w:r>
      <w:r>
        <w:rPr>
          <w:rFonts w:hint="default" w:ascii="Times New Roman" w:hAnsi="Times New Roman" w:cs="Times New Roman"/>
          <w:sz w:val="32"/>
          <w:szCs w:val="32"/>
        </w:rPr>
        <w:t>人民政府是实行预算拨款的基层行政单位，主要负责承担落实政策、促进发展、维护稳定、加强管理、提供服务工作。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内设六办三中心一所一大队，包括基层党建办公室、党政综合办公室、社会事务办公室、社会治安和应急管理办公室、经济发展办公室、自然资源和生态环境办公室、社会事务综合服务中心、农业综合服务中心、政务便民服务中心、财政所、综合行政执法大队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机构职能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主要负责承担宣传、落实好党的路线、方针、政策和国家的法律、法规，加强对村民委员会的指导，提高、培育村民委员会自治能力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</w:rPr>
        <w:t>加强民政、教育、科技、文化、卫生、计划生育、安全生产、劳动保障和乡村规划等社会管理，及时向上级党委、政府反映社情民意等职责。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人员概况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周官桥乡人民政府</w:t>
      </w:r>
      <w:r>
        <w:rPr>
          <w:rFonts w:hint="default" w:ascii="Times New Roman" w:hAnsi="Times New Roman" w:cs="Times New Roman"/>
          <w:sz w:val="32"/>
          <w:szCs w:val="32"/>
        </w:rPr>
        <w:t>共有编制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cs="Times New Roman"/>
          <w:sz w:val="32"/>
          <w:szCs w:val="32"/>
        </w:rPr>
        <w:t>名，其中行政编制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sz w:val="32"/>
          <w:szCs w:val="32"/>
        </w:rPr>
        <w:t>人，事业编制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cs="Times New Roman"/>
          <w:sz w:val="32"/>
          <w:szCs w:val="32"/>
        </w:rPr>
        <w:t>人。实有在职人员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cs="Times New Roman"/>
          <w:sz w:val="32"/>
          <w:szCs w:val="32"/>
        </w:rPr>
        <w:t>人，其中行政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事业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，临聘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cs="Times New Roman"/>
          <w:sz w:val="32"/>
          <w:szCs w:val="32"/>
        </w:rPr>
        <w:t>。离休人员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  <w:szCs w:val="32"/>
        </w:rPr>
        <w:t>人。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年度主要工作目标及重点工作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加大统筹城乡发展力度，不断加快新型城镇化建设步伐。不断加强城乡基础设施建设，积极实施好土地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清理</w:t>
      </w:r>
      <w:r>
        <w:rPr>
          <w:rFonts w:hint="default" w:ascii="Times New Roman" w:hAnsi="Times New Roman" w:cs="Times New Roman"/>
          <w:sz w:val="32"/>
          <w:szCs w:val="32"/>
        </w:rPr>
        <w:t>和村级公共服务项目，依托村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cs="Times New Roman"/>
          <w:sz w:val="32"/>
          <w:szCs w:val="32"/>
        </w:rPr>
        <w:t>道路改造工程和村级公共服务项目，不断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加强道路、沟渠建设；加大招商引资力度，鼓励土地规模流转，引进社会资金参与项目建设；进一步完善水网、电网、气网等配套设施建设，全面改善全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sz w:val="32"/>
          <w:szCs w:val="32"/>
        </w:rPr>
        <w:t>群众的生产、生活条件。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单位整体支出绩效状</w:t>
      </w:r>
      <w:r>
        <w:rPr>
          <w:rFonts w:hint="default" w:ascii="Times New Roman" w:hAnsi="Times New Roman" w:eastAsia="黑体" w:cs="Times New Roman"/>
          <w:sz w:val="32"/>
          <w:szCs w:val="32"/>
        </w:rPr>
        <w:t>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（一）财政资金收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情况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年部门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default" w:ascii="Times New Roman" w:hAnsi="Times New Roman" w:cs="Times New Roman"/>
          <w:sz w:val="32"/>
          <w:szCs w:val="32"/>
        </w:rPr>
        <w:t>收入总计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2195.62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280.85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减少85.23万元，减少3.74%</w:t>
      </w:r>
      <w:r>
        <w:rPr>
          <w:rFonts w:hint="default" w:ascii="Times New Roman" w:hAnsi="Times New Roman" w:cs="Times New Roman"/>
          <w:sz w:val="32"/>
          <w:szCs w:val="32"/>
        </w:rPr>
        <w:t>。具体情况如下：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1、公共财政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default" w:ascii="Times New Roman" w:hAnsi="Times New Roman" w:cs="Times New Roman"/>
          <w:sz w:val="32"/>
          <w:szCs w:val="32"/>
        </w:rPr>
        <w:t>拨款收入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2170.12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256.85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86.73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万元,减少3.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%</w:t>
      </w:r>
      <w:r>
        <w:rPr>
          <w:rFonts w:hint="default" w:ascii="Times New Roman" w:hAnsi="Times New Roman" w:cs="Times New Roman"/>
          <w:sz w:val="32"/>
          <w:szCs w:val="32"/>
        </w:rPr>
        <w:t>。主要原因是人员变动、压缩一般性开支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控制机关运行经费支出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2、基金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default" w:ascii="Times New Roman" w:hAnsi="Times New Roman" w:cs="Times New Roman"/>
          <w:sz w:val="32"/>
          <w:szCs w:val="32"/>
        </w:rPr>
        <w:t>拨款收入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 w:val="32"/>
          <w:szCs w:val="32"/>
        </w:rPr>
        <w:t>万元增加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万元,增长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6.25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%</w:t>
      </w:r>
      <w:r>
        <w:rPr>
          <w:rFonts w:hint="default" w:ascii="Times New Roman" w:hAnsi="Times New Roman" w:cs="Times New Roman"/>
          <w:sz w:val="32"/>
          <w:szCs w:val="32"/>
        </w:rPr>
        <w:t>。 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年部门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default" w:ascii="Times New Roman" w:hAnsi="Times New Roman" w:cs="Times New Roman"/>
          <w:sz w:val="32"/>
          <w:szCs w:val="32"/>
        </w:rPr>
        <w:t>支出总计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2195.62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280.85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减少85.23万元，减少3.74%</w:t>
      </w:r>
      <w:r>
        <w:rPr>
          <w:rFonts w:hint="default" w:ascii="Times New Roman" w:hAnsi="Times New Roman" w:cs="Times New Roman"/>
          <w:sz w:val="32"/>
          <w:szCs w:val="32"/>
        </w:rPr>
        <w:t>。具体情况如下： 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569.47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年659.29万元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89.82</w:t>
      </w:r>
      <w:r>
        <w:rPr>
          <w:rFonts w:hint="default" w:ascii="Times New Roman" w:hAnsi="Times New Roman" w:cs="Times New Roman"/>
          <w:sz w:val="32"/>
          <w:szCs w:val="32"/>
        </w:rPr>
        <w:t>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13.62</w:t>
      </w:r>
      <w:r>
        <w:rPr>
          <w:rFonts w:hint="default" w:ascii="Times New Roman" w:hAnsi="Times New Roman" w:cs="Times New Roman"/>
          <w:sz w:val="32"/>
          <w:szCs w:val="32"/>
        </w:rPr>
        <w:t>%。其中：财政拨款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569.47</w:t>
      </w:r>
      <w:r>
        <w:rPr>
          <w:rFonts w:hint="default" w:ascii="Times New Roman" w:hAnsi="Times New Roman" w:cs="Times New Roman"/>
          <w:sz w:val="32"/>
          <w:szCs w:val="32"/>
        </w:rPr>
        <w:t>万元。基本支出包括：人员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经费</w:t>
      </w:r>
      <w:r>
        <w:rPr>
          <w:rFonts w:hint="default" w:ascii="Times New Roman" w:hAnsi="Times New Roman" w:cs="Times New Roman"/>
          <w:sz w:val="32"/>
          <w:szCs w:val="32"/>
        </w:rPr>
        <w:t>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473.07</w:t>
      </w:r>
      <w:r>
        <w:rPr>
          <w:rFonts w:hint="default" w:ascii="Times New Roman" w:hAnsi="Times New Roman" w:cs="Times New Roman"/>
          <w:sz w:val="32"/>
          <w:szCs w:val="32"/>
        </w:rPr>
        <w:t>万元，基本公用支出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96.4</w:t>
      </w:r>
      <w:r>
        <w:rPr>
          <w:rFonts w:hint="default" w:ascii="Times New Roman" w:hAnsi="Times New Roman" w:cs="Times New Roman"/>
          <w:sz w:val="32"/>
          <w:szCs w:val="32"/>
        </w:rPr>
        <w:t>万元。增加的主要原因是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部门及</w:t>
      </w:r>
      <w:r>
        <w:rPr>
          <w:rFonts w:hint="default" w:ascii="Times New Roman" w:hAnsi="Times New Roman" w:cs="Times New Roman"/>
          <w:sz w:val="32"/>
          <w:szCs w:val="32"/>
        </w:rPr>
        <w:t>人员变动、压缩一般性开支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控制机关运行经费支出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2、项目支出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决算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1626.15</w:t>
      </w:r>
      <w:r>
        <w:rPr>
          <w:rFonts w:hint="default" w:ascii="Times New Roman" w:hAnsi="Times New Roman" w:cs="Times New Roman"/>
          <w:sz w:val="32"/>
          <w:szCs w:val="32"/>
        </w:rPr>
        <w:t>万元，比201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年1621.55万元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4.6</w:t>
      </w:r>
      <w:r>
        <w:rPr>
          <w:rFonts w:hint="default" w:ascii="Times New Roman" w:hAnsi="Times New Roman" w:cs="Times New Roman"/>
          <w:sz w:val="32"/>
          <w:szCs w:val="32"/>
        </w:rPr>
        <w:t>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0.28</w:t>
      </w:r>
      <w:r>
        <w:rPr>
          <w:rFonts w:hint="default" w:ascii="Times New Roman" w:hAnsi="Times New Roman" w:cs="Times New Roman"/>
          <w:sz w:val="32"/>
          <w:szCs w:val="32"/>
        </w:rPr>
        <w:t>%。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增加</w:t>
      </w:r>
      <w:r>
        <w:rPr>
          <w:rFonts w:hint="default" w:ascii="Times New Roman" w:hAnsi="Times New Roman" w:cs="Times New Roman"/>
          <w:sz w:val="32"/>
          <w:szCs w:val="32"/>
        </w:rPr>
        <w:t>的主要原因是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项目变动</w:t>
      </w:r>
      <w:r>
        <w:rPr>
          <w:rFonts w:hint="default" w:ascii="Times New Roman" w:hAnsi="Times New Roman" w:cs="Times New Roman"/>
          <w:sz w:val="32"/>
          <w:szCs w:val="32"/>
        </w:rPr>
        <w:t>。  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）预算编制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情况</w:t>
      </w: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预算编制严格按照上级部门要求编制并及时报送时效、项目分类也严格按照上级部门要求分类、公示时间与内容也严格按照要求，未发现有不按要求编制、报送、公示等行为。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年周官桥乡预算收入总计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728.76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万元，其中：公共财政预算拨款收入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728.76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2019年周官桥乡预算支出总计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728.76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万元，其中：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基本支出预算5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71.96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万元，包括：人员支出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452.36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万元，基本公用支出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119.6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项目支出预算1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56.8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万元，包括：提供公共服务、信访维稳、党建、团群经费、社会保障、农业、环保支出等。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预算总体执行进度按预算资金下达时间执行，预算中期有变化的按照要求中期或年终一次性追加。“三公”经费严格按照预算标准执行，不存在超预算等行为。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年收入支出预算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728.76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万元，调整预算收入支出2195.62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，较预算数增加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466.86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万元，决算收入支出与调整预算数一致。主要原因是一般公共事务、公共安全、社会保障、农业、环保等项目支出增加，其中：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人员经费20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年预算数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452.36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万元，调整预算数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473.07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万元，决算数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473.07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万元，调增的主要原因是职工工资、基本养老保险、职业年金缴费等支出增加。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公用经费20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年预算数为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119.6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万元，调整预算数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96.4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万元，决算数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96.4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万元，减少的主要原因是压缩一般性支出。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项目支出20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年预算数为1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56.8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万元，调整预算数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1626.15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万元，决算数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1626.15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万元，增加的主要原因是一般公共事务、公共安全、社会保障、农业、环保等项目支出增加。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）综合管理情况 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财务管理制度、会计核算、政策采购资产管理、内控制度管理等都基本已建立制度，相关信息并及时公开。按照上级部门要求及时开展了绩效评价工作，组织成立了自查小组，主管科室为财政所。 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）整体绩效</w:t>
      </w: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根据上级部门要求履行法定职责，完成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cs="Times New Roman"/>
          <w:sz w:val="32"/>
          <w:szCs w:val="32"/>
        </w:rPr>
        <w:t>党委政府决策部署，重点项目工作也严格按照相关要求执行并圆满完成，得到了各个层面的一致好评。 </w:t>
      </w:r>
    </w:p>
    <w:p>
      <w:pP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存在的问题及原因</w:t>
      </w:r>
      <w:r>
        <w:rPr>
          <w:rFonts w:hint="default" w:ascii="Times New Roman" w:hAnsi="Times New Roman" w:cs="Times New Roman"/>
          <w:sz w:val="32"/>
          <w:szCs w:val="32"/>
        </w:rPr>
        <w:t>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在整个整体支出评价指标体系评分表中，体现出了我单位现存在的一部分问题。问题主要体现在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预算安排准确性有待提高，</w:t>
      </w:r>
      <w:r>
        <w:rPr>
          <w:rFonts w:hint="default" w:ascii="Times New Roman" w:hAnsi="Times New Roman" w:cs="Times New Roman"/>
          <w:sz w:val="32"/>
          <w:szCs w:val="32"/>
        </w:rPr>
        <w:t>总体执行力度还不够。 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四、提高财政资金绩效的措施和建议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）改进措施</w:t>
      </w: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cs="Times New Roman"/>
          <w:sz w:val="32"/>
          <w:szCs w:val="32"/>
        </w:rPr>
        <w:t>严格预算编制。预算编制工作做早、做细、做实，把预算审核贯穿于日常财政管理工作中，科学合理地制订定额标准，既要统筹顾及各部门的主要职能、任务，又要通过准确合理的预算给予这些部门实现职能任务的财力保障。 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2、建立完善的项目绩效考评、追踪问效制度。逐步推开预算支出绩效考评范围，以及时采取措施堵塞各种管理漏洞，确保财政资金发挥最大的效益。 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3、加强财务知识学习，提高财务人员业务水平。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A3F31"/>
    <w:multiLevelType w:val="singleLevel"/>
    <w:tmpl w:val="A44A3F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0838ED"/>
    <w:multiLevelType w:val="singleLevel"/>
    <w:tmpl w:val="B60838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3A8D80"/>
    <w:multiLevelType w:val="singleLevel"/>
    <w:tmpl w:val="4C3A8D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4E89"/>
    <w:rsid w:val="37A16740"/>
    <w:rsid w:val="698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2021-09-25T15:31:00Z</dcterms:created>
  <dc:creator>Administrator</dc:creator>
  <cp:lastModifiedBy>Administrator</cp:lastModifiedBy>
  <dcterms:modified xsi:type="dcterms:W3CDTF">2021-10-08T07:22:43Z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38E0824726AE46C5BEACEBE1337E8CDF</vt:lpwstr>
  </property>
</Properties>
</file>