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CCB2D" w14:textId="77777777" w:rsidR="002712EA" w:rsidRDefault="00000000">
      <w:pPr>
        <w:snapToGrid w:val="0"/>
        <w:spacing w:line="480" w:lineRule="exact"/>
        <w:ind w:firstLine="640"/>
        <w:jc w:val="center"/>
        <w:rPr>
          <w:rFonts w:ascii="仿宋_GB2312" w:cs="仿宋_GB2312"/>
          <w:color w:val="000000"/>
        </w:rPr>
      </w:pPr>
      <w:bookmarkStart w:id="0" w:name="_Hlk518585752"/>
      <w:bookmarkStart w:id="1" w:name="OLE_LINK1"/>
      <w:bookmarkEnd w:id="0"/>
      <w:r>
        <w:rPr>
          <w:noProof/>
          <w:snapToGrid w:val="0"/>
          <w:color w:val="000000"/>
          <w:lang w:bidi="ar"/>
        </w:rPr>
        <mc:AlternateContent>
          <mc:Choice Requires="wps">
            <w:drawing>
              <wp:anchor distT="0" distB="0" distL="114300" distR="114300" simplePos="0" relativeHeight="251659264" behindDoc="0" locked="0" layoutInCell="1" allowOverlap="1" wp14:anchorId="6BF369E1" wp14:editId="7431C88F">
                <wp:simplePos x="0" y="0"/>
                <wp:positionH relativeFrom="column">
                  <wp:posOffset>0</wp:posOffset>
                </wp:positionH>
                <wp:positionV relativeFrom="paragraph">
                  <wp:posOffset>-417195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14:paraId="0DFBBF4C" w14:textId="77777777" w:rsidR="002712EA" w:rsidRDefault="00000000">
                            <w:pPr>
                              <w:snapToGrid w:val="0"/>
                              <w:spacing w:line="566" w:lineRule="atLeast"/>
                              <w:ind w:left="310" w:hangingChars="100" w:hanging="310"/>
                            </w:pPr>
                            <w:r>
                              <w:rPr>
                                <w:rFonts w:ascii="黑体" w:eastAsia="黑体" w:cs="黑体" w:hint="eastAsia"/>
                                <w:sz w:val="31"/>
                                <w:lang w:bidi="ar"/>
                              </w:rPr>
                              <w:t>SDDR-2024-01003</w:t>
                            </w:r>
                          </w:p>
                        </w:txbxContent>
                      </wps:txbx>
                      <wps:bodyPr wrap="square" lIns="0" tIns="0" rIns="0" bIns="0" upright="1"/>
                    </wps:wsp>
                  </a:graphicData>
                </a:graphic>
              </wp:anchor>
            </w:drawing>
          </mc:Choice>
          <mc:Fallback>
            <w:pict>
              <v:shapetype w14:anchorId="6BF369E1" id="_x0000_t202" coordsize="21600,21600" o:spt="202" path="m,l,21600r21600,l21600,xe">
                <v:stroke joinstyle="miter"/>
                <v:path gradientshapeok="t" o:connecttype="rect"/>
              </v:shapetype>
              <v:shape id="文本框 8" o:spid="_x0000_s1026" type="#_x0000_t202" style="position:absolute;left:0;text-align:left;margin-left:0;margin-top:-32.85pt;width:126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" stroked="f">
                <v:textbox inset="0,0,0,0">
                  <w:txbxContent>
                    <w:p w14:paraId="0DFBBF4C" w14:textId="77777777" w:rsidR="002712EA" w:rsidRDefault="00000000">
                      <w:pPr>
                        <w:snapToGrid w:val="0"/>
                        <w:spacing w:line="566" w:lineRule="atLeast"/>
                        <w:ind w:left="310" w:hangingChars="100" w:hanging="310"/>
                      </w:pPr>
                      <w:r>
                        <w:rPr>
                          <w:rFonts w:ascii="黑体" w:eastAsia="黑体" w:cs="黑体" w:hint="eastAsia"/>
                          <w:sz w:val="31"/>
                          <w:lang w:bidi="ar"/>
                        </w:rPr>
                        <w:t>SDDR-2024-01003</w:t>
                      </w:r>
                    </w:p>
                  </w:txbxContent>
                </v:textbox>
              </v:shape>
            </w:pict>
          </mc:Fallback>
        </mc:AlternateContent>
      </w:r>
    </w:p>
    <w:p w14:paraId="0BFB7B61" w14:textId="77777777" w:rsidR="002712EA" w:rsidRDefault="002712EA">
      <w:pPr>
        <w:snapToGrid w:val="0"/>
        <w:spacing w:line="480" w:lineRule="exact"/>
        <w:ind w:firstLine="640"/>
        <w:jc w:val="center"/>
        <w:rPr>
          <w:rFonts w:ascii="仿宋_GB2312" w:cs="仿宋_GB2312"/>
          <w:color w:val="000000"/>
        </w:rPr>
      </w:pPr>
    </w:p>
    <w:p w14:paraId="49B8FFCB" w14:textId="77777777" w:rsidR="002712EA" w:rsidRDefault="002712EA">
      <w:pPr>
        <w:snapToGrid w:val="0"/>
        <w:spacing w:line="480" w:lineRule="exact"/>
        <w:ind w:firstLine="640"/>
        <w:jc w:val="center"/>
        <w:rPr>
          <w:rFonts w:ascii="仿宋_GB2312" w:cs="仿宋_GB2312"/>
          <w:color w:val="000000"/>
        </w:rPr>
      </w:pPr>
    </w:p>
    <w:p w14:paraId="5939FA7E" w14:textId="77777777" w:rsidR="002712EA" w:rsidRDefault="002712EA">
      <w:pPr>
        <w:snapToGrid w:val="0"/>
        <w:spacing w:line="480" w:lineRule="exact"/>
        <w:ind w:firstLine="640"/>
        <w:jc w:val="center"/>
        <w:rPr>
          <w:rFonts w:ascii="仿宋_GB2312" w:cs="仿宋_GB2312"/>
          <w:color w:val="000000"/>
        </w:rPr>
      </w:pPr>
    </w:p>
    <w:p w14:paraId="204B9542" w14:textId="77777777" w:rsidR="002712EA" w:rsidRDefault="00000000">
      <w:pPr>
        <w:snapToGrid w:val="0"/>
        <w:spacing w:line="566" w:lineRule="atLeast"/>
        <w:ind w:firstLineChars="0" w:firstLine="0"/>
        <w:jc w:val="center"/>
        <w:rPr>
          <w:rFonts w:ascii="仿宋_GB2312" w:eastAsia="仿宋_GB2312" w:cs="仿宋_GB2312"/>
          <w:color w:val="000000"/>
          <w:szCs w:val="32"/>
        </w:rPr>
      </w:pPr>
      <w:r>
        <w:rPr>
          <w:rFonts w:ascii="仿宋_GB2312" w:eastAsia="仿宋_GB2312" w:cs="仿宋_GB2312" w:hint="eastAsia"/>
          <w:color w:val="000000"/>
          <w:szCs w:val="32"/>
          <w:lang w:bidi="ar"/>
        </w:rPr>
        <w:t>邵东政办发〔2024〕5号</w:t>
      </w:r>
    </w:p>
    <w:p w14:paraId="0EA9C485" w14:textId="77777777" w:rsidR="002712EA" w:rsidRDefault="002712EA">
      <w:pPr>
        <w:snapToGrid w:val="0"/>
        <w:spacing w:line="700" w:lineRule="exact"/>
        <w:ind w:firstLine="640"/>
        <w:jc w:val="center"/>
        <w:rPr>
          <w:rFonts w:ascii="仿宋_GB2312" w:cs="仿宋_GB2312"/>
          <w:color w:val="000000"/>
          <w:szCs w:val="32"/>
        </w:rPr>
      </w:pPr>
    </w:p>
    <w:p w14:paraId="21E4D6FE" w14:textId="77777777" w:rsidR="002712EA" w:rsidRDefault="00000000">
      <w:pPr>
        <w:spacing w:line="700" w:lineRule="exact"/>
        <w:ind w:firstLineChars="0" w:firstLine="0"/>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大标宋简体" w:cs="方正大标宋简体" w:hint="eastAsia"/>
          <w:color w:val="000000"/>
          <w:sz w:val="44"/>
          <w:szCs w:val="44"/>
          <w:lang w:bidi="ar"/>
        </w:rPr>
        <w:t>邵东市人民政府办公室</w:t>
      </w:r>
    </w:p>
    <w:p w14:paraId="63189C59" w14:textId="77777777" w:rsidR="002712EA" w:rsidRDefault="00000000">
      <w:pPr>
        <w:widowControl/>
        <w:spacing w:line="700" w:lineRule="exact"/>
        <w:ind w:firstLineChars="0" w:firstLine="0"/>
        <w:jc w:val="center"/>
        <w:rPr>
          <w:rFonts w:ascii="方正小标宋简体" w:eastAsia="方正小标宋简体" w:hAnsi="方正小标宋简体" w:cs="方正小标宋简体" w:hint="eastAsia"/>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关于印发</w:t>
      </w:r>
      <w:proofErr w:type="gramStart"/>
      <w:r>
        <w:rPr>
          <w:rFonts w:ascii="方正小标宋简体" w:eastAsia="方正小标宋简体" w:hAnsi="方正小标宋简体" w:cs="方正小标宋简体" w:hint="eastAsia"/>
          <w:color w:val="000000" w:themeColor="text1"/>
          <w:kern w:val="0"/>
          <w:sz w:val="44"/>
          <w:szCs w:val="44"/>
        </w:rPr>
        <w:t>《</w:t>
      </w:r>
      <w:proofErr w:type="gramEnd"/>
      <w:r>
        <w:rPr>
          <w:rFonts w:ascii="方正小标宋简体" w:eastAsia="方正小标宋简体" w:hAnsi="方正小标宋简体" w:cs="方正小标宋简体" w:hint="eastAsia"/>
          <w:color w:val="000000" w:themeColor="text1"/>
          <w:kern w:val="0"/>
          <w:sz w:val="44"/>
          <w:szCs w:val="44"/>
        </w:rPr>
        <w:t>邵东市畜禽养殖禁养区限养区</w:t>
      </w:r>
    </w:p>
    <w:p w14:paraId="4232E683" w14:textId="77777777" w:rsidR="002712EA" w:rsidRDefault="00000000">
      <w:pPr>
        <w:widowControl/>
        <w:spacing w:line="700" w:lineRule="exact"/>
        <w:ind w:firstLineChars="0" w:firstLine="0"/>
        <w:jc w:val="center"/>
        <w:rPr>
          <w:rFonts w:ascii="方正小标宋简体" w:eastAsia="方正小标宋简体" w:hAnsi="方正小标宋简体" w:cs="方正小标宋简体" w:hint="eastAsia"/>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适养区规划方案</w:t>
      </w:r>
      <w:proofErr w:type="gramStart"/>
      <w:r>
        <w:rPr>
          <w:rFonts w:ascii="方正小标宋简体" w:eastAsia="方正小标宋简体" w:hAnsi="方正小标宋简体" w:cs="方正小标宋简体" w:hint="eastAsia"/>
          <w:color w:val="000000" w:themeColor="text1"/>
          <w:kern w:val="0"/>
          <w:sz w:val="44"/>
          <w:szCs w:val="44"/>
        </w:rPr>
        <w:t>》</w:t>
      </w:r>
      <w:proofErr w:type="gramEnd"/>
      <w:r>
        <w:rPr>
          <w:rFonts w:ascii="方正小标宋简体" w:eastAsia="方正小标宋简体" w:hAnsi="方正小标宋简体" w:cs="方正小标宋简体" w:hint="eastAsia"/>
          <w:color w:val="000000" w:themeColor="text1"/>
          <w:kern w:val="0"/>
          <w:sz w:val="44"/>
          <w:szCs w:val="44"/>
        </w:rPr>
        <w:t>的通知</w:t>
      </w:r>
    </w:p>
    <w:p w14:paraId="35C203CF" w14:textId="77777777" w:rsidR="002712EA" w:rsidRDefault="002712EA">
      <w:pPr>
        <w:widowControl/>
        <w:spacing w:line="520" w:lineRule="atLeast"/>
        <w:ind w:firstLineChars="0" w:firstLine="0"/>
        <w:jc w:val="left"/>
        <w:rPr>
          <w:rFonts w:ascii="仿宋_GB2312" w:eastAsia="仿宋_GB2312" w:hAnsi="仿宋_GB2312" w:cs="仿宋_GB2312" w:hint="eastAsia"/>
          <w:color w:val="000000" w:themeColor="text1"/>
          <w:kern w:val="0"/>
          <w:szCs w:val="32"/>
        </w:rPr>
      </w:pPr>
    </w:p>
    <w:p w14:paraId="6F18FC54" w14:textId="77777777" w:rsidR="002712EA" w:rsidRDefault="00000000">
      <w:pPr>
        <w:widowControl/>
        <w:spacing w:line="560" w:lineRule="exact"/>
        <w:ind w:firstLineChars="0" w:firstLine="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各乡镇人民政府、街道办事处、皇帝岭林场，市直有关单位，省、邵阳市驻</w:t>
      </w:r>
      <w:proofErr w:type="gramStart"/>
      <w:r>
        <w:rPr>
          <w:rFonts w:ascii="仿宋_GB2312" w:eastAsia="仿宋_GB2312" w:hAnsi="仿宋_GB2312" w:cs="仿宋_GB2312" w:hint="eastAsia"/>
          <w:color w:val="000000" w:themeColor="text1"/>
          <w:kern w:val="0"/>
          <w:szCs w:val="32"/>
        </w:rPr>
        <w:t>邵</w:t>
      </w:r>
      <w:proofErr w:type="gramEnd"/>
      <w:r>
        <w:rPr>
          <w:rFonts w:ascii="仿宋_GB2312" w:eastAsia="仿宋_GB2312" w:hAnsi="仿宋_GB2312" w:cs="仿宋_GB2312" w:hint="eastAsia"/>
          <w:color w:val="000000" w:themeColor="text1"/>
          <w:kern w:val="0"/>
          <w:szCs w:val="32"/>
        </w:rPr>
        <w:t>有关单位：</w:t>
      </w:r>
    </w:p>
    <w:p w14:paraId="2C952471" w14:textId="77777777" w:rsidR="002712EA" w:rsidRDefault="00000000">
      <w:pPr>
        <w:widowControl/>
        <w:spacing w:line="56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《邵东市畜禽养殖禁养区限养区适养区规划方案》已经市人民政府2024年第9次常务会议通过，现印发给你们，请认真贯彻执行。</w:t>
      </w:r>
    </w:p>
    <w:p w14:paraId="70A3DBB0" w14:textId="77777777" w:rsidR="002712EA" w:rsidRDefault="002712EA">
      <w:pPr>
        <w:widowControl/>
        <w:spacing w:line="560" w:lineRule="exact"/>
        <w:ind w:firstLine="640"/>
        <w:jc w:val="left"/>
        <w:rPr>
          <w:rFonts w:ascii="仿宋_GB2312" w:eastAsia="仿宋_GB2312" w:hAnsi="仿宋_GB2312" w:cs="仿宋_GB2312" w:hint="eastAsia"/>
          <w:color w:val="000000" w:themeColor="text1"/>
          <w:kern w:val="0"/>
          <w:szCs w:val="32"/>
        </w:rPr>
      </w:pPr>
    </w:p>
    <w:p w14:paraId="592FEA91" w14:textId="77777777" w:rsidR="002712EA" w:rsidRDefault="002712EA">
      <w:pPr>
        <w:widowControl/>
        <w:spacing w:line="560" w:lineRule="exact"/>
        <w:ind w:firstLine="640"/>
        <w:jc w:val="left"/>
        <w:rPr>
          <w:rFonts w:ascii="仿宋_GB2312" w:eastAsia="仿宋_GB2312" w:hAnsi="仿宋_GB2312" w:cs="仿宋_GB2312" w:hint="eastAsia"/>
          <w:color w:val="000000" w:themeColor="text1"/>
          <w:kern w:val="0"/>
          <w:szCs w:val="32"/>
        </w:rPr>
      </w:pPr>
    </w:p>
    <w:p w14:paraId="1E46B1CB" w14:textId="77777777" w:rsidR="002712EA" w:rsidRDefault="00000000">
      <w:pPr>
        <w:widowControl/>
        <w:spacing w:line="560" w:lineRule="exact"/>
        <w:ind w:leftChars="1100" w:left="3520" w:firstLineChars="0" w:firstLine="0"/>
        <w:jc w:val="center"/>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邵东市人民政府办公室</w:t>
      </w:r>
    </w:p>
    <w:p w14:paraId="191F688E" w14:textId="77777777" w:rsidR="002712EA" w:rsidRDefault="00000000">
      <w:pPr>
        <w:widowControl/>
        <w:spacing w:line="560" w:lineRule="exact"/>
        <w:ind w:leftChars="1100" w:left="3520" w:firstLineChars="0" w:firstLine="0"/>
        <w:jc w:val="center"/>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2024年6月24日</w:t>
      </w:r>
    </w:p>
    <w:p w14:paraId="64FABEB7" w14:textId="77777777" w:rsidR="002712EA" w:rsidRDefault="00000000">
      <w:pPr>
        <w:widowControl/>
        <w:spacing w:line="56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（此件公开发布）</w:t>
      </w:r>
    </w:p>
    <w:p w14:paraId="027355FD" w14:textId="77777777" w:rsidR="002712EA" w:rsidRDefault="00000000">
      <w:pPr>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br w:type="page"/>
      </w:r>
    </w:p>
    <w:p w14:paraId="1DB686C8" w14:textId="77777777" w:rsidR="002712EA" w:rsidRDefault="00000000">
      <w:pPr>
        <w:widowControl/>
        <w:spacing w:line="720" w:lineRule="exact"/>
        <w:ind w:firstLineChars="0" w:firstLine="0"/>
        <w:jc w:val="center"/>
        <w:rPr>
          <w:rFonts w:ascii="方正小标宋简体" w:eastAsia="方正小标宋简体" w:hAnsi="方正小标宋简体" w:cs="方正小标宋简体" w:hint="eastAsia"/>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邵东市畜禽养殖禁养区限养区适养区</w:t>
      </w:r>
    </w:p>
    <w:p w14:paraId="7E5D5F27" w14:textId="77777777" w:rsidR="002712EA" w:rsidRDefault="00000000">
      <w:pPr>
        <w:widowControl/>
        <w:spacing w:line="720" w:lineRule="exact"/>
        <w:ind w:firstLineChars="0" w:firstLine="0"/>
        <w:jc w:val="center"/>
        <w:rPr>
          <w:rFonts w:ascii="方正小标宋简体" w:eastAsia="方正小标宋简体" w:hAnsi="方正小标宋简体" w:cs="方正小标宋简体" w:hint="eastAsia"/>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划　定　方　案</w:t>
      </w:r>
    </w:p>
    <w:p w14:paraId="5F184A5C" w14:textId="77777777" w:rsidR="002712EA" w:rsidRDefault="002712EA">
      <w:pPr>
        <w:widowControl/>
        <w:spacing w:line="660" w:lineRule="atLeast"/>
        <w:ind w:firstLine="640"/>
        <w:jc w:val="center"/>
        <w:rPr>
          <w:rFonts w:ascii="仿宋_GB2312" w:eastAsia="仿宋_GB2312" w:hAnsi="仿宋_GB2312" w:cs="仿宋_GB2312" w:hint="eastAsia"/>
          <w:color w:val="000000" w:themeColor="text1"/>
          <w:kern w:val="0"/>
          <w:szCs w:val="32"/>
        </w:rPr>
      </w:pPr>
    </w:p>
    <w:p w14:paraId="41E99A8A"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为优化畜禽养殖业布局，进一步推进畜禽养殖污染防治，促进畜禽养殖业持续健康发展，切实保护和改善生态环境，根据《中华人民共和国环境保护法》《畜禽规模养殖污染防治条例》《畜禽养殖禁养区划定技术指南》和《生态环境部办公厅　农业农村部办公厅关于进一步规范畜禽养殖禁养区划定和管理促进生猪生产发展的通知》（</w:t>
      </w:r>
      <w:proofErr w:type="gramStart"/>
      <w:r>
        <w:rPr>
          <w:rFonts w:ascii="仿宋_GB2312" w:eastAsia="仿宋_GB2312" w:hAnsi="仿宋_GB2312" w:cs="仿宋_GB2312" w:hint="eastAsia"/>
          <w:color w:val="000000" w:themeColor="text1"/>
          <w:kern w:val="0"/>
          <w:szCs w:val="32"/>
        </w:rPr>
        <w:t>环办土壤</w:t>
      </w:r>
      <w:proofErr w:type="gramEnd"/>
      <w:r>
        <w:rPr>
          <w:rFonts w:ascii="仿宋_GB2312" w:eastAsia="仿宋_GB2312" w:hAnsi="仿宋_GB2312" w:cs="仿宋_GB2312" w:hint="eastAsia"/>
          <w:color w:val="000000" w:themeColor="text1"/>
          <w:kern w:val="0"/>
          <w:szCs w:val="32"/>
        </w:rPr>
        <w:t>〔2019〕55号）等法律法规和有关政策规定，结合我市实际，特制定本方案。</w:t>
      </w:r>
    </w:p>
    <w:p w14:paraId="39DA8849"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一、指导思想</w:t>
      </w:r>
    </w:p>
    <w:p w14:paraId="0FAB1E6E"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以习近平新时代中国特色社会主义思想为指导，全面深入贯彻党的二十大精神及习近平总书记系列重要讲话精神，以生态文明建设为统领，以改善生态环境质量为核心，以优化畜禽养殖产业布局、控制农业面源污染、保障生态环境安全为目的，促进全市畜禽养殖业持续健康发展，控制畜禽养殖业源头污染。通过科学划定畜禽禁养区、限养区、适养区，调整优化全市畜禽养殖业的生产布局，实现畜禽养殖废弃物减量化、无害化、资源化和生态化，切实达到保护和改善生态环境的目的。</w:t>
      </w:r>
    </w:p>
    <w:p w14:paraId="32BB277F"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二、划定原则</w:t>
      </w:r>
    </w:p>
    <w:p w14:paraId="50E6FC31"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（一）统筹兼顾原则。</w:t>
      </w:r>
      <w:r>
        <w:rPr>
          <w:rFonts w:ascii="仿宋_GB2312" w:eastAsia="仿宋_GB2312" w:hAnsi="仿宋_GB2312" w:cs="仿宋_GB2312" w:hint="eastAsia"/>
          <w:color w:val="000000" w:themeColor="text1"/>
          <w:kern w:val="0"/>
          <w:szCs w:val="32"/>
        </w:rPr>
        <w:t>结合区域河流水系、地形地貌特征，综合</w:t>
      </w:r>
      <w:proofErr w:type="gramStart"/>
      <w:r>
        <w:rPr>
          <w:rFonts w:ascii="仿宋_GB2312" w:eastAsia="仿宋_GB2312" w:hAnsi="仿宋_GB2312" w:cs="仿宋_GB2312" w:hint="eastAsia"/>
          <w:color w:val="000000" w:themeColor="text1"/>
          <w:kern w:val="0"/>
          <w:szCs w:val="32"/>
        </w:rPr>
        <w:t>考量</w:t>
      </w:r>
      <w:proofErr w:type="gramEnd"/>
      <w:r>
        <w:rPr>
          <w:rFonts w:ascii="仿宋_GB2312" w:eastAsia="仿宋_GB2312" w:hAnsi="仿宋_GB2312" w:cs="仿宋_GB2312" w:hint="eastAsia"/>
          <w:color w:val="000000" w:themeColor="text1"/>
          <w:kern w:val="0"/>
          <w:szCs w:val="32"/>
        </w:rPr>
        <w:t>水环境和土壤环境综合承载力，统筹兼顾畜禽养殖业</w:t>
      </w:r>
      <w:r>
        <w:rPr>
          <w:rFonts w:ascii="仿宋_GB2312" w:eastAsia="仿宋_GB2312" w:hAnsi="仿宋_GB2312" w:cs="仿宋_GB2312" w:hint="eastAsia"/>
          <w:color w:val="000000" w:themeColor="text1"/>
          <w:kern w:val="0"/>
          <w:szCs w:val="32"/>
        </w:rPr>
        <w:lastRenderedPageBreak/>
        <w:t>发展规划与畜禽养殖污染治理规划，坚持生态环境保护与畜禽养殖协调发展、统筹兼顾，促进畜禽养殖科学、可持续发展。</w:t>
      </w:r>
    </w:p>
    <w:p w14:paraId="4865C176"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（二）科学合理原则。</w:t>
      </w:r>
      <w:r>
        <w:rPr>
          <w:rFonts w:ascii="仿宋_GB2312" w:eastAsia="仿宋_GB2312" w:hAnsi="仿宋_GB2312" w:cs="仿宋_GB2312" w:hint="eastAsia"/>
          <w:color w:val="000000" w:themeColor="text1"/>
          <w:kern w:val="0"/>
          <w:szCs w:val="32"/>
        </w:rPr>
        <w:t>以依法保护生态环境、维护群众合法权益为基础，严格按照保护目的和需要，科学合理设置边界范围。国家法律法规和地方性法规之外的其他规章和规范性文件不作为禁养</w:t>
      </w:r>
      <w:proofErr w:type="gramStart"/>
      <w:r>
        <w:rPr>
          <w:rFonts w:ascii="仿宋_GB2312" w:eastAsia="仿宋_GB2312" w:hAnsi="仿宋_GB2312" w:cs="仿宋_GB2312" w:hint="eastAsia"/>
          <w:color w:val="000000" w:themeColor="text1"/>
          <w:kern w:val="0"/>
          <w:szCs w:val="32"/>
        </w:rPr>
        <w:t>区划定</w:t>
      </w:r>
      <w:proofErr w:type="gramEnd"/>
      <w:r>
        <w:rPr>
          <w:rFonts w:ascii="仿宋_GB2312" w:eastAsia="仿宋_GB2312" w:hAnsi="仿宋_GB2312" w:cs="仿宋_GB2312" w:hint="eastAsia"/>
          <w:color w:val="000000" w:themeColor="text1"/>
          <w:kern w:val="0"/>
          <w:szCs w:val="32"/>
        </w:rPr>
        <w:t>依据。</w:t>
      </w:r>
    </w:p>
    <w:p w14:paraId="02BBA7A9"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（三）突出重点原则。</w:t>
      </w:r>
      <w:r>
        <w:rPr>
          <w:rFonts w:ascii="仿宋_GB2312" w:eastAsia="仿宋_GB2312" w:hAnsi="仿宋_GB2312" w:cs="仿宋_GB2312" w:hint="eastAsia"/>
          <w:color w:val="000000" w:themeColor="text1"/>
          <w:kern w:val="0"/>
          <w:szCs w:val="32"/>
        </w:rPr>
        <w:t>以饮用水水源保护区、风景名胜区、自然保护区、城镇居民区、文化教育科学研究区等人口集中区域为重点。</w:t>
      </w:r>
    </w:p>
    <w:p w14:paraId="741B9F0F"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（四）划定从严原则。</w:t>
      </w:r>
      <w:r>
        <w:rPr>
          <w:rFonts w:ascii="仿宋_GB2312" w:eastAsia="仿宋_GB2312" w:hAnsi="仿宋_GB2312" w:cs="仿宋_GB2312" w:hint="eastAsia"/>
          <w:color w:val="000000" w:themeColor="text1"/>
          <w:kern w:val="0"/>
          <w:szCs w:val="32"/>
        </w:rPr>
        <w:t>同一区域属于不同畜禽养殖区域类型时，则按照要求较严者（禁养区严于限养区、限养区严于适养区）作为该区域的畜禽规模养殖划定类型。</w:t>
      </w:r>
    </w:p>
    <w:p w14:paraId="62B20A25"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（五）协调一致原则。</w:t>
      </w:r>
      <w:r>
        <w:rPr>
          <w:rFonts w:ascii="仿宋_GB2312" w:eastAsia="仿宋_GB2312" w:hAnsi="仿宋_GB2312" w:cs="仿宋_GB2312" w:hint="eastAsia"/>
          <w:color w:val="000000" w:themeColor="text1"/>
          <w:kern w:val="0"/>
          <w:szCs w:val="32"/>
        </w:rPr>
        <w:t>畜禽养殖区域划定与国土空间规划相协调，与经济社会发展需求和生态文明建设目标相适应，生态环境保护与畜禽养殖发展相一致。</w:t>
      </w:r>
    </w:p>
    <w:p w14:paraId="633C1C69"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三、划定类型</w:t>
      </w:r>
    </w:p>
    <w:p w14:paraId="141AC25C"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（一）畜禽养殖禁养区。</w:t>
      </w:r>
      <w:r>
        <w:rPr>
          <w:rFonts w:ascii="仿宋_GB2312" w:eastAsia="仿宋_GB2312" w:hAnsi="仿宋_GB2312" w:cs="仿宋_GB2312" w:hint="eastAsia"/>
          <w:color w:val="000000" w:themeColor="text1"/>
          <w:kern w:val="0"/>
          <w:szCs w:val="32"/>
        </w:rPr>
        <w:t>是指按照法律法规规章等规定，在指定范围内禁止规模化养殖畜禽的区域。</w:t>
      </w:r>
    </w:p>
    <w:p w14:paraId="619F1192"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（二）畜禽养殖限养区。</w:t>
      </w:r>
      <w:r>
        <w:rPr>
          <w:rFonts w:ascii="仿宋_GB2312" w:eastAsia="仿宋_GB2312" w:hAnsi="仿宋_GB2312" w:cs="仿宋_GB2312" w:hint="eastAsia"/>
          <w:color w:val="000000" w:themeColor="text1"/>
          <w:kern w:val="0"/>
          <w:szCs w:val="32"/>
        </w:rPr>
        <w:t>是指按照法律法规规章等规定，限定畜禽养殖数量，禁止新建、扩建规模化畜禽养殖场的区域。</w:t>
      </w:r>
    </w:p>
    <w:p w14:paraId="2E71F930"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（三）畜禽养殖适养区。</w:t>
      </w:r>
      <w:r>
        <w:rPr>
          <w:rFonts w:ascii="仿宋_GB2312" w:eastAsia="仿宋_GB2312" w:hAnsi="仿宋_GB2312" w:cs="仿宋_GB2312" w:hint="eastAsia"/>
          <w:color w:val="000000" w:themeColor="text1"/>
          <w:kern w:val="0"/>
          <w:szCs w:val="32"/>
        </w:rPr>
        <w:t>除禁养区、限养区以外的区域原则上可作为适宜畜禽规模化养殖的区域。</w:t>
      </w:r>
    </w:p>
    <w:p w14:paraId="65717689"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四、适用对象</w:t>
      </w:r>
    </w:p>
    <w:p w14:paraId="4CDD4647"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lastRenderedPageBreak/>
        <w:t>本方案适用对象为邵东市所辖的行政区划范围的畜禽规模养殖场，及规模以下养殖户和散养户。畜禽规模养殖场是指达到《湖南省畜禽规模养殖污染防治规定》第三条“单一品种畜禽养殖规模的划分标准”中明确的小型及以上规模的养殖场。</w:t>
      </w:r>
    </w:p>
    <w:p w14:paraId="5FDDE9D5"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五、划定区域</w:t>
      </w:r>
    </w:p>
    <w:p w14:paraId="5F607AA0" w14:textId="77777777" w:rsidR="002712EA" w:rsidRDefault="00000000">
      <w:pPr>
        <w:widowControl/>
        <w:spacing w:line="540" w:lineRule="exact"/>
        <w:ind w:firstLine="640"/>
        <w:rPr>
          <w:rFonts w:ascii="楷体_GB2312" w:eastAsia="楷体_GB2312" w:hAnsi="楷体_GB2312" w:cs="楷体_GB2312" w:hint="eastAsia"/>
          <w:b/>
          <w:bCs/>
          <w:color w:val="000000" w:themeColor="text1"/>
          <w:kern w:val="0"/>
          <w:szCs w:val="32"/>
        </w:rPr>
      </w:pPr>
      <w:r>
        <w:rPr>
          <w:rFonts w:ascii="楷体_GB2312" w:eastAsia="楷体_GB2312" w:hAnsi="楷体_GB2312" w:cs="楷体_GB2312" w:hint="eastAsia"/>
          <w:b/>
          <w:bCs/>
          <w:color w:val="000000" w:themeColor="text1"/>
          <w:kern w:val="0"/>
          <w:szCs w:val="32"/>
        </w:rPr>
        <w:t>（一）禁养区范围</w:t>
      </w:r>
    </w:p>
    <w:p w14:paraId="134D3BB2"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1.饮用水水源保护区，包括集中式饮用水水源一级保护区和二级保护区，不包括准保护区、未划定为饮用水水源保护区的农村饮用水取水点周边；</w:t>
      </w:r>
    </w:p>
    <w:p w14:paraId="14F7E0E7"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2.自然保护区的核心区和缓冲区，不包括实验区；</w:t>
      </w:r>
    </w:p>
    <w:p w14:paraId="047BAB1B"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3.风景名胜区，包括核心景区和非核心景区；</w:t>
      </w:r>
    </w:p>
    <w:p w14:paraId="175FCC3B"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4.城镇居民区、文化教育科学研究区等人口集中区域，不包括城镇建成区以外的区域；</w:t>
      </w:r>
    </w:p>
    <w:p w14:paraId="512AA75C"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5.法律法规规定的其他禁养区域，如永久基本农田、文物保护单位的保护范围。</w:t>
      </w:r>
    </w:p>
    <w:p w14:paraId="6C63498A" w14:textId="77777777" w:rsidR="002712EA" w:rsidRDefault="00000000">
      <w:pPr>
        <w:widowControl/>
        <w:spacing w:line="540" w:lineRule="exact"/>
        <w:ind w:firstLine="640"/>
        <w:rPr>
          <w:rFonts w:ascii="楷体_GB2312" w:eastAsia="楷体_GB2312" w:hAnsi="楷体_GB2312" w:cs="楷体_GB2312" w:hint="eastAsia"/>
          <w:b/>
          <w:bCs/>
          <w:color w:val="000000" w:themeColor="text1"/>
          <w:kern w:val="0"/>
          <w:szCs w:val="32"/>
        </w:rPr>
      </w:pPr>
      <w:r>
        <w:rPr>
          <w:rFonts w:ascii="楷体_GB2312" w:eastAsia="楷体_GB2312" w:hAnsi="楷体_GB2312" w:cs="楷体_GB2312" w:hint="eastAsia"/>
          <w:b/>
          <w:bCs/>
          <w:color w:val="000000" w:themeColor="text1"/>
          <w:kern w:val="0"/>
          <w:szCs w:val="32"/>
        </w:rPr>
        <w:t>（二）限养区范围</w:t>
      </w:r>
    </w:p>
    <w:p w14:paraId="38091A29"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1.饮用水水源准保护区；</w:t>
      </w:r>
    </w:p>
    <w:p w14:paraId="503D6771"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2.自然保护区实验区；</w:t>
      </w:r>
    </w:p>
    <w:p w14:paraId="5EB63E01"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3.生态保护红线；</w:t>
      </w:r>
    </w:p>
    <w:p w14:paraId="1075920B"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4.自然保护地；</w:t>
      </w:r>
    </w:p>
    <w:p w14:paraId="09707622"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5.文物保护单位周围的建设控制地带；</w:t>
      </w:r>
    </w:p>
    <w:p w14:paraId="3A70AA6D"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6.城镇建成区以外的城镇开发区域；</w:t>
      </w:r>
    </w:p>
    <w:p w14:paraId="0F46FAA8"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lastRenderedPageBreak/>
        <w:t>7.重点河道（邵水、蒸水、侧水、桐江）干流两岸200米以内的陆域。</w:t>
      </w:r>
    </w:p>
    <w:p w14:paraId="310AB774" w14:textId="77777777" w:rsidR="002712EA" w:rsidRDefault="00000000">
      <w:pPr>
        <w:widowControl/>
        <w:spacing w:line="540" w:lineRule="exact"/>
        <w:ind w:firstLine="640"/>
        <w:rPr>
          <w:rFonts w:ascii="楷体_GB2312" w:eastAsia="楷体_GB2312" w:hAnsi="楷体_GB2312" w:cs="楷体_GB2312" w:hint="eastAsia"/>
          <w:b/>
          <w:bCs/>
          <w:color w:val="000000" w:themeColor="text1"/>
          <w:kern w:val="0"/>
          <w:szCs w:val="32"/>
        </w:rPr>
      </w:pPr>
      <w:r>
        <w:rPr>
          <w:rFonts w:ascii="楷体_GB2312" w:eastAsia="楷体_GB2312" w:hAnsi="楷体_GB2312" w:cs="楷体_GB2312" w:hint="eastAsia"/>
          <w:b/>
          <w:bCs/>
          <w:color w:val="000000" w:themeColor="text1"/>
          <w:kern w:val="0"/>
          <w:szCs w:val="32"/>
        </w:rPr>
        <w:t>（三）适养区范围</w:t>
      </w:r>
    </w:p>
    <w:p w14:paraId="032CAE5E"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禁养区和限养区以外的其他区域。</w:t>
      </w:r>
    </w:p>
    <w:p w14:paraId="6429FBBA"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六、管理要求</w:t>
      </w:r>
    </w:p>
    <w:p w14:paraId="39AAF586" w14:textId="77777777" w:rsidR="002712EA" w:rsidRDefault="00000000">
      <w:pPr>
        <w:widowControl/>
        <w:spacing w:line="540" w:lineRule="exact"/>
        <w:ind w:firstLine="640"/>
        <w:rPr>
          <w:rFonts w:ascii="楷体_GB2312" w:eastAsia="楷体_GB2312" w:hAnsi="楷体_GB2312" w:cs="楷体_GB2312" w:hint="eastAsia"/>
          <w:b/>
          <w:bCs/>
          <w:color w:val="000000" w:themeColor="text1"/>
          <w:kern w:val="0"/>
          <w:szCs w:val="32"/>
        </w:rPr>
      </w:pPr>
      <w:r>
        <w:rPr>
          <w:rFonts w:ascii="楷体_GB2312" w:eastAsia="楷体_GB2312" w:hAnsi="楷体_GB2312" w:cs="楷体_GB2312" w:hint="eastAsia"/>
          <w:b/>
          <w:bCs/>
          <w:color w:val="000000" w:themeColor="text1"/>
          <w:kern w:val="0"/>
          <w:szCs w:val="32"/>
        </w:rPr>
        <w:t>（一）禁养区管理要求</w:t>
      </w:r>
    </w:p>
    <w:p w14:paraId="6E99F62F"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1.在禁养区内，禁止建设规模养殖场和养殖小区。</w:t>
      </w:r>
    </w:p>
    <w:p w14:paraId="2386677B"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2.位于禁养区内的已建成的规模养殖场和养殖小区，应限期关闭退出或者将养殖规模控制在《湖南省畜禽规模养殖污染防治规定》第三条“湖南省单一品种畜禽养殖规模划分标准”中明确的小型养殖场以下，并且做好污染防治措施，禁止排放污染物。</w:t>
      </w:r>
    </w:p>
    <w:p w14:paraId="763C9DA4" w14:textId="77777777" w:rsidR="002712EA" w:rsidRDefault="00000000">
      <w:pPr>
        <w:widowControl/>
        <w:spacing w:line="540" w:lineRule="exact"/>
        <w:ind w:firstLine="640"/>
        <w:rPr>
          <w:rFonts w:ascii="楷体_GB2312" w:eastAsia="楷体_GB2312" w:hAnsi="楷体_GB2312" w:cs="楷体_GB2312" w:hint="eastAsia"/>
          <w:b/>
          <w:bCs/>
          <w:color w:val="000000" w:themeColor="text1"/>
          <w:kern w:val="0"/>
          <w:szCs w:val="32"/>
        </w:rPr>
      </w:pPr>
      <w:r>
        <w:rPr>
          <w:rFonts w:ascii="楷体_GB2312" w:eastAsia="楷体_GB2312" w:hAnsi="楷体_GB2312" w:cs="楷体_GB2312" w:hint="eastAsia"/>
          <w:b/>
          <w:bCs/>
          <w:color w:val="000000" w:themeColor="text1"/>
          <w:kern w:val="0"/>
          <w:szCs w:val="32"/>
        </w:rPr>
        <w:t>（二）限养区管理要求</w:t>
      </w:r>
    </w:p>
    <w:p w14:paraId="0E78931E" w14:textId="77777777" w:rsidR="002712EA" w:rsidRDefault="00000000">
      <w:pPr>
        <w:widowControl/>
        <w:spacing w:line="540" w:lineRule="exact"/>
        <w:ind w:firstLine="640"/>
        <w:rPr>
          <w:rFonts w:ascii="仿宋_GB2312" w:eastAsia="仿宋_GB2312" w:hAnsi="仿宋_GB2312" w:cs="仿宋_GB2312" w:hint="eastAsia"/>
          <w:b/>
          <w:bCs/>
          <w:color w:val="000000" w:themeColor="text1"/>
          <w:kern w:val="0"/>
          <w:szCs w:val="32"/>
        </w:rPr>
      </w:pPr>
      <w:r>
        <w:rPr>
          <w:rFonts w:ascii="仿宋_GB2312" w:eastAsia="仿宋_GB2312" w:hAnsi="仿宋_GB2312" w:cs="仿宋_GB2312" w:hint="eastAsia"/>
          <w:b/>
          <w:bCs/>
          <w:color w:val="000000" w:themeColor="text1"/>
          <w:kern w:val="0"/>
          <w:szCs w:val="32"/>
        </w:rPr>
        <w:t>1.通用性要求</w:t>
      </w:r>
    </w:p>
    <w:p w14:paraId="42B0A729" w14:textId="77777777" w:rsidR="002712EA" w:rsidRDefault="00000000">
      <w:pPr>
        <w:pStyle w:val="-WJG"/>
        <w:spacing w:line="540" w:lineRule="exact"/>
        <w:ind w:firstLineChars="200" w:firstLine="64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（1）限养区内要遵循总量适度、动态平衡、优化结构的原则，实行养殖总量控制，原则上不得新建、扩建各类畜禽养殖场、养殖小区。</w:t>
      </w:r>
    </w:p>
    <w:p w14:paraId="0E09B1C1" w14:textId="77777777" w:rsidR="002712EA" w:rsidRDefault="00000000">
      <w:pPr>
        <w:pStyle w:val="-WJG"/>
        <w:spacing w:line="540" w:lineRule="exact"/>
        <w:ind w:firstLineChars="200" w:firstLine="64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（2）限养区内现有规模畜禽养殖场（养殖小区）必须采取排泄物减量化、无害化、资源化措施，建设达标粪污处理设施，严禁</w:t>
      </w:r>
      <w:proofErr w:type="gramStart"/>
      <w:r>
        <w:rPr>
          <w:rFonts w:ascii="仿宋_GB2312" w:eastAsia="仿宋_GB2312" w:hAnsi="仿宋_GB2312" w:cs="仿宋_GB2312" w:hint="eastAsia"/>
          <w:color w:val="000000" w:themeColor="text1"/>
          <w:sz w:val="32"/>
          <w:szCs w:val="32"/>
        </w:rPr>
        <w:t>粪污直排</w:t>
      </w:r>
      <w:proofErr w:type="gramEnd"/>
      <w:r>
        <w:rPr>
          <w:rFonts w:ascii="仿宋_GB2312" w:eastAsia="仿宋_GB2312" w:hAnsi="仿宋_GB2312" w:cs="仿宋_GB2312" w:hint="eastAsia"/>
          <w:color w:val="000000" w:themeColor="text1"/>
          <w:sz w:val="32"/>
          <w:szCs w:val="32"/>
        </w:rPr>
        <w:t>；不能建成达标粪污处理的，依法处罚直至关闭。</w:t>
      </w:r>
    </w:p>
    <w:p w14:paraId="24F4F522" w14:textId="77777777" w:rsidR="002712EA" w:rsidRDefault="00000000">
      <w:pPr>
        <w:widowControl/>
        <w:spacing w:line="540" w:lineRule="exact"/>
        <w:ind w:firstLine="640"/>
        <w:rPr>
          <w:rFonts w:ascii="仿宋_GB2312" w:eastAsia="仿宋_GB2312" w:hAnsi="仿宋_GB2312" w:cs="仿宋_GB2312" w:hint="eastAsia"/>
          <w:color w:val="000000" w:themeColor="text1"/>
          <w:szCs w:val="32"/>
        </w:rPr>
      </w:pPr>
      <w:r>
        <w:rPr>
          <w:rFonts w:ascii="仿宋_GB2312" w:eastAsia="仿宋_GB2312" w:hAnsi="仿宋_GB2312" w:cs="仿宋_GB2312" w:hint="eastAsia"/>
          <w:color w:val="000000" w:themeColor="text1"/>
          <w:szCs w:val="32"/>
        </w:rPr>
        <w:t>（3）限养区内现有的各类规模养殖场（养殖小区）排放污染物应符合国家及地方的控制标准和总量控制要求。</w:t>
      </w:r>
    </w:p>
    <w:p w14:paraId="646CDFC8" w14:textId="77777777" w:rsidR="002712EA" w:rsidRDefault="00000000">
      <w:pPr>
        <w:widowControl/>
        <w:spacing w:line="540" w:lineRule="exact"/>
        <w:ind w:firstLine="640"/>
        <w:rPr>
          <w:rFonts w:ascii="仿宋_GB2312" w:eastAsia="仿宋_GB2312" w:hAnsi="仿宋_GB2312" w:cs="仿宋_GB2312" w:hint="eastAsia"/>
          <w:b/>
          <w:bCs/>
          <w:color w:val="000000" w:themeColor="text1"/>
          <w:kern w:val="0"/>
          <w:szCs w:val="32"/>
        </w:rPr>
      </w:pPr>
      <w:r>
        <w:rPr>
          <w:rFonts w:ascii="仿宋_GB2312" w:eastAsia="仿宋_GB2312" w:hAnsi="仿宋_GB2312" w:cs="仿宋_GB2312" w:hint="eastAsia"/>
          <w:b/>
          <w:bCs/>
          <w:color w:val="000000" w:themeColor="text1"/>
          <w:kern w:val="0"/>
          <w:szCs w:val="32"/>
        </w:rPr>
        <w:t>2.针对性管理要求</w:t>
      </w:r>
    </w:p>
    <w:p w14:paraId="3FD1F1F8"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lastRenderedPageBreak/>
        <w:t>（1）饮用水水源准保护区限养区</w:t>
      </w:r>
    </w:p>
    <w:p w14:paraId="743C89A9"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①禁止新建、扩建排放水污染物的畜禽养殖场建设项目；</w:t>
      </w:r>
    </w:p>
    <w:p w14:paraId="517A1F0A"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②改建畜禽养殖场建设项目，不得增加排污量；</w:t>
      </w:r>
    </w:p>
    <w:p w14:paraId="5505AC35"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③法律法规和农业农村、生态环境等主管部门对饮用水水源保护区管理有新规定的，从其新</w:t>
      </w:r>
      <w:proofErr w:type="gramStart"/>
      <w:r>
        <w:rPr>
          <w:rFonts w:ascii="仿宋_GB2312" w:eastAsia="仿宋_GB2312" w:hAnsi="仿宋_GB2312" w:cs="仿宋_GB2312" w:hint="eastAsia"/>
          <w:color w:val="000000" w:themeColor="text1"/>
          <w:kern w:val="0"/>
          <w:szCs w:val="32"/>
        </w:rPr>
        <w:t>规</w:t>
      </w:r>
      <w:proofErr w:type="gramEnd"/>
      <w:r>
        <w:rPr>
          <w:rFonts w:ascii="仿宋_GB2312" w:eastAsia="仿宋_GB2312" w:hAnsi="仿宋_GB2312" w:cs="仿宋_GB2312" w:hint="eastAsia"/>
          <w:color w:val="000000" w:themeColor="text1"/>
          <w:kern w:val="0"/>
          <w:szCs w:val="32"/>
        </w:rPr>
        <w:t>要求。</w:t>
      </w:r>
    </w:p>
    <w:p w14:paraId="55AC4478"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（2）自然保护区实验区限养区</w:t>
      </w:r>
    </w:p>
    <w:p w14:paraId="4CCB99EB"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①禁止新建、扩建排放污染物的畜禽养殖场建设项目；</w:t>
      </w:r>
    </w:p>
    <w:p w14:paraId="39DC9C8C"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②改建畜禽养殖场建设项目，不得增加排污量；</w:t>
      </w:r>
    </w:p>
    <w:p w14:paraId="5F6E67F8"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③法律法规和农业农村、林业等主管部门对自然保护区管理有新规定的，从其新</w:t>
      </w:r>
      <w:proofErr w:type="gramStart"/>
      <w:r>
        <w:rPr>
          <w:rFonts w:ascii="仿宋_GB2312" w:eastAsia="仿宋_GB2312" w:hAnsi="仿宋_GB2312" w:cs="仿宋_GB2312" w:hint="eastAsia"/>
          <w:color w:val="000000" w:themeColor="text1"/>
          <w:kern w:val="0"/>
          <w:szCs w:val="32"/>
        </w:rPr>
        <w:t>规</w:t>
      </w:r>
      <w:proofErr w:type="gramEnd"/>
      <w:r>
        <w:rPr>
          <w:rFonts w:ascii="仿宋_GB2312" w:eastAsia="仿宋_GB2312" w:hAnsi="仿宋_GB2312" w:cs="仿宋_GB2312" w:hint="eastAsia"/>
          <w:color w:val="000000" w:themeColor="text1"/>
          <w:kern w:val="0"/>
          <w:szCs w:val="32"/>
        </w:rPr>
        <w:t>要求。</w:t>
      </w:r>
    </w:p>
    <w:p w14:paraId="29978F61"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（3）生态保护红线和自然保护地限养区</w:t>
      </w:r>
    </w:p>
    <w:p w14:paraId="36644080"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①除国家重大战略项目外，禁止新建规模化种植养殖设施，原住居民和其他合法权益主体可在不扩大现有水产养殖规模和放牧强度（符合草</w:t>
      </w:r>
      <w:proofErr w:type="gramStart"/>
      <w:r>
        <w:rPr>
          <w:rFonts w:ascii="仿宋_GB2312" w:eastAsia="仿宋_GB2312" w:hAnsi="仿宋_GB2312" w:cs="仿宋_GB2312" w:hint="eastAsia"/>
          <w:color w:val="000000" w:themeColor="text1"/>
          <w:kern w:val="0"/>
          <w:szCs w:val="32"/>
        </w:rPr>
        <w:t>畜平衡</w:t>
      </w:r>
      <w:proofErr w:type="gramEnd"/>
      <w:r>
        <w:rPr>
          <w:rFonts w:ascii="仿宋_GB2312" w:eastAsia="仿宋_GB2312" w:hAnsi="仿宋_GB2312" w:cs="仿宋_GB2312" w:hint="eastAsia"/>
          <w:color w:val="000000" w:themeColor="text1"/>
          <w:kern w:val="0"/>
          <w:szCs w:val="32"/>
        </w:rPr>
        <w:t>管理规定）的前提下，开展种植养殖等活动；</w:t>
      </w:r>
    </w:p>
    <w:p w14:paraId="3F0B342F"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②项目建设应征</w:t>
      </w:r>
      <w:proofErr w:type="gramStart"/>
      <w:r>
        <w:rPr>
          <w:rFonts w:ascii="仿宋_GB2312" w:eastAsia="仿宋_GB2312" w:hAnsi="仿宋_GB2312" w:cs="仿宋_GB2312" w:hint="eastAsia"/>
          <w:color w:val="000000" w:themeColor="text1"/>
          <w:kern w:val="0"/>
          <w:szCs w:val="32"/>
        </w:rPr>
        <w:t>求农业</w:t>
      </w:r>
      <w:proofErr w:type="gramEnd"/>
      <w:r>
        <w:rPr>
          <w:rFonts w:ascii="仿宋_GB2312" w:eastAsia="仿宋_GB2312" w:hAnsi="仿宋_GB2312" w:cs="仿宋_GB2312" w:hint="eastAsia"/>
          <w:color w:val="000000" w:themeColor="text1"/>
          <w:kern w:val="0"/>
          <w:szCs w:val="32"/>
        </w:rPr>
        <w:t>农村、林业和自然资源等主管部门的意见；</w:t>
      </w:r>
    </w:p>
    <w:p w14:paraId="2BDDC611"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③法律法规和农业农村、自然资源等主管部门对生态保护红线自然保护地管理有新规定的，从其新</w:t>
      </w:r>
      <w:proofErr w:type="gramStart"/>
      <w:r>
        <w:rPr>
          <w:rFonts w:ascii="仿宋_GB2312" w:eastAsia="仿宋_GB2312" w:hAnsi="仿宋_GB2312" w:cs="仿宋_GB2312" w:hint="eastAsia"/>
          <w:color w:val="000000" w:themeColor="text1"/>
          <w:kern w:val="0"/>
          <w:szCs w:val="32"/>
        </w:rPr>
        <w:t>规</w:t>
      </w:r>
      <w:proofErr w:type="gramEnd"/>
      <w:r>
        <w:rPr>
          <w:rFonts w:ascii="仿宋_GB2312" w:eastAsia="仿宋_GB2312" w:hAnsi="仿宋_GB2312" w:cs="仿宋_GB2312" w:hint="eastAsia"/>
          <w:color w:val="000000" w:themeColor="text1"/>
          <w:kern w:val="0"/>
          <w:szCs w:val="32"/>
        </w:rPr>
        <w:t>要求。</w:t>
      </w:r>
    </w:p>
    <w:p w14:paraId="76044F97"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（4）重点河道干流两岸限养区</w:t>
      </w:r>
    </w:p>
    <w:p w14:paraId="1E6E56C2"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①禁止新建、扩建排放水污染物的畜禽养殖场建设项目；</w:t>
      </w:r>
    </w:p>
    <w:p w14:paraId="0A03108B"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②改建畜禽养殖场建设项目，不得增加排污量；</w:t>
      </w:r>
    </w:p>
    <w:p w14:paraId="329E6396"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lastRenderedPageBreak/>
        <w:t>③法律法规和农业农村、水利等主管部门对河道两岸区域管理有新规定的，从其新</w:t>
      </w:r>
      <w:proofErr w:type="gramStart"/>
      <w:r>
        <w:rPr>
          <w:rFonts w:ascii="仿宋_GB2312" w:eastAsia="仿宋_GB2312" w:hAnsi="仿宋_GB2312" w:cs="仿宋_GB2312" w:hint="eastAsia"/>
          <w:color w:val="000000" w:themeColor="text1"/>
          <w:kern w:val="0"/>
          <w:szCs w:val="32"/>
        </w:rPr>
        <w:t>规</w:t>
      </w:r>
      <w:proofErr w:type="gramEnd"/>
      <w:r>
        <w:rPr>
          <w:rFonts w:ascii="仿宋_GB2312" w:eastAsia="仿宋_GB2312" w:hAnsi="仿宋_GB2312" w:cs="仿宋_GB2312" w:hint="eastAsia"/>
          <w:color w:val="000000" w:themeColor="text1"/>
          <w:kern w:val="0"/>
          <w:szCs w:val="32"/>
        </w:rPr>
        <w:t>要求。</w:t>
      </w:r>
    </w:p>
    <w:p w14:paraId="015F4916"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（5）文物保护单位周围建设控制地带限养区</w:t>
      </w:r>
    </w:p>
    <w:p w14:paraId="3F83916E"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①禁止新建、扩建污染文物保护单位及其环境的畜禽养殖场建设项目；</w:t>
      </w:r>
    </w:p>
    <w:p w14:paraId="356F0AE5"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②改建畜禽养殖场建设项目，不得影响文物保护单位安全及其环境；</w:t>
      </w:r>
    </w:p>
    <w:p w14:paraId="0001C1A5"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③法律法规和农业农村、文物保护等主管部门对文物保护单位周围建设控制地带管理有新规定的，从其新</w:t>
      </w:r>
      <w:proofErr w:type="gramStart"/>
      <w:r>
        <w:rPr>
          <w:rFonts w:ascii="仿宋_GB2312" w:eastAsia="仿宋_GB2312" w:hAnsi="仿宋_GB2312" w:cs="仿宋_GB2312" w:hint="eastAsia"/>
          <w:color w:val="000000" w:themeColor="text1"/>
          <w:kern w:val="0"/>
          <w:szCs w:val="32"/>
        </w:rPr>
        <w:t>规</w:t>
      </w:r>
      <w:proofErr w:type="gramEnd"/>
      <w:r>
        <w:rPr>
          <w:rFonts w:ascii="仿宋_GB2312" w:eastAsia="仿宋_GB2312" w:hAnsi="仿宋_GB2312" w:cs="仿宋_GB2312" w:hint="eastAsia"/>
          <w:color w:val="000000" w:themeColor="text1"/>
          <w:kern w:val="0"/>
          <w:szCs w:val="32"/>
        </w:rPr>
        <w:t>要求。</w:t>
      </w:r>
    </w:p>
    <w:p w14:paraId="5E6E913C"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（6）城镇建成区以外的城镇开发区域限养区</w:t>
      </w:r>
    </w:p>
    <w:p w14:paraId="52C690C6"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①禁止新建、扩建畜禽养殖场建设项目；</w:t>
      </w:r>
    </w:p>
    <w:p w14:paraId="26ACEBCD"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②养殖场应服从区域规划实施，根据城镇开发进度支持配合征迁工作；</w:t>
      </w:r>
    </w:p>
    <w:p w14:paraId="52DED237"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③法律法规和农业农村、林业等主管部门对城镇建成区以外的城镇开发区域管理有新规定的，从其新</w:t>
      </w:r>
      <w:proofErr w:type="gramStart"/>
      <w:r>
        <w:rPr>
          <w:rFonts w:ascii="仿宋_GB2312" w:eastAsia="仿宋_GB2312" w:hAnsi="仿宋_GB2312" w:cs="仿宋_GB2312" w:hint="eastAsia"/>
          <w:color w:val="000000" w:themeColor="text1"/>
          <w:kern w:val="0"/>
          <w:szCs w:val="32"/>
        </w:rPr>
        <w:t>规</w:t>
      </w:r>
      <w:proofErr w:type="gramEnd"/>
      <w:r>
        <w:rPr>
          <w:rFonts w:ascii="仿宋_GB2312" w:eastAsia="仿宋_GB2312" w:hAnsi="仿宋_GB2312" w:cs="仿宋_GB2312" w:hint="eastAsia"/>
          <w:color w:val="000000" w:themeColor="text1"/>
          <w:kern w:val="0"/>
          <w:szCs w:val="32"/>
        </w:rPr>
        <w:t>要求。</w:t>
      </w:r>
    </w:p>
    <w:p w14:paraId="49337168" w14:textId="77777777" w:rsidR="002712EA" w:rsidRDefault="00000000">
      <w:pPr>
        <w:widowControl/>
        <w:spacing w:line="540" w:lineRule="exact"/>
        <w:ind w:firstLine="640"/>
        <w:rPr>
          <w:rFonts w:ascii="楷体_GB2312" w:eastAsia="楷体_GB2312" w:hAnsi="楷体_GB2312" w:cs="楷体_GB2312" w:hint="eastAsia"/>
          <w:b/>
          <w:bCs/>
          <w:color w:val="000000" w:themeColor="text1"/>
          <w:kern w:val="0"/>
          <w:szCs w:val="32"/>
        </w:rPr>
      </w:pPr>
      <w:r>
        <w:rPr>
          <w:rFonts w:ascii="楷体_GB2312" w:eastAsia="楷体_GB2312" w:hAnsi="楷体_GB2312" w:cs="楷体_GB2312" w:hint="eastAsia"/>
          <w:b/>
          <w:bCs/>
          <w:color w:val="000000" w:themeColor="text1"/>
          <w:kern w:val="0"/>
          <w:szCs w:val="32"/>
        </w:rPr>
        <w:t>（三）适养区管理要求</w:t>
      </w:r>
    </w:p>
    <w:p w14:paraId="55926C0F" w14:textId="77777777" w:rsidR="002712EA" w:rsidRDefault="00000000">
      <w:pPr>
        <w:spacing w:line="540" w:lineRule="exact"/>
        <w:ind w:firstLine="640"/>
        <w:rPr>
          <w:rFonts w:ascii="仿宋_GB2312" w:eastAsia="仿宋_GB2312" w:hAnsi="仿宋_GB2312" w:cs="仿宋_GB2312" w:hint="eastAsia"/>
          <w:color w:val="000000" w:themeColor="text1"/>
          <w:szCs w:val="32"/>
        </w:rPr>
      </w:pPr>
      <w:r>
        <w:rPr>
          <w:rFonts w:ascii="仿宋_GB2312" w:eastAsia="仿宋_GB2312" w:hAnsi="仿宋_GB2312" w:cs="仿宋_GB2312" w:hint="eastAsia"/>
          <w:color w:val="000000" w:themeColor="text1"/>
          <w:szCs w:val="32"/>
        </w:rPr>
        <w:t>1.在适养区内新建、改建、扩建畜禽养殖场（养殖小区），应当遵守国家相关的法律法规，通过相关部门审批，并根据国家有关建设项目环境保护管理规定，开展环境影响评价。应以区域环境承载力为基础，遵循总量适度、动态平衡、优化结构的原则，科学合理地确定饲养畜禽品种、规模，不得影响居住环境和生态环境。</w:t>
      </w:r>
    </w:p>
    <w:p w14:paraId="6D486E03" w14:textId="77777777" w:rsidR="002712EA" w:rsidRDefault="00000000">
      <w:pPr>
        <w:spacing w:line="540" w:lineRule="exact"/>
        <w:ind w:firstLine="640"/>
        <w:rPr>
          <w:rFonts w:ascii="仿宋_GB2312" w:eastAsia="仿宋_GB2312" w:hAnsi="仿宋_GB2312" w:cs="仿宋_GB2312" w:hint="eastAsia"/>
          <w:color w:val="000000" w:themeColor="text1"/>
          <w:szCs w:val="32"/>
        </w:rPr>
      </w:pPr>
      <w:r>
        <w:rPr>
          <w:rFonts w:ascii="仿宋_GB2312" w:eastAsia="仿宋_GB2312" w:hAnsi="仿宋_GB2312" w:cs="仿宋_GB2312" w:hint="eastAsia"/>
          <w:color w:val="000000" w:themeColor="text1"/>
          <w:szCs w:val="32"/>
        </w:rPr>
        <w:t>2.在适养区内新建、改建、扩建畜禽养殖场（养殖小区），</w:t>
      </w:r>
      <w:r>
        <w:rPr>
          <w:rFonts w:ascii="仿宋_GB2312" w:eastAsia="仿宋_GB2312" w:hAnsi="仿宋_GB2312" w:cs="仿宋_GB2312" w:hint="eastAsia"/>
          <w:color w:val="000000" w:themeColor="text1"/>
          <w:szCs w:val="32"/>
        </w:rPr>
        <w:lastRenderedPageBreak/>
        <w:t>应当符合城镇土地利用总体规划、畜牧业发展规划，畜禽养殖污染防治规划，满足动物防疫条件，实施雨污分流、固液分离、粪便污水资源化利用技术。新建、改建、扩建畜禽养殖场（养殖小区），严格执行环境保护“三同时”制度，其污染物排放量不得超过国家和地方规定的排放标准和总量控制要求。</w:t>
      </w:r>
    </w:p>
    <w:p w14:paraId="0EB15EE1" w14:textId="77777777" w:rsidR="002712EA" w:rsidRDefault="00000000">
      <w:pPr>
        <w:spacing w:line="540" w:lineRule="exact"/>
        <w:ind w:firstLine="640"/>
        <w:rPr>
          <w:rFonts w:ascii="仿宋_GB2312" w:eastAsia="仿宋_GB2312" w:hAnsi="仿宋_GB2312" w:cs="仿宋_GB2312" w:hint="eastAsia"/>
          <w:color w:val="000000" w:themeColor="text1"/>
          <w:szCs w:val="32"/>
        </w:rPr>
      </w:pPr>
      <w:r>
        <w:rPr>
          <w:rFonts w:ascii="仿宋_GB2312" w:eastAsia="仿宋_GB2312" w:hAnsi="仿宋_GB2312" w:cs="仿宋_GB2312" w:hint="eastAsia"/>
          <w:color w:val="000000" w:themeColor="text1"/>
          <w:szCs w:val="32"/>
        </w:rPr>
        <w:t>3.在适养区内的畜禽养殖场（养殖小区），应当采取科学的饲养方式和废弃物处理工艺等有效措施，切实加强畜禽养殖粪污资源化利用技术指导与服务，大力推行标准化养殖、节水养殖、水禽旱养等生态健康养殖模式，减少畜禽养殖废弃物的产生量和向环境的排放量。</w:t>
      </w:r>
    </w:p>
    <w:p w14:paraId="4591A5E5"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七、保障措施</w:t>
      </w:r>
    </w:p>
    <w:p w14:paraId="7F9618F4"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（一）加强领导，明确责任分工。</w:t>
      </w:r>
      <w:r>
        <w:rPr>
          <w:rFonts w:ascii="仿宋_GB2312" w:eastAsia="仿宋_GB2312" w:hAnsi="仿宋_GB2312" w:cs="仿宋_GB2312" w:hint="eastAsia"/>
          <w:color w:val="000000" w:themeColor="text1"/>
          <w:kern w:val="0"/>
          <w:szCs w:val="32"/>
        </w:rPr>
        <w:t>各乡镇（街道、场）要按照属地管理原则，严格执行区域划定规定，加强畜禽养殖监管，做好禁养区、限养区、适养区畜禽养殖规范整治工作。农业农村、发改、生态环境、自然资源、水利、</w:t>
      </w:r>
      <w:proofErr w:type="gramStart"/>
      <w:r>
        <w:rPr>
          <w:rFonts w:ascii="仿宋_GB2312" w:eastAsia="仿宋_GB2312" w:hAnsi="仿宋_GB2312" w:cs="仿宋_GB2312" w:hint="eastAsia"/>
          <w:color w:val="000000" w:themeColor="text1"/>
          <w:kern w:val="0"/>
          <w:szCs w:val="32"/>
        </w:rPr>
        <w:t>文旅广</w:t>
      </w:r>
      <w:proofErr w:type="gramEnd"/>
      <w:r>
        <w:rPr>
          <w:rFonts w:ascii="仿宋_GB2312" w:eastAsia="仿宋_GB2312" w:hAnsi="仿宋_GB2312" w:cs="仿宋_GB2312" w:hint="eastAsia"/>
          <w:color w:val="000000" w:themeColor="text1"/>
          <w:kern w:val="0"/>
          <w:szCs w:val="32"/>
        </w:rPr>
        <w:t>体等相关主管部门要建立联动审查会商机制，在规划、立项审查畜禽养殖项目时，根据本方案要求严格审查。</w:t>
      </w:r>
    </w:p>
    <w:p w14:paraId="3C4855E2"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（二）严格准入，加强源头管控。</w:t>
      </w:r>
      <w:r>
        <w:rPr>
          <w:rFonts w:ascii="仿宋_GB2312" w:eastAsia="仿宋_GB2312" w:hAnsi="仿宋_GB2312" w:cs="仿宋_GB2312" w:hint="eastAsia"/>
          <w:color w:val="000000" w:themeColor="text1"/>
          <w:kern w:val="0"/>
          <w:szCs w:val="32"/>
        </w:rPr>
        <w:t>新建、扩建、改建畜禽养殖项目符合国土空间规划和畜禽养殖业发展规划要求，满足动物防疫条件，并按程序进行环境影响评价，确保污染物排放不超过排放标准和总量要求。严格执行“控量减污”规定，对水环境质量不能达到功能区要求，化学需氧量、氨氮等指标超标且畜禽养殖过载的区域，农业农村部门制定畜禽养殖总量逐</w:t>
      </w:r>
      <w:r>
        <w:rPr>
          <w:rFonts w:ascii="仿宋_GB2312" w:eastAsia="仿宋_GB2312" w:hAnsi="仿宋_GB2312" w:cs="仿宋_GB2312" w:hint="eastAsia"/>
          <w:color w:val="000000" w:themeColor="text1"/>
          <w:kern w:val="0"/>
          <w:szCs w:val="32"/>
        </w:rPr>
        <w:lastRenderedPageBreak/>
        <w:t>年削减计划；对未能完成年度削减任务的区域，暂停办理该区域内新增畜禽养殖项目的相关审批手续。</w:t>
      </w:r>
    </w:p>
    <w:p w14:paraId="3E1381B7"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楷体_GB2312" w:eastAsia="楷体_GB2312" w:hAnsi="楷体_GB2312" w:cs="楷体_GB2312" w:hint="eastAsia"/>
          <w:b/>
          <w:bCs/>
          <w:color w:val="000000" w:themeColor="text1"/>
          <w:kern w:val="0"/>
          <w:szCs w:val="32"/>
        </w:rPr>
        <w:t>（三）统筹推进，确保工作落实。</w:t>
      </w:r>
      <w:r>
        <w:rPr>
          <w:rFonts w:ascii="仿宋_GB2312" w:eastAsia="仿宋_GB2312" w:hAnsi="仿宋_GB2312" w:cs="仿宋_GB2312" w:hint="eastAsia"/>
          <w:color w:val="000000" w:themeColor="text1"/>
          <w:kern w:val="0"/>
          <w:szCs w:val="32"/>
        </w:rPr>
        <w:t>各有关部门要加大畜禽</w:t>
      </w:r>
      <w:proofErr w:type="gramStart"/>
      <w:r>
        <w:rPr>
          <w:rFonts w:ascii="仿宋_GB2312" w:eastAsia="仿宋_GB2312" w:hAnsi="仿宋_GB2312" w:cs="仿宋_GB2312" w:hint="eastAsia"/>
          <w:color w:val="000000" w:themeColor="text1"/>
          <w:kern w:val="0"/>
          <w:szCs w:val="32"/>
        </w:rPr>
        <w:t>养殖整治</w:t>
      </w:r>
      <w:proofErr w:type="gramEnd"/>
      <w:r>
        <w:rPr>
          <w:rFonts w:ascii="仿宋_GB2312" w:eastAsia="仿宋_GB2312" w:hAnsi="仿宋_GB2312" w:cs="仿宋_GB2312" w:hint="eastAsia"/>
          <w:color w:val="000000" w:themeColor="text1"/>
          <w:kern w:val="0"/>
          <w:szCs w:val="32"/>
        </w:rPr>
        <w:t>规范工作力度，制定畜禽规模养殖场关停转迁、养殖业污染防治、病死动物无害化处理、生态化养殖等方面的扶持政策，建立和完善畜禽养殖废物资源化利用的市场服务体系。同时，要加强法律法规、生态养殖的政策导向宣传，形成全社会共同关心推动畜禽养殖污染防治工作的良好氛围。</w:t>
      </w:r>
    </w:p>
    <w:p w14:paraId="0D640F51" w14:textId="77777777" w:rsidR="002712EA" w:rsidRDefault="00000000">
      <w:pPr>
        <w:widowControl/>
        <w:spacing w:line="540" w:lineRule="exact"/>
        <w:ind w:firstLine="640"/>
        <w:rPr>
          <w:rFonts w:ascii="黑体" w:eastAsia="黑体" w:hAnsi="黑体" w:cs="黑体" w:hint="eastAsia"/>
          <w:color w:val="000000" w:themeColor="text1"/>
          <w:kern w:val="0"/>
          <w:szCs w:val="32"/>
        </w:rPr>
      </w:pPr>
      <w:r>
        <w:rPr>
          <w:rFonts w:ascii="黑体" w:eastAsia="黑体" w:hAnsi="黑体" w:cs="黑体" w:hint="eastAsia"/>
          <w:color w:val="000000" w:themeColor="text1"/>
          <w:kern w:val="0"/>
          <w:szCs w:val="32"/>
        </w:rPr>
        <w:t>八、其他事项</w:t>
      </w:r>
    </w:p>
    <w:p w14:paraId="52AC54FD"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1.本方案实施后，如有新的法律法规、规章以及上级政府部门的文件要求和标准等与本方案不一致的，按新的法律法规、规章以及上级政府部门的文件要求和标准执行。如确实需要对本方案进行调整的，根据相关法律法规和要求开展方案调整工作。</w:t>
      </w:r>
    </w:p>
    <w:p w14:paraId="38456173"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2.本方案实施后，如辖区内有新增饮用水水源保护区、自然保护区、风景名胜区等符合禁养区条件的有关区域，则自动纳入禁养区范围。</w:t>
      </w:r>
    </w:p>
    <w:p w14:paraId="58B85610"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3.本方案由市农业农村局负责解释。</w:t>
      </w:r>
    </w:p>
    <w:p w14:paraId="32CA831F" w14:textId="77777777" w:rsidR="002712EA" w:rsidRDefault="00000000">
      <w:pPr>
        <w:widowControl/>
        <w:spacing w:line="540" w:lineRule="exact"/>
        <w:ind w:firstLine="640"/>
        <w:rPr>
          <w:rFonts w:ascii="仿宋_GB2312" w:eastAsia="仿宋_GB2312" w:hAnsi="仿宋_GB2312" w:cs="仿宋_GB2312" w:hint="eastAsia"/>
          <w:color w:val="000000" w:themeColor="text1"/>
          <w:kern w:val="0"/>
          <w:szCs w:val="32"/>
        </w:rPr>
      </w:pPr>
      <w:r>
        <w:rPr>
          <w:rFonts w:ascii="仿宋_GB2312" w:eastAsia="仿宋_GB2312" w:hAnsi="仿宋_GB2312" w:cs="仿宋_GB2312" w:hint="eastAsia"/>
          <w:color w:val="000000" w:themeColor="text1"/>
          <w:kern w:val="0"/>
          <w:szCs w:val="32"/>
        </w:rPr>
        <w:t>4.本方案自下发之日起实施，有效期五年。</w:t>
      </w:r>
    </w:p>
    <w:p w14:paraId="1E1517E7" w14:textId="77777777" w:rsidR="002712EA" w:rsidRDefault="002712EA">
      <w:pPr>
        <w:pStyle w:val="a0"/>
        <w:ind w:firstLine="640"/>
        <w:rPr>
          <w:rFonts w:ascii="仿宋_GB2312" w:eastAsia="仿宋_GB2312" w:hAnsi="仿宋_GB2312" w:cs="仿宋_GB2312"/>
          <w:color w:val="000000" w:themeColor="text1"/>
          <w:kern w:val="0"/>
          <w:szCs w:val="32"/>
        </w:rPr>
      </w:pPr>
    </w:p>
    <w:p w14:paraId="2A42B204" w14:textId="77777777" w:rsidR="002712EA" w:rsidRDefault="00000000">
      <w:pPr>
        <w:pStyle w:val="a0"/>
        <w:ind w:firstLine="640"/>
        <w:rPr>
          <w:rFonts w:ascii="仿宋_GB2312" w:eastAsia="仿宋_GB2312" w:hAnsi="仿宋_GB2312" w:cs="仿宋_GB2312"/>
          <w:color w:val="000000" w:themeColor="text1"/>
          <w:kern w:val="0"/>
          <w:szCs w:val="32"/>
        </w:rPr>
      </w:pPr>
      <w:r>
        <w:rPr>
          <w:rFonts w:ascii="仿宋_GB2312" w:eastAsia="仿宋_GB2312" w:hAnsi="仿宋_GB2312" w:cs="仿宋_GB2312"/>
          <w:color w:val="000000" w:themeColor="text1"/>
          <w:kern w:val="0"/>
          <w:szCs w:val="32"/>
        </w:rPr>
        <w:t>附件：邵东市畜禽养殖三</w:t>
      </w:r>
      <w:proofErr w:type="gramStart"/>
      <w:r>
        <w:rPr>
          <w:rFonts w:ascii="仿宋_GB2312" w:eastAsia="仿宋_GB2312" w:hAnsi="仿宋_GB2312" w:cs="仿宋_GB2312"/>
          <w:color w:val="000000" w:themeColor="text1"/>
          <w:kern w:val="0"/>
          <w:szCs w:val="32"/>
        </w:rPr>
        <w:t>区划定</w:t>
      </w:r>
      <w:proofErr w:type="gramEnd"/>
      <w:r>
        <w:rPr>
          <w:rFonts w:ascii="仿宋_GB2312" w:eastAsia="仿宋_GB2312" w:hAnsi="仿宋_GB2312" w:cs="仿宋_GB2312"/>
          <w:color w:val="000000" w:themeColor="text1"/>
          <w:kern w:val="0"/>
          <w:szCs w:val="32"/>
        </w:rPr>
        <w:t>方案图表</w:t>
      </w:r>
    </w:p>
    <w:p w14:paraId="5BB406AA" w14:textId="77777777" w:rsidR="002712EA" w:rsidRDefault="00000000">
      <w:pPr>
        <w:ind w:firstLine="640"/>
        <w:rPr>
          <w:rFonts w:ascii="仿宋_GB2312" w:eastAsia="仿宋_GB2312" w:hAnsi="仿宋_GB2312" w:cs="仿宋_GB2312" w:hint="eastAsia"/>
          <w:color w:val="000000" w:themeColor="text1"/>
          <w:kern w:val="0"/>
          <w:szCs w:val="32"/>
        </w:rPr>
        <w:sectPr w:rsidR="002712EA">
          <w:footerReference w:type="default" r:id="rId7"/>
          <w:pgSz w:w="11906" w:h="16838"/>
          <w:pgMar w:top="2211" w:right="1474" w:bottom="1928" w:left="1644" w:header="851" w:footer="992" w:gutter="0"/>
          <w:pgNumType w:fmt="numberInDash"/>
          <w:cols w:space="0"/>
          <w:docGrid w:type="lines" w:linePitch="442"/>
        </w:sectPr>
      </w:pPr>
      <w:r>
        <w:rPr>
          <w:rFonts w:ascii="仿宋_GB2312" w:eastAsia="仿宋_GB2312" w:hAnsi="仿宋_GB2312" w:cs="仿宋_GB2312" w:hint="eastAsia"/>
          <w:color w:val="000000" w:themeColor="text1"/>
          <w:kern w:val="0"/>
          <w:szCs w:val="32"/>
        </w:rPr>
        <w:br w:type="page"/>
      </w:r>
    </w:p>
    <w:p w14:paraId="24707EFA" w14:textId="77777777" w:rsidR="002712EA" w:rsidRDefault="002712EA">
      <w:pPr>
        <w:pStyle w:val="a0"/>
        <w:spacing w:line="20" w:lineRule="exact"/>
        <w:ind w:firstLine="640"/>
        <w:rPr>
          <w:rFonts w:hint="default"/>
        </w:rPr>
      </w:pPr>
    </w:p>
    <w:p w14:paraId="0AC400C9" w14:textId="77777777" w:rsidR="002712EA" w:rsidRDefault="00000000">
      <w:pPr>
        <w:pStyle w:val="11"/>
        <w:rPr>
          <w:rFonts w:ascii="黑体" w:eastAsia="黑体" w:hAnsi="黑体" w:cs="黑体" w:hint="eastAsia"/>
          <w:sz w:val="32"/>
          <w:szCs w:val="32"/>
        </w:rPr>
      </w:pPr>
      <w:r>
        <w:rPr>
          <w:rFonts w:ascii="黑体" w:eastAsia="黑体" w:hAnsi="黑体" w:cs="黑体" w:hint="eastAsia"/>
          <w:sz w:val="32"/>
          <w:szCs w:val="32"/>
        </w:rPr>
        <w:t>附件</w:t>
      </w:r>
    </w:p>
    <w:p w14:paraId="1C5EC8D5" w14:textId="77777777" w:rsidR="002712EA" w:rsidRDefault="00000000">
      <w:pPr>
        <w:spacing w:line="240" w:lineRule="auto"/>
        <w:ind w:firstLineChars="0" w:firstLine="0"/>
        <w:jc w:val="center"/>
      </w:pPr>
      <w:r>
        <w:rPr>
          <w:rFonts w:ascii="仿宋_GB2312" w:eastAsia="仿宋_GB2312" w:hAnsi="仿宋_GB2312" w:cs="仿宋_GB2312" w:hint="eastAsia"/>
          <w:noProof/>
          <w:color w:val="000000" w:themeColor="text1"/>
          <w:kern w:val="0"/>
          <w:szCs w:val="32"/>
        </w:rPr>
        <w:drawing>
          <wp:inline distT="0" distB="0" distL="114300" distR="114300" wp14:anchorId="34E7FE7A" wp14:editId="431A50C8">
            <wp:extent cx="9930130" cy="5833110"/>
            <wp:effectExtent l="0" t="0" r="1270" b="8890"/>
            <wp:docPr id="2" name="图片 2" descr="13 畜禽养殖三区分布总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畜禽养殖三区分布总图_1"/>
                    <pic:cNvPicPr>
                      <a:picLocks noChangeAspect="1"/>
                    </pic:cNvPicPr>
                  </pic:nvPicPr>
                  <pic:blipFill>
                    <a:blip r:embed="rId8"/>
                    <a:stretch>
                      <a:fillRect/>
                    </a:stretch>
                  </pic:blipFill>
                  <pic:spPr>
                    <a:xfrm>
                      <a:off x="0" y="0"/>
                      <a:ext cx="9930130" cy="5833110"/>
                    </a:xfrm>
                    <a:prstGeom prst="rect">
                      <a:avLst/>
                    </a:prstGeom>
                  </pic:spPr>
                </pic:pic>
              </a:graphicData>
            </a:graphic>
          </wp:inline>
        </w:drawing>
      </w:r>
    </w:p>
    <w:p w14:paraId="7B4B547D" w14:textId="77777777" w:rsidR="002712EA" w:rsidRDefault="002712EA">
      <w:pPr>
        <w:pStyle w:val="a0"/>
        <w:spacing w:line="240" w:lineRule="auto"/>
        <w:ind w:firstLineChars="0" w:firstLine="0"/>
        <w:jc w:val="center"/>
        <w:rPr>
          <w:rFonts w:ascii="仿宋_GB2312" w:eastAsia="仿宋_GB2312" w:hAnsi="仿宋_GB2312" w:cs="仿宋_GB2312"/>
          <w:color w:val="000000" w:themeColor="text1"/>
          <w:kern w:val="0"/>
          <w:szCs w:val="32"/>
        </w:rPr>
        <w:sectPr w:rsidR="002712EA">
          <w:pgSz w:w="16838" w:h="11906" w:orient="landscape"/>
          <w:pgMar w:top="850" w:right="567" w:bottom="850" w:left="567" w:header="851" w:footer="567" w:gutter="0"/>
          <w:pgNumType w:fmt="numberInDash"/>
          <w:cols w:space="0"/>
          <w:docGrid w:type="lines" w:linePitch="442"/>
        </w:sectPr>
      </w:pPr>
    </w:p>
    <w:p w14:paraId="13F539B2" w14:textId="77777777" w:rsidR="002712EA" w:rsidRDefault="00000000">
      <w:pPr>
        <w:pStyle w:val="ab"/>
        <w:ind w:firstLine="880"/>
        <w:rPr>
          <w:rFonts w:ascii="方正小标宋简体" w:eastAsia="方正小标宋简体" w:hAnsi="方正小标宋简体" w:cs="方正小标宋简体" w:hint="eastAsia"/>
          <w:b w:val="0"/>
          <w:bCs/>
          <w:sz w:val="44"/>
          <w:szCs w:val="44"/>
        </w:rPr>
      </w:pPr>
      <w:r>
        <w:rPr>
          <w:rFonts w:ascii="方正小标宋简体" w:eastAsia="方正小标宋简体" w:hAnsi="方正小标宋简体" w:cs="方正小标宋简体" w:hint="eastAsia"/>
          <w:b w:val="0"/>
          <w:bCs/>
          <w:sz w:val="44"/>
          <w:szCs w:val="44"/>
        </w:rPr>
        <w:lastRenderedPageBreak/>
        <w:t>邵东市畜禽养殖三</w:t>
      </w:r>
      <w:proofErr w:type="gramStart"/>
      <w:r>
        <w:rPr>
          <w:rFonts w:ascii="方正小标宋简体" w:eastAsia="方正小标宋简体" w:hAnsi="方正小标宋简体" w:cs="方正小标宋简体" w:hint="eastAsia"/>
          <w:b w:val="0"/>
          <w:bCs/>
          <w:sz w:val="44"/>
          <w:szCs w:val="44"/>
        </w:rPr>
        <w:t>区划定</w:t>
      </w:r>
      <w:proofErr w:type="gramEnd"/>
      <w:r>
        <w:rPr>
          <w:rFonts w:ascii="方正小标宋简体" w:eastAsia="方正小标宋简体" w:hAnsi="方正小标宋简体" w:cs="方正小标宋简体" w:hint="eastAsia"/>
          <w:b w:val="0"/>
          <w:bCs/>
          <w:sz w:val="44"/>
          <w:szCs w:val="44"/>
        </w:rPr>
        <w:t>结果汇总表</w:t>
      </w: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64"/>
        <w:gridCol w:w="1135"/>
        <w:gridCol w:w="4320"/>
        <w:gridCol w:w="1560"/>
        <w:gridCol w:w="1277"/>
        <w:gridCol w:w="1560"/>
        <w:gridCol w:w="993"/>
        <w:gridCol w:w="1221"/>
        <w:gridCol w:w="1134"/>
      </w:tblGrid>
      <w:tr w:rsidR="002712EA" w14:paraId="604E82C7" w14:textId="77777777">
        <w:trPr>
          <w:trHeight w:val="740"/>
          <w:tblHeader/>
          <w:jc w:val="center"/>
        </w:trPr>
        <w:tc>
          <w:tcPr>
            <w:tcW w:w="709" w:type="dxa"/>
            <w:vMerge w:val="restart"/>
            <w:vAlign w:val="center"/>
          </w:tcPr>
          <w:p w14:paraId="41B325ED"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序号</w:t>
            </w:r>
          </w:p>
        </w:tc>
        <w:tc>
          <w:tcPr>
            <w:tcW w:w="1164" w:type="dxa"/>
            <w:vMerge w:val="restart"/>
            <w:vAlign w:val="center"/>
          </w:tcPr>
          <w:p w14:paraId="10C2BAC9"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邵东市国土面积（km</w:t>
            </w:r>
            <w:r>
              <w:rPr>
                <w:rFonts w:ascii="黑体" w:eastAsia="黑体" w:hAnsi="黑体" w:cs="黑体" w:hint="eastAsia"/>
                <w:b w:val="0"/>
                <w:bCs/>
                <w:snapToGrid w:val="0"/>
                <w:sz w:val="24"/>
                <w:szCs w:val="24"/>
                <w:vertAlign w:val="superscript"/>
              </w:rPr>
              <w:t>2</w:t>
            </w:r>
            <w:r>
              <w:rPr>
                <w:rFonts w:ascii="黑体" w:eastAsia="黑体" w:hAnsi="黑体" w:cs="黑体" w:hint="eastAsia"/>
                <w:b w:val="0"/>
                <w:bCs/>
                <w:snapToGrid w:val="0"/>
                <w:sz w:val="24"/>
                <w:szCs w:val="24"/>
              </w:rPr>
              <w:t>）</w:t>
            </w:r>
          </w:p>
        </w:tc>
        <w:tc>
          <w:tcPr>
            <w:tcW w:w="1135" w:type="dxa"/>
            <w:vMerge w:val="restart"/>
            <w:vAlign w:val="center"/>
          </w:tcPr>
          <w:p w14:paraId="198461A7"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养殖分区</w:t>
            </w:r>
          </w:p>
        </w:tc>
        <w:tc>
          <w:tcPr>
            <w:tcW w:w="4320" w:type="dxa"/>
            <w:vMerge w:val="restart"/>
            <w:vAlign w:val="center"/>
          </w:tcPr>
          <w:p w14:paraId="06A2F2BA"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具体类型</w:t>
            </w:r>
          </w:p>
        </w:tc>
        <w:tc>
          <w:tcPr>
            <w:tcW w:w="2837" w:type="dxa"/>
            <w:gridSpan w:val="2"/>
            <w:vAlign w:val="center"/>
          </w:tcPr>
          <w:p w14:paraId="34467FBF"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面积及其国土面积占比</w:t>
            </w:r>
          </w:p>
          <w:p w14:paraId="0F9F8261"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（扣除重叠区域前）</w:t>
            </w:r>
          </w:p>
        </w:tc>
        <w:tc>
          <w:tcPr>
            <w:tcW w:w="4908" w:type="dxa"/>
            <w:gridSpan w:val="4"/>
            <w:vAlign w:val="center"/>
          </w:tcPr>
          <w:p w14:paraId="75597B5B"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面积及其国土面积占比</w:t>
            </w:r>
          </w:p>
          <w:p w14:paraId="04DE5423"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（扣除重叠区域后）</w:t>
            </w:r>
          </w:p>
        </w:tc>
      </w:tr>
      <w:tr w:rsidR="002712EA" w14:paraId="62FABC5C" w14:textId="77777777">
        <w:trPr>
          <w:trHeight w:hRule="exact" w:val="510"/>
          <w:tblHeader/>
          <w:jc w:val="center"/>
        </w:trPr>
        <w:tc>
          <w:tcPr>
            <w:tcW w:w="709" w:type="dxa"/>
            <w:vMerge/>
            <w:vAlign w:val="center"/>
          </w:tcPr>
          <w:p w14:paraId="3EFBF1BF" w14:textId="77777777" w:rsidR="002712EA" w:rsidRDefault="002712EA">
            <w:pPr>
              <w:pStyle w:val="-WJG0"/>
              <w:spacing w:line="320" w:lineRule="exact"/>
              <w:rPr>
                <w:rFonts w:ascii="仿宋_GB2312" w:eastAsia="仿宋_GB2312" w:hAnsi="仿宋_GB2312" w:cs="仿宋_GB2312" w:hint="eastAsia"/>
                <w:snapToGrid w:val="0"/>
                <w:sz w:val="24"/>
                <w:szCs w:val="24"/>
              </w:rPr>
            </w:pPr>
          </w:p>
        </w:tc>
        <w:tc>
          <w:tcPr>
            <w:tcW w:w="1164" w:type="dxa"/>
            <w:vMerge/>
            <w:vAlign w:val="center"/>
          </w:tcPr>
          <w:p w14:paraId="627603FA" w14:textId="77777777" w:rsidR="002712EA" w:rsidRDefault="002712EA">
            <w:pPr>
              <w:pStyle w:val="-WJG0"/>
              <w:spacing w:line="320" w:lineRule="exact"/>
              <w:rPr>
                <w:rFonts w:ascii="仿宋_GB2312" w:eastAsia="仿宋_GB2312" w:hAnsi="仿宋_GB2312" w:cs="仿宋_GB2312" w:hint="eastAsia"/>
                <w:snapToGrid w:val="0"/>
                <w:sz w:val="24"/>
                <w:szCs w:val="24"/>
              </w:rPr>
            </w:pPr>
          </w:p>
        </w:tc>
        <w:tc>
          <w:tcPr>
            <w:tcW w:w="1135" w:type="dxa"/>
            <w:vMerge/>
            <w:vAlign w:val="center"/>
          </w:tcPr>
          <w:p w14:paraId="6483749F" w14:textId="77777777" w:rsidR="002712EA" w:rsidRDefault="002712EA">
            <w:pPr>
              <w:pStyle w:val="-WJG0"/>
              <w:spacing w:line="320" w:lineRule="exact"/>
              <w:rPr>
                <w:rFonts w:ascii="仿宋_GB2312" w:eastAsia="仿宋_GB2312" w:hAnsi="仿宋_GB2312" w:cs="仿宋_GB2312" w:hint="eastAsia"/>
                <w:snapToGrid w:val="0"/>
                <w:sz w:val="24"/>
                <w:szCs w:val="24"/>
              </w:rPr>
            </w:pPr>
          </w:p>
        </w:tc>
        <w:tc>
          <w:tcPr>
            <w:tcW w:w="4320" w:type="dxa"/>
            <w:vMerge/>
            <w:vAlign w:val="center"/>
          </w:tcPr>
          <w:p w14:paraId="221DD9B2" w14:textId="77777777" w:rsidR="002712EA" w:rsidRDefault="002712EA">
            <w:pPr>
              <w:pStyle w:val="-WJG0"/>
              <w:spacing w:line="320" w:lineRule="exact"/>
              <w:rPr>
                <w:rFonts w:ascii="仿宋_GB2312" w:eastAsia="仿宋_GB2312" w:hAnsi="仿宋_GB2312" w:cs="仿宋_GB2312" w:hint="eastAsia"/>
                <w:snapToGrid w:val="0"/>
                <w:sz w:val="24"/>
                <w:szCs w:val="24"/>
              </w:rPr>
            </w:pPr>
          </w:p>
        </w:tc>
        <w:tc>
          <w:tcPr>
            <w:tcW w:w="1560" w:type="dxa"/>
            <w:vAlign w:val="center"/>
          </w:tcPr>
          <w:p w14:paraId="6E3544A6"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面积（km</w:t>
            </w:r>
            <w:r>
              <w:rPr>
                <w:rFonts w:ascii="黑体" w:eastAsia="黑体" w:hAnsi="黑体" w:cs="黑体" w:hint="eastAsia"/>
                <w:b w:val="0"/>
                <w:bCs/>
                <w:snapToGrid w:val="0"/>
                <w:sz w:val="24"/>
                <w:szCs w:val="24"/>
                <w:vertAlign w:val="superscript"/>
              </w:rPr>
              <w:t>2</w:t>
            </w:r>
            <w:r>
              <w:rPr>
                <w:rFonts w:ascii="黑体" w:eastAsia="黑体" w:hAnsi="黑体" w:cs="黑体" w:hint="eastAsia"/>
                <w:b w:val="0"/>
                <w:bCs/>
                <w:snapToGrid w:val="0"/>
                <w:sz w:val="24"/>
                <w:szCs w:val="24"/>
              </w:rPr>
              <w:t>）</w:t>
            </w:r>
          </w:p>
        </w:tc>
        <w:tc>
          <w:tcPr>
            <w:tcW w:w="1277" w:type="dxa"/>
            <w:vAlign w:val="center"/>
          </w:tcPr>
          <w:p w14:paraId="0C977CFC"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占比</w:t>
            </w:r>
          </w:p>
        </w:tc>
        <w:tc>
          <w:tcPr>
            <w:tcW w:w="2553" w:type="dxa"/>
            <w:gridSpan w:val="2"/>
            <w:vAlign w:val="center"/>
          </w:tcPr>
          <w:p w14:paraId="2AA27995"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面积（km</w:t>
            </w:r>
            <w:r>
              <w:rPr>
                <w:rFonts w:ascii="黑体" w:eastAsia="黑体" w:hAnsi="黑体" w:cs="黑体" w:hint="eastAsia"/>
                <w:b w:val="0"/>
                <w:bCs/>
                <w:snapToGrid w:val="0"/>
                <w:sz w:val="24"/>
                <w:szCs w:val="24"/>
                <w:vertAlign w:val="superscript"/>
              </w:rPr>
              <w:t>2</w:t>
            </w:r>
            <w:r>
              <w:rPr>
                <w:rFonts w:ascii="黑体" w:eastAsia="黑体" w:hAnsi="黑体" w:cs="黑体" w:hint="eastAsia"/>
                <w:b w:val="0"/>
                <w:bCs/>
                <w:snapToGrid w:val="0"/>
                <w:sz w:val="24"/>
                <w:szCs w:val="24"/>
              </w:rPr>
              <w:t>）</w:t>
            </w:r>
          </w:p>
        </w:tc>
        <w:tc>
          <w:tcPr>
            <w:tcW w:w="2355" w:type="dxa"/>
            <w:gridSpan w:val="2"/>
            <w:vAlign w:val="center"/>
          </w:tcPr>
          <w:p w14:paraId="361F1F26" w14:textId="77777777" w:rsidR="002712EA" w:rsidRDefault="00000000">
            <w:pPr>
              <w:pStyle w:val="-WJG0"/>
              <w:spacing w:line="320" w:lineRule="exact"/>
              <w:rPr>
                <w:rFonts w:ascii="黑体" w:eastAsia="黑体" w:hAnsi="黑体" w:cs="黑体" w:hint="eastAsia"/>
                <w:b w:val="0"/>
                <w:bCs/>
                <w:snapToGrid w:val="0"/>
                <w:sz w:val="24"/>
                <w:szCs w:val="24"/>
              </w:rPr>
            </w:pPr>
            <w:r>
              <w:rPr>
                <w:rFonts w:ascii="黑体" w:eastAsia="黑体" w:hAnsi="黑体" w:cs="黑体" w:hint="eastAsia"/>
                <w:b w:val="0"/>
                <w:bCs/>
                <w:snapToGrid w:val="0"/>
                <w:sz w:val="24"/>
                <w:szCs w:val="24"/>
              </w:rPr>
              <w:t>占比</w:t>
            </w:r>
          </w:p>
        </w:tc>
      </w:tr>
      <w:tr w:rsidR="002712EA" w14:paraId="41948E34" w14:textId="77777777">
        <w:trPr>
          <w:trHeight w:hRule="exact" w:val="510"/>
          <w:jc w:val="center"/>
        </w:trPr>
        <w:tc>
          <w:tcPr>
            <w:tcW w:w="709" w:type="dxa"/>
            <w:vMerge w:val="restart"/>
            <w:vAlign w:val="center"/>
          </w:tcPr>
          <w:p w14:paraId="4819012B"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1</w:t>
            </w:r>
          </w:p>
        </w:tc>
        <w:tc>
          <w:tcPr>
            <w:tcW w:w="1164" w:type="dxa"/>
            <w:vMerge w:val="restart"/>
            <w:vAlign w:val="center"/>
          </w:tcPr>
          <w:p w14:paraId="024EB01B"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1778.84</w:t>
            </w:r>
          </w:p>
        </w:tc>
        <w:tc>
          <w:tcPr>
            <w:tcW w:w="1135" w:type="dxa"/>
            <w:vMerge w:val="restart"/>
            <w:vAlign w:val="center"/>
          </w:tcPr>
          <w:p w14:paraId="1FC6BB5A"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禁养区</w:t>
            </w:r>
          </w:p>
        </w:tc>
        <w:tc>
          <w:tcPr>
            <w:tcW w:w="4320" w:type="dxa"/>
            <w:vAlign w:val="center"/>
          </w:tcPr>
          <w:p w14:paraId="260E2060"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饮用水水源保护区禁养区</w:t>
            </w:r>
          </w:p>
        </w:tc>
        <w:tc>
          <w:tcPr>
            <w:tcW w:w="1560" w:type="dxa"/>
            <w:vAlign w:val="center"/>
          </w:tcPr>
          <w:p w14:paraId="06FCC198"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53.7886</w:t>
            </w:r>
          </w:p>
        </w:tc>
        <w:tc>
          <w:tcPr>
            <w:tcW w:w="1277" w:type="dxa"/>
            <w:vAlign w:val="center"/>
          </w:tcPr>
          <w:p w14:paraId="299B98F8"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3.02%</w:t>
            </w:r>
          </w:p>
        </w:tc>
        <w:tc>
          <w:tcPr>
            <w:tcW w:w="1560" w:type="dxa"/>
            <w:vAlign w:val="center"/>
          </w:tcPr>
          <w:p w14:paraId="51483723"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53.7886</w:t>
            </w:r>
          </w:p>
        </w:tc>
        <w:tc>
          <w:tcPr>
            <w:tcW w:w="993" w:type="dxa"/>
            <w:vMerge w:val="restart"/>
            <w:vAlign w:val="center"/>
          </w:tcPr>
          <w:p w14:paraId="5A7819C6"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696.72</w:t>
            </w:r>
          </w:p>
        </w:tc>
        <w:tc>
          <w:tcPr>
            <w:tcW w:w="1221" w:type="dxa"/>
            <w:vAlign w:val="center"/>
          </w:tcPr>
          <w:p w14:paraId="4C819586" w14:textId="77777777" w:rsidR="002712EA" w:rsidRDefault="00000000">
            <w:pPr>
              <w:pStyle w:val="-WJG"/>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sz w:val="24"/>
                <w:szCs w:val="24"/>
              </w:rPr>
              <w:t>3.02%</w:t>
            </w:r>
          </w:p>
        </w:tc>
        <w:tc>
          <w:tcPr>
            <w:tcW w:w="1134" w:type="dxa"/>
            <w:vMerge w:val="restart"/>
            <w:vAlign w:val="center"/>
          </w:tcPr>
          <w:p w14:paraId="2252124B"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39.17%</w:t>
            </w:r>
          </w:p>
        </w:tc>
      </w:tr>
      <w:tr w:rsidR="002712EA" w14:paraId="38A8E61E" w14:textId="77777777">
        <w:trPr>
          <w:trHeight w:hRule="exact" w:val="510"/>
          <w:jc w:val="center"/>
        </w:trPr>
        <w:tc>
          <w:tcPr>
            <w:tcW w:w="709" w:type="dxa"/>
            <w:vMerge/>
            <w:vAlign w:val="center"/>
          </w:tcPr>
          <w:p w14:paraId="7B203B40"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1E8E08B4"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49F09E0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2EEA8A8B"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自然保护区核心区和缓冲区禁养区</w:t>
            </w:r>
          </w:p>
        </w:tc>
        <w:tc>
          <w:tcPr>
            <w:tcW w:w="1560" w:type="dxa"/>
            <w:vAlign w:val="center"/>
          </w:tcPr>
          <w:p w14:paraId="76D1CBD6"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4.6673</w:t>
            </w:r>
          </w:p>
        </w:tc>
        <w:tc>
          <w:tcPr>
            <w:tcW w:w="1277" w:type="dxa"/>
            <w:vAlign w:val="center"/>
          </w:tcPr>
          <w:p w14:paraId="6985CCAC"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0.26%</w:t>
            </w:r>
          </w:p>
        </w:tc>
        <w:tc>
          <w:tcPr>
            <w:tcW w:w="1560" w:type="dxa"/>
            <w:vAlign w:val="center"/>
          </w:tcPr>
          <w:p w14:paraId="4D09CD1B"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4.6673</w:t>
            </w:r>
          </w:p>
        </w:tc>
        <w:tc>
          <w:tcPr>
            <w:tcW w:w="993" w:type="dxa"/>
            <w:vMerge/>
            <w:vAlign w:val="center"/>
          </w:tcPr>
          <w:p w14:paraId="0C0E70DC"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210C588D"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0.26%</w:t>
            </w:r>
          </w:p>
        </w:tc>
        <w:tc>
          <w:tcPr>
            <w:tcW w:w="1134" w:type="dxa"/>
            <w:vMerge/>
            <w:vAlign w:val="center"/>
          </w:tcPr>
          <w:p w14:paraId="71ADEEA3"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60950898" w14:textId="77777777">
        <w:trPr>
          <w:trHeight w:hRule="exact" w:val="510"/>
          <w:jc w:val="center"/>
        </w:trPr>
        <w:tc>
          <w:tcPr>
            <w:tcW w:w="709" w:type="dxa"/>
            <w:vMerge/>
            <w:vAlign w:val="center"/>
          </w:tcPr>
          <w:p w14:paraId="4290CCF6"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4813DED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3D57F5E1"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72809F8A"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风景名胜区禁养区</w:t>
            </w:r>
          </w:p>
        </w:tc>
        <w:tc>
          <w:tcPr>
            <w:tcW w:w="1560" w:type="dxa"/>
            <w:vAlign w:val="center"/>
          </w:tcPr>
          <w:p w14:paraId="4B755310"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53.14</w:t>
            </w:r>
          </w:p>
        </w:tc>
        <w:tc>
          <w:tcPr>
            <w:tcW w:w="1277" w:type="dxa"/>
            <w:vAlign w:val="center"/>
          </w:tcPr>
          <w:p w14:paraId="6F00763C"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2.99%</w:t>
            </w:r>
          </w:p>
        </w:tc>
        <w:tc>
          <w:tcPr>
            <w:tcW w:w="1560" w:type="dxa"/>
            <w:vAlign w:val="center"/>
          </w:tcPr>
          <w:p w14:paraId="7FC4CB70"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49.5329</w:t>
            </w:r>
          </w:p>
        </w:tc>
        <w:tc>
          <w:tcPr>
            <w:tcW w:w="993" w:type="dxa"/>
            <w:vMerge/>
            <w:vAlign w:val="center"/>
          </w:tcPr>
          <w:p w14:paraId="3BBD7A67"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6F0D9EDA"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2.78%</w:t>
            </w:r>
          </w:p>
        </w:tc>
        <w:tc>
          <w:tcPr>
            <w:tcW w:w="1134" w:type="dxa"/>
            <w:vMerge/>
            <w:vAlign w:val="center"/>
          </w:tcPr>
          <w:p w14:paraId="7893FE70"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5DA09390" w14:textId="77777777">
        <w:trPr>
          <w:trHeight w:hRule="exact" w:val="679"/>
          <w:jc w:val="center"/>
        </w:trPr>
        <w:tc>
          <w:tcPr>
            <w:tcW w:w="709" w:type="dxa"/>
            <w:vMerge/>
            <w:vAlign w:val="center"/>
          </w:tcPr>
          <w:p w14:paraId="50779D70"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17DFB2F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7BE0BEE9"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7808D80B"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城镇居民区、文化教育科学研究区等人口集中区域禁养区</w:t>
            </w:r>
          </w:p>
        </w:tc>
        <w:tc>
          <w:tcPr>
            <w:tcW w:w="1560" w:type="dxa"/>
            <w:vAlign w:val="center"/>
          </w:tcPr>
          <w:p w14:paraId="06551151"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78.2916</w:t>
            </w:r>
          </w:p>
        </w:tc>
        <w:tc>
          <w:tcPr>
            <w:tcW w:w="1277" w:type="dxa"/>
            <w:vAlign w:val="center"/>
          </w:tcPr>
          <w:p w14:paraId="0885F286"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4.40%</w:t>
            </w:r>
          </w:p>
        </w:tc>
        <w:tc>
          <w:tcPr>
            <w:tcW w:w="1560" w:type="dxa"/>
            <w:vAlign w:val="center"/>
          </w:tcPr>
          <w:p w14:paraId="15B5A499"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77.4452</w:t>
            </w:r>
          </w:p>
        </w:tc>
        <w:tc>
          <w:tcPr>
            <w:tcW w:w="993" w:type="dxa"/>
            <w:vMerge/>
            <w:vAlign w:val="center"/>
          </w:tcPr>
          <w:p w14:paraId="7478319C"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42141812"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4.35%</w:t>
            </w:r>
          </w:p>
        </w:tc>
        <w:tc>
          <w:tcPr>
            <w:tcW w:w="1134" w:type="dxa"/>
            <w:vMerge/>
            <w:vAlign w:val="center"/>
          </w:tcPr>
          <w:p w14:paraId="17EC41AF"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75491FCC" w14:textId="77777777">
        <w:trPr>
          <w:trHeight w:hRule="exact" w:val="510"/>
          <w:jc w:val="center"/>
        </w:trPr>
        <w:tc>
          <w:tcPr>
            <w:tcW w:w="709" w:type="dxa"/>
            <w:vMerge/>
            <w:vAlign w:val="center"/>
          </w:tcPr>
          <w:p w14:paraId="7449F5F8"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546E123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1DBCDF9C"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71DB162C"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永久基本农田禁养区</w:t>
            </w:r>
          </w:p>
        </w:tc>
        <w:tc>
          <w:tcPr>
            <w:tcW w:w="1560" w:type="dxa"/>
            <w:vAlign w:val="center"/>
          </w:tcPr>
          <w:p w14:paraId="7CEE8028"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525.5332</w:t>
            </w:r>
          </w:p>
        </w:tc>
        <w:tc>
          <w:tcPr>
            <w:tcW w:w="1277" w:type="dxa"/>
            <w:vAlign w:val="center"/>
          </w:tcPr>
          <w:p w14:paraId="64B76734"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29.54%</w:t>
            </w:r>
          </w:p>
        </w:tc>
        <w:tc>
          <w:tcPr>
            <w:tcW w:w="1560" w:type="dxa"/>
            <w:vAlign w:val="center"/>
          </w:tcPr>
          <w:p w14:paraId="6AFF2CA6"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509.4467</w:t>
            </w:r>
          </w:p>
        </w:tc>
        <w:tc>
          <w:tcPr>
            <w:tcW w:w="993" w:type="dxa"/>
            <w:vMerge/>
            <w:vAlign w:val="center"/>
          </w:tcPr>
          <w:p w14:paraId="5A60D8AF"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50659F7E"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28.64%</w:t>
            </w:r>
          </w:p>
        </w:tc>
        <w:tc>
          <w:tcPr>
            <w:tcW w:w="1134" w:type="dxa"/>
            <w:vMerge/>
            <w:vAlign w:val="center"/>
          </w:tcPr>
          <w:p w14:paraId="65A49085"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7F4AB9C9" w14:textId="77777777">
        <w:trPr>
          <w:trHeight w:hRule="exact" w:val="510"/>
          <w:jc w:val="center"/>
        </w:trPr>
        <w:tc>
          <w:tcPr>
            <w:tcW w:w="709" w:type="dxa"/>
            <w:vMerge/>
            <w:vAlign w:val="center"/>
          </w:tcPr>
          <w:p w14:paraId="1155BB04"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20F43D21"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54D9E910"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46CEEEFE"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文物保护单位保护范围禁养区</w:t>
            </w:r>
          </w:p>
        </w:tc>
        <w:tc>
          <w:tcPr>
            <w:tcW w:w="1560" w:type="dxa"/>
            <w:vAlign w:val="center"/>
          </w:tcPr>
          <w:p w14:paraId="0BB35A7F"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2.7855</w:t>
            </w:r>
          </w:p>
        </w:tc>
        <w:tc>
          <w:tcPr>
            <w:tcW w:w="1277" w:type="dxa"/>
            <w:vAlign w:val="center"/>
          </w:tcPr>
          <w:p w14:paraId="7AA373E7"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0.16%</w:t>
            </w:r>
          </w:p>
        </w:tc>
        <w:tc>
          <w:tcPr>
            <w:tcW w:w="1560" w:type="dxa"/>
            <w:vAlign w:val="center"/>
          </w:tcPr>
          <w:p w14:paraId="6BA266D7"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1.8366</w:t>
            </w:r>
          </w:p>
        </w:tc>
        <w:tc>
          <w:tcPr>
            <w:tcW w:w="993" w:type="dxa"/>
            <w:vMerge/>
            <w:vAlign w:val="center"/>
          </w:tcPr>
          <w:p w14:paraId="5050451C"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32781884"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0.10%</w:t>
            </w:r>
          </w:p>
        </w:tc>
        <w:tc>
          <w:tcPr>
            <w:tcW w:w="1134" w:type="dxa"/>
            <w:vMerge/>
            <w:vAlign w:val="center"/>
          </w:tcPr>
          <w:p w14:paraId="44515585"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501E7C25" w14:textId="77777777">
        <w:trPr>
          <w:trHeight w:hRule="exact" w:val="510"/>
          <w:jc w:val="center"/>
        </w:trPr>
        <w:tc>
          <w:tcPr>
            <w:tcW w:w="709" w:type="dxa"/>
            <w:vMerge w:val="restart"/>
            <w:vAlign w:val="center"/>
          </w:tcPr>
          <w:p w14:paraId="70C6587D"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2</w:t>
            </w:r>
          </w:p>
        </w:tc>
        <w:tc>
          <w:tcPr>
            <w:tcW w:w="1164" w:type="dxa"/>
            <w:vMerge/>
            <w:vAlign w:val="center"/>
          </w:tcPr>
          <w:p w14:paraId="043DB903"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restart"/>
            <w:vAlign w:val="center"/>
          </w:tcPr>
          <w:p w14:paraId="4EEF5678"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限养区</w:t>
            </w:r>
          </w:p>
        </w:tc>
        <w:tc>
          <w:tcPr>
            <w:tcW w:w="4320" w:type="dxa"/>
            <w:vAlign w:val="center"/>
          </w:tcPr>
          <w:p w14:paraId="4ED52424"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饮用水源准保护区限养区</w:t>
            </w:r>
          </w:p>
        </w:tc>
        <w:tc>
          <w:tcPr>
            <w:tcW w:w="1560" w:type="dxa"/>
            <w:vAlign w:val="center"/>
          </w:tcPr>
          <w:p w14:paraId="61D85E28"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21.0907</w:t>
            </w:r>
          </w:p>
        </w:tc>
        <w:tc>
          <w:tcPr>
            <w:tcW w:w="1277" w:type="dxa"/>
            <w:vAlign w:val="center"/>
          </w:tcPr>
          <w:p w14:paraId="44A0FFA5"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1.19%</w:t>
            </w:r>
          </w:p>
        </w:tc>
        <w:tc>
          <w:tcPr>
            <w:tcW w:w="1560" w:type="dxa"/>
            <w:vAlign w:val="center"/>
          </w:tcPr>
          <w:p w14:paraId="6F7C31FC"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16.7528</w:t>
            </w:r>
          </w:p>
        </w:tc>
        <w:tc>
          <w:tcPr>
            <w:tcW w:w="993" w:type="dxa"/>
            <w:vMerge w:val="restart"/>
            <w:vAlign w:val="center"/>
          </w:tcPr>
          <w:p w14:paraId="0A96709C"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175.04</w:t>
            </w:r>
          </w:p>
        </w:tc>
        <w:tc>
          <w:tcPr>
            <w:tcW w:w="1221" w:type="dxa"/>
            <w:vAlign w:val="center"/>
          </w:tcPr>
          <w:p w14:paraId="486ABF0D"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0.94%</w:t>
            </w:r>
          </w:p>
        </w:tc>
        <w:tc>
          <w:tcPr>
            <w:tcW w:w="1134" w:type="dxa"/>
            <w:vMerge w:val="restart"/>
            <w:vAlign w:val="center"/>
          </w:tcPr>
          <w:p w14:paraId="42304045"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9.84%</w:t>
            </w:r>
          </w:p>
        </w:tc>
      </w:tr>
      <w:tr w:rsidR="002712EA" w14:paraId="50F7D9D7" w14:textId="77777777">
        <w:trPr>
          <w:trHeight w:hRule="exact" w:val="510"/>
          <w:jc w:val="center"/>
        </w:trPr>
        <w:tc>
          <w:tcPr>
            <w:tcW w:w="709" w:type="dxa"/>
            <w:vMerge/>
            <w:vAlign w:val="center"/>
          </w:tcPr>
          <w:p w14:paraId="3C8D728E"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197086A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0CE9AE8D"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7BDA0573"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自然保护区实验区限养区</w:t>
            </w:r>
          </w:p>
        </w:tc>
        <w:tc>
          <w:tcPr>
            <w:tcW w:w="1560" w:type="dxa"/>
            <w:vAlign w:val="center"/>
          </w:tcPr>
          <w:p w14:paraId="76100FC0"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224.4363</w:t>
            </w:r>
          </w:p>
        </w:tc>
        <w:tc>
          <w:tcPr>
            <w:tcW w:w="1277" w:type="dxa"/>
            <w:vAlign w:val="center"/>
          </w:tcPr>
          <w:p w14:paraId="61392612"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12.62%</w:t>
            </w:r>
          </w:p>
        </w:tc>
        <w:tc>
          <w:tcPr>
            <w:tcW w:w="1560" w:type="dxa"/>
            <w:vAlign w:val="center"/>
          </w:tcPr>
          <w:p w14:paraId="68765AFA"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135.4922</w:t>
            </w:r>
          </w:p>
        </w:tc>
        <w:tc>
          <w:tcPr>
            <w:tcW w:w="993" w:type="dxa"/>
            <w:vMerge/>
            <w:vAlign w:val="center"/>
          </w:tcPr>
          <w:p w14:paraId="1F8D0BE1"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010D6F2A"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7.62%</w:t>
            </w:r>
          </w:p>
        </w:tc>
        <w:tc>
          <w:tcPr>
            <w:tcW w:w="1134" w:type="dxa"/>
            <w:vMerge/>
            <w:vAlign w:val="center"/>
          </w:tcPr>
          <w:p w14:paraId="7B6E491D"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756955FD" w14:textId="77777777">
        <w:trPr>
          <w:trHeight w:hRule="exact" w:val="510"/>
          <w:jc w:val="center"/>
        </w:trPr>
        <w:tc>
          <w:tcPr>
            <w:tcW w:w="709" w:type="dxa"/>
            <w:vMerge/>
            <w:vAlign w:val="center"/>
          </w:tcPr>
          <w:p w14:paraId="4F6CFFAC"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239938E9"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48290ACD"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6990313D"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生态保护红线限养区</w:t>
            </w:r>
          </w:p>
        </w:tc>
        <w:tc>
          <w:tcPr>
            <w:tcW w:w="1560" w:type="dxa"/>
            <w:vAlign w:val="center"/>
          </w:tcPr>
          <w:p w14:paraId="5BBDD809"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14.7346</w:t>
            </w:r>
          </w:p>
        </w:tc>
        <w:tc>
          <w:tcPr>
            <w:tcW w:w="1277" w:type="dxa"/>
            <w:vAlign w:val="center"/>
          </w:tcPr>
          <w:p w14:paraId="1D15BA2C"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0.83%</w:t>
            </w:r>
          </w:p>
        </w:tc>
        <w:tc>
          <w:tcPr>
            <w:tcW w:w="1560" w:type="dxa"/>
            <w:vAlign w:val="center"/>
          </w:tcPr>
          <w:p w14:paraId="6593E8D9"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4.5849</w:t>
            </w:r>
          </w:p>
        </w:tc>
        <w:tc>
          <w:tcPr>
            <w:tcW w:w="993" w:type="dxa"/>
            <w:vMerge/>
            <w:vAlign w:val="center"/>
          </w:tcPr>
          <w:p w14:paraId="7658B5E1"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44466BE7"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0.26%</w:t>
            </w:r>
          </w:p>
        </w:tc>
        <w:tc>
          <w:tcPr>
            <w:tcW w:w="1134" w:type="dxa"/>
            <w:vMerge/>
            <w:vAlign w:val="center"/>
          </w:tcPr>
          <w:p w14:paraId="5CA65DCC"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6215DEC0" w14:textId="77777777">
        <w:trPr>
          <w:trHeight w:hRule="exact" w:val="510"/>
          <w:jc w:val="center"/>
        </w:trPr>
        <w:tc>
          <w:tcPr>
            <w:tcW w:w="709" w:type="dxa"/>
            <w:vMerge/>
            <w:vAlign w:val="center"/>
          </w:tcPr>
          <w:p w14:paraId="6514C6EA"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691FF086"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095B25A4"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08BFB9B5"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自然保护地限养区</w:t>
            </w:r>
          </w:p>
        </w:tc>
        <w:tc>
          <w:tcPr>
            <w:tcW w:w="1560" w:type="dxa"/>
            <w:vAlign w:val="center"/>
          </w:tcPr>
          <w:p w14:paraId="3E43FFEA"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56.2796</w:t>
            </w:r>
          </w:p>
        </w:tc>
        <w:tc>
          <w:tcPr>
            <w:tcW w:w="1277" w:type="dxa"/>
            <w:vAlign w:val="center"/>
          </w:tcPr>
          <w:p w14:paraId="51BD7F76"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3.16%</w:t>
            </w:r>
          </w:p>
        </w:tc>
        <w:tc>
          <w:tcPr>
            <w:tcW w:w="1560" w:type="dxa"/>
            <w:vAlign w:val="center"/>
          </w:tcPr>
          <w:p w14:paraId="6DCFA855"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0.6413</w:t>
            </w:r>
          </w:p>
        </w:tc>
        <w:tc>
          <w:tcPr>
            <w:tcW w:w="993" w:type="dxa"/>
            <w:vMerge/>
            <w:vAlign w:val="center"/>
          </w:tcPr>
          <w:p w14:paraId="5279B63F"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225161FC"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0.04%</w:t>
            </w:r>
          </w:p>
        </w:tc>
        <w:tc>
          <w:tcPr>
            <w:tcW w:w="1134" w:type="dxa"/>
            <w:vMerge/>
            <w:vAlign w:val="center"/>
          </w:tcPr>
          <w:p w14:paraId="2728C4E2"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52263EDE" w14:textId="77777777">
        <w:trPr>
          <w:trHeight w:hRule="exact" w:val="510"/>
          <w:jc w:val="center"/>
        </w:trPr>
        <w:tc>
          <w:tcPr>
            <w:tcW w:w="709" w:type="dxa"/>
            <w:vMerge/>
            <w:vAlign w:val="center"/>
          </w:tcPr>
          <w:p w14:paraId="7C0F64FB"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75A1ED56"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601AFBB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0636B475"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重点河道干流两岸限养区</w:t>
            </w:r>
          </w:p>
        </w:tc>
        <w:tc>
          <w:tcPr>
            <w:tcW w:w="1560" w:type="dxa"/>
            <w:vAlign w:val="center"/>
          </w:tcPr>
          <w:p w14:paraId="7BB5A958"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32.0467</w:t>
            </w:r>
          </w:p>
        </w:tc>
        <w:tc>
          <w:tcPr>
            <w:tcW w:w="1277" w:type="dxa"/>
            <w:vAlign w:val="center"/>
          </w:tcPr>
          <w:p w14:paraId="032E81B2"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1.80%</w:t>
            </w:r>
          </w:p>
        </w:tc>
        <w:tc>
          <w:tcPr>
            <w:tcW w:w="1560" w:type="dxa"/>
            <w:vAlign w:val="center"/>
          </w:tcPr>
          <w:p w14:paraId="2A322C5C" w14:textId="77777777" w:rsidR="002712EA" w:rsidRDefault="00000000">
            <w:pPr>
              <w:pStyle w:val="-WJG"/>
              <w:spacing w:line="320" w:lineRule="exact"/>
              <w:rPr>
                <w:rFonts w:ascii="仿宋_GB2312" w:eastAsia="仿宋_GB2312" w:hAnsi="仿宋_GB2312" w:cs="仿宋_GB2312" w:hint="eastAsia"/>
                <w:snapToGrid w:val="0"/>
                <w:kern w:val="28"/>
                <w:position w:val="-24"/>
                <w:sz w:val="24"/>
                <w:szCs w:val="24"/>
              </w:rPr>
            </w:pPr>
            <w:r>
              <w:rPr>
                <w:rFonts w:ascii="仿宋_GB2312" w:eastAsia="仿宋_GB2312" w:hAnsi="仿宋_GB2312" w:cs="仿宋_GB2312" w:hint="eastAsia"/>
                <w:sz w:val="24"/>
                <w:szCs w:val="24"/>
              </w:rPr>
              <w:t>11.9751</w:t>
            </w:r>
          </w:p>
        </w:tc>
        <w:tc>
          <w:tcPr>
            <w:tcW w:w="993" w:type="dxa"/>
            <w:vMerge/>
            <w:vAlign w:val="center"/>
          </w:tcPr>
          <w:p w14:paraId="61DC7CB8"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62A991A2"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0.67%</w:t>
            </w:r>
          </w:p>
        </w:tc>
        <w:tc>
          <w:tcPr>
            <w:tcW w:w="1134" w:type="dxa"/>
            <w:vMerge/>
            <w:vAlign w:val="center"/>
          </w:tcPr>
          <w:p w14:paraId="1E44D82F"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31C33ED1" w14:textId="77777777">
        <w:trPr>
          <w:trHeight w:hRule="exact" w:val="510"/>
          <w:jc w:val="center"/>
        </w:trPr>
        <w:tc>
          <w:tcPr>
            <w:tcW w:w="709" w:type="dxa"/>
            <w:vMerge/>
            <w:vAlign w:val="center"/>
          </w:tcPr>
          <w:p w14:paraId="2046A28B"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50D66472"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4BD83ADC"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4156F4C5"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文物保护单位周围建设控制地带限养区</w:t>
            </w:r>
          </w:p>
        </w:tc>
        <w:tc>
          <w:tcPr>
            <w:tcW w:w="1560" w:type="dxa"/>
            <w:vAlign w:val="center"/>
          </w:tcPr>
          <w:p w14:paraId="3FF90428"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6.3442</w:t>
            </w:r>
          </w:p>
        </w:tc>
        <w:tc>
          <w:tcPr>
            <w:tcW w:w="1277" w:type="dxa"/>
            <w:vAlign w:val="center"/>
          </w:tcPr>
          <w:p w14:paraId="4F213D29"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0.36%</w:t>
            </w:r>
          </w:p>
        </w:tc>
        <w:tc>
          <w:tcPr>
            <w:tcW w:w="1560" w:type="dxa"/>
            <w:vAlign w:val="center"/>
          </w:tcPr>
          <w:p w14:paraId="49342470"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3.0879</w:t>
            </w:r>
          </w:p>
        </w:tc>
        <w:tc>
          <w:tcPr>
            <w:tcW w:w="993" w:type="dxa"/>
            <w:vMerge/>
            <w:vAlign w:val="center"/>
          </w:tcPr>
          <w:p w14:paraId="7066AEA8"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2E47584C"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0.17%</w:t>
            </w:r>
          </w:p>
        </w:tc>
        <w:tc>
          <w:tcPr>
            <w:tcW w:w="1134" w:type="dxa"/>
            <w:vMerge/>
            <w:vAlign w:val="center"/>
          </w:tcPr>
          <w:p w14:paraId="0213196E"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727CEDE4" w14:textId="77777777">
        <w:trPr>
          <w:trHeight w:hRule="exact" w:val="510"/>
          <w:jc w:val="center"/>
        </w:trPr>
        <w:tc>
          <w:tcPr>
            <w:tcW w:w="709" w:type="dxa"/>
            <w:vMerge/>
            <w:vAlign w:val="center"/>
          </w:tcPr>
          <w:p w14:paraId="2A4DB810"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64" w:type="dxa"/>
            <w:vMerge/>
            <w:vAlign w:val="center"/>
          </w:tcPr>
          <w:p w14:paraId="029B0A05"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Merge/>
            <w:vAlign w:val="center"/>
          </w:tcPr>
          <w:p w14:paraId="10DC0AE1"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4320" w:type="dxa"/>
            <w:vAlign w:val="center"/>
          </w:tcPr>
          <w:p w14:paraId="649A21E5"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城镇建成区以外的城镇开发区域限养区</w:t>
            </w:r>
          </w:p>
        </w:tc>
        <w:tc>
          <w:tcPr>
            <w:tcW w:w="1560" w:type="dxa"/>
            <w:vAlign w:val="center"/>
          </w:tcPr>
          <w:p w14:paraId="08133BF7"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2.5163</w:t>
            </w:r>
          </w:p>
        </w:tc>
        <w:tc>
          <w:tcPr>
            <w:tcW w:w="1277" w:type="dxa"/>
            <w:vAlign w:val="center"/>
          </w:tcPr>
          <w:p w14:paraId="64F02A2D"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0.14%</w:t>
            </w:r>
          </w:p>
        </w:tc>
        <w:tc>
          <w:tcPr>
            <w:tcW w:w="1560" w:type="dxa"/>
            <w:vAlign w:val="center"/>
          </w:tcPr>
          <w:p w14:paraId="6C8EEA12"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2.5059</w:t>
            </w:r>
          </w:p>
        </w:tc>
        <w:tc>
          <w:tcPr>
            <w:tcW w:w="993" w:type="dxa"/>
            <w:vMerge/>
            <w:vAlign w:val="center"/>
          </w:tcPr>
          <w:p w14:paraId="41B699B1"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221" w:type="dxa"/>
            <w:vAlign w:val="center"/>
          </w:tcPr>
          <w:p w14:paraId="1532FD89"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0.14%</w:t>
            </w:r>
          </w:p>
        </w:tc>
        <w:tc>
          <w:tcPr>
            <w:tcW w:w="1134" w:type="dxa"/>
            <w:vMerge/>
            <w:vAlign w:val="center"/>
          </w:tcPr>
          <w:p w14:paraId="60352944" w14:textId="77777777" w:rsidR="002712EA" w:rsidRDefault="002712EA">
            <w:pPr>
              <w:pStyle w:val="-WJG"/>
              <w:spacing w:line="320" w:lineRule="exact"/>
              <w:rPr>
                <w:rFonts w:ascii="仿宋_GB2312" w:eastAsia="仿宋_GB2312" w:hAnsi="仿宋_GB2312" w:cs="仿宋_GB2312" w:hint="eastAsia"/>
                <w:sz w:val="24"/>
                <w:szCs w:val="24"/>
              </w:rPr>
            </w:pPr>
          </w:p>
        </w:tc>
      </w:tr>
      <w:tr w:rsidR="002712EA" w14:paraId="14B3C7AE" w14:textId="77777777">
        <w:trPr>
          <w:trHeight w:hRule="exact" w:val="789"/>
          <w:jc w:val="center"/>
        </w:trPr>
        <w:tc>
          <w:tcPr>
            <w:tcW w:w="709" w:type="dxa"/>
            <w:vAlign w:val="center"/>
          </w:tcPr>
          <w:p w14:paraId="3DBF3C03"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3</w:t>
            </w:r>
          </w:p>
        </w:tc>
        <w:tc>
          <w:tcPr>
            <w:tcW w:w="1164" w:type="dxa"/>
            <w:vMerge/>
            <w:vAlign w:val="center"/>
          </w:tcPr>
          <w:p w14:paraId="6C6E266A" w14:textId="77777777" w:rsidR="002712EA" w:rsidRDefault="002712EA">
            <w:pPr>
              <w:pStyle w:val="-WJG"/>
              <w:spacing w:line="320" w:lineRule="exact"/>
              <w:rPr>
                <w:rFonts w:ascii="仿宋_GB2312" w:eastAsia="仿宋_GB2312" w:hAnsi="仿宋_GB2312" w:cs="仿宋_GB2312" w:hint="eastAsia"/>
                <w:snapToGrid w:val="0"/>
                <w:sz w:val="24"/>
                <w:szCs w:val="24"/>
              </w:rPr>
            </w:pPr>
          </w:p>
        </w:tc>
        <w:tc>
          <w:tcPr>
            <w:tcW w:w="1135" w:type="dxa"/>
            <w:vAlign w:val="center"/>
          </w:tcPr>
          <w:p w14:paraId="58C49CDA"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适养区</w:t>
            </w:r>
          </w:p>
        </w:tc>
        <w:tc>
          <w:tcPr>
            <w:tcW w:w="4320" w:type="dxa"/>
            <w:vAlign w:val="center"/>
          </w:tcPr>
          <w:p w14:paraId="09C24A37"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除禁养区和限养区以外，且符合相关规划、法律法规和规范性文件的其他区域</w:t>
            </w:r>
          </w:p>
        </w:tc>
        <w:tc>
          <w:tcPr>
            <w:tcW w:w="1560" w:type="dxa"/>
            <w:vAlign w:val="center"/>
          </w:tcPr>
          <w:p w14:paraId="7DA5CC7C"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w:t>
            </w:r>
          </w:p>
        </w:tc>
        <w:tc>
          <w:tcPr>
            <w:tcW w:w="1277" w:type="dxa"/>
            <w:vAlign w:val="center"/>
          </w:tcPr>
          <w:p w14:paraId="5CA2AD34"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w:t>
            </w:r>
          </w:p>
        </w:tc>
        <w:tc>
          <w:tcPr>
            <w:tcW w:w="1560" w:type="dxa"/>
            <w:vAlign w:val="center"/>
          </w:tcPr>
          <w:p w14:paraId="67DB7CFA" w14:textId="77777777" w:rsidR="002712EA" w:rsidRDefault="00000000">
            <w:pPr>
              <w:pStyle w:val="-WJG"/>
              <w:spacing w:line="320" w:lineRule="exact"/>
              <w:rPr>
                <w:rFonts w:ascii="仿宋_GB2312" w:eastAsia="仿宋_GB2312" w:hAnsi="仿宋_GB2312" w:cs="仿宋_GB2312" w:hint="eastAsia"/>
                <w:snapToGrid w:val="0"/>
                <w:sz w:val="24"/>
                <w:szCs w:val="24"/>
              </w:rPr>
            </w:pPr>
            <w:r>
              <w:rPr>
                <w:rFonts w:ascii="仿宋_GB2312" w:eastAsia="仿宋_GB2312" w:hAnsi="仿宋_GB2312" w:cs="仿宋_GB2312" w:hint="eastAsia"/>
                <w:snapToGrid w:val="0"/>
                <w:sz w:val="24"/>
                <w:szCs w:val="24"/>
              </w:rPr>
              <w:t>907.08</w:t>
            </w:r>
          </w:p>
        </w:tc>
        <w:tc>
          <w:tcPr>
            <w:tcW w:w="993" w:type="dxa"/>
            <w:vAlign w:val="center"/>
          </w:tcPr>
          <w:p w14:paraId="6A5681E5" w14:textId="77777777" w:rsidR="002712EA" w:rsidRDefault="00000000">
            <w:pPr>
              <w:pStyle w:val="-WJG"/>
              <w:spacing w:line="32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sz w:val="24"/>
                <w:szCs w:val="24"/>
              </w:rPr>
              <w:t>907.08</w:t>
            </w:r>
          </w:p>
        </w:tc>
        <w:tc>
          <w:tcPr>
            <w:tcW w:w="1221" w:type="dxa"/>
            <w:vAlign w:val="center"/>
          </w:tcPr>
          <w:p w14:paraId="13C230CB"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51.10%</w:t>
            </w:r>
          </w:p>
        </w:tc>
        <w:tc>
          <w:tcPr>
            <w:tcW w:w="1134" w:type="dxa"/>
            <w:vAlign w:val="center"/>
          </w:tcPr>
          <w:p w14:paraId="1BD6A63A" w14:textId="77777777" w:rsidR="002712EA" w:rsidRDefault="00000000">
            <w:pPr>
              <w:pStyle w:val="-WJG"/>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50.99%</w:t>
            </w:r>
          </w:p>
        </w:tc>
      </w:tr>
    </w:tbl>
    <w:p w14:paraId="50001210" w14:textId="77777777" w:rsidR="002712EA" w:rsidRDefault="002712EA">
      <w:pPr>
        <w:pStyle w:val="a0"/>
        <w:spacing w:line="20" w:lineRule="exact"/>
        <w:ind w:firstLineChars="0" w:firstLine="0"/>
        <w:rPr>
          <w:rFonts w:hint="default"/>
        </w:rPr>
        <w:sectPr w:rsidR="002712EA">
          <w:pgSz w:w="16838" w:h="11906" w:orient="landscape"/>
          <w:pgMar w:top="850" w:right="567" w:bottom="850" w:left="567" w:header="851" w:footer="680" w:gutter="0"/>
          <w:pgNumType w:fmt="numberInDash"/>
          <w:cols w:space="0"/>
          <w:docGrid w:type="lines" w:linePitch="442"/>
        </w:sectPr>
      </w:pPr>
    </w:p>
    <w:p w14:paraId="2DC1BDF7" w14:textId="77777777" w:rsidR="002712EA" w:rsidRDefault="002712EA">
      <w:pPr>
        <w:pStyle w:val="a0"/>
        <w:spacing w:line="20" w:lineRule="exact"/>
        <w:ind w:firstLine="640"/>
        <w:rPr>
          <w:rFonts w:ascii="仿宋_GB2312" w:eastAsia="仿宋_GB2312" w:hAnsi="仿宋_GB2312" w:cs="仿宋_GB2312"/>
          <w:color w:val="000000" w:themeColor="text1"/>
          <w:kern w:val="0"/>
          <w:szCs w:val="32"/>
        </w:rPr>
      </w:pPr>
    </w:p>
    <w:p w14:paraId="7CA17183" w14:textId="77777777" w:rsidR="002712EA" w:rsidRDefault="002712EA">
      <w:pPr>
        <w:pStyle w:val="11"/>
      </w:pPr>
    </w:p>
    <w:p w14:paraId="588CA50D" w14:textId="77777777" w:rsidR="002712EA" w:rsidRDefault="002712EA">
      <w:pPr>
        <w:ind w:firstLine="640"/>
      </w:pPr>
    </w:p>
    <w:p w14:paraId="26A4C44F" w14:textId="77777777" w:rsidR="002712EA" w:rsidRDefault="002712EA">
      <w:pPr>
        <w:pStyle w:val="a0"/>
        <w:ind w:firstLine="640"/>
        <w:rPr>
          <w:rFonts w:hint="default"/>
        </w:rPr>
      </w:pPr>
    </w:p>
    <w:p w14:paraId="1A0BC359" w14:textId="77777777" w:rsidR="002712EA" w:rsidRDefault="002712EA">
      <w:pPr>
        <w:pStyle w:val="11"/>
      </w:pPr>
    </w:p>
    <w:p w14:paraId="5051ED18" w14:textId="77777777" w:rsidR="002712EA" w:rsidRDefault="002712EA">
      <w:pPr>
        <w:ind w:firstLine="640"/>
      </w:pPr>
    </w:p>
    <w:p w14:paraId="7201A1A9" w14:textId="77777777" w:rsidR="002712EA" w:rsidRDefault="002712EA">
      <w:pPr>
        <w:pStyle w:val="11"/>
        <w:rPr>
          <w:rFonts w:ascii="仿宋_GB2312" w:eastAsia="仿宋_GB2312" w:hAnsi="仿宋_GB2312" w:cs="仿宋_GB2312" w:hint="eastAsia"/>
          <w:color w:val="000000" w:themeColor="text1"/>
          <w:sz w:val="32"/>
          <w:szCs w:val="32"/>
        </w:rPr>
      </w:pPr>
    </w:p>
    <w:p w14:paraId="43A3B878" w14:textId="77777777" w:rsidR="002712EA" w:rsidRDefault="002712EA">
      <w:pPr>
        <w:ind w:firstLine="640"/>
        <w:rPr>
          <w:rFonts w:ascii="仿宋_GB2312" w:eastAsia="仿宋_GB2312" w:hAnsi="仿宋_GB2312" w:cs="仿宋_GB2312" w:hint="eastAsia"/>
          <w:color w:val="000000" w:themeColor="text1"/>
          <w:kern w:val="0"/>
          <w:szCs w:val="32"/>
        </w:rPr>
      </w:pPr>
    </w:p>
    <w:p w14:paraId="7AE8B8F8" w14:textId="77777777" w:rsidR="002712EA" w:rsidRDefault="002712EA">
      <w:pPr>
        <w:pStyle w:val="a0"/>
        <w:ind w:firstLine="640"/>
        <w:rPr>
          <w:rFonts w:ascii="仿宋_GB2312" w:eastAsia="仿宋_GB2312" w:hAnsi="仿宋_GB2312" w:cs="仿宋_GB2312"/>
          <w:color w:val="000000" w:themeColor="text1"/>
          <w:kern w:val="0"/>
          <w:szCs w:val="32"/>
        </w:rPr>
      </w:pPr>
    </w:p>
    <w:p w14:paraId="4D0CF914" w14:textId="77777777" w:rsidR="002712EA" w:rsidRDefault="002712EA">
      <w:pPr>
        <w:pStyle w:val="11"/>
        <w:rPr>
          <w:rFonts w:ascii="仿宋_GB2312" w:eastAsia="仿宋_GB2312" w:hAnsi="仿宋_GB2312" w:cs="仿宋_GB2312" w:hint="eastAsia"/>
          <w:color w:val="000000" w:themeColor="text1"/>
          <w:sz w:val="32"/>
          <w:szCs w:val="32"/>
        </w:rPr>
      </w:pPr>
    </w:p>
    <w:p w14:paraId="05BC5F31" w14:textId="77777777" w:rsidR="002712EA" w:rsidRDefault="002712EA">
      <w:pPr>
        <w:ind w:firstLine="640"/>
        <w:rPr>
          <w:rFonts w:ascii="仿宋_GB2312" w:eastAsia="仿宋_GB2312" w:hAnsi="仿宋_GB2312" w:cs="仿宋_GB2312" w:hint="eastAsia"/>
          <w:color w:val="000000" w:themeColor="text1"/>
          <w:kern w:val="0"/>
          <w:szCs w:val="32"/>
        </w:rPr>
      </w:pPr>
    </w:p>
    <w:p w14:paraId="269C95FF" w14:textId="77777777" w:rsidR="002712EA" w:rsidRDefault="002712EA">
      <w:pPr>
        <w:pStyle w:val="a0"/>
        <w:ind w:firstLine="640"/>
        <w:rPr>
          <w:rFonts w:ascii="仿宋_GB2312" w:eastAsia="仿宋_GB2312" w:hAnsi="仿宋_GB2312" w:cs="仿宋_GB2312"/>
          <w:color w:val="000000" w:themeColor="text1"/>
          <w:kern w:val="0"/>
          <w:szCs w:val="32"/>
        </w:rPr>
      </w:pPr>
    </w:p>
    <w:p w14:paraId="60331E25" w14:textId="77777777" w:rsidR="002712EA" w:rsidRDefault="002712EA">
      <w:pPr>
        <w:pStyle w:val="11"/>
        <w:rPr>
          <w:rFonts w:ascii="仿宋_GB2312" w:eastAsia="仿宋_GB2312" w:hAnsi="仿宋_GB2312" w:cs="仿宋_GB2312" w:hint="eastAsia"/>
          <w:color w:val="000000" w:themeColor="text1"/>
          <w:sz w:val="32"/>
          <w:szCs w:val="32"/>
        </w:rPr>
      </w:pPr>
    </w:p>
    <w:p w14:paraId="2418485C" w14:textId="77777777" w:rsidR="002712EA" w:rsidRDefault="002712EA">
      <w:pPr>
        <w:ind w:firstLine="640"/>
        <w:rPr>
          <w:rFonts w:ascii="仿宋_GB2312" w:eastAsia="仿宋_GB2312" w:hAnsi="仿宋_GB2312" w:cs="仿宋_GB2312" w:hint="eastAsia"/>
          <w:color w:val="000000" w:themeColor="text1"/>
          <w:kern w:val="0"/>
          <w:szCs w:val="32"/>
        </w:rPr>
      </w:pPr>
    </w:p>
    <w:p w14:paraId="529CBFDF" w14:textId="77777777" w:rsidR="002712EA" w:rsidRDefault="002712EA">
      <w:pPr>
        <w:pStyle w:val="a0"/>
        <w:ind w:firstLine="640"/>
        <w:rPr>
          <w:rFonts w:ascii="仿宋_GB2312" w:eastAsia="仿宋_GB2312" w:hAnsi="仿宋_GB2312" w:cs="仿宋_GB2312"/>
          <w:color w:val="000000" w:themeColor="text1"/>
          <w:kern w:val="0"/>
          <w:szCs w:val="32"/>
        </w:rPr>
      </w:pPr>
    </w:p>
    <w:p w14:paraId="6279AEAB" w14:textId="77777777" w:rsidR="002712EA" w:rsidRDefault="002712EA">
      <w:pPr>
        <w:pStyle w:val="11"/>
        <w:rPr>
          <w:rFonts w:ascii="仿宋_GB2312" w:eastAsia="仿宋_GB2312" w:hAnsi="仿宋_GB2312" w:cs="仿宋_GB2312" w:hint="eastAsia"/>
          <w:color w:val="000000" w:themeColor="text1"/>
          <w:sz w:val="32"/>
          <w:szCs w:val="32"/>
        </w:rPr>
      </w:pPr>
    </w:p>
    <w:p w14:paraId="712EBC19" w14:textId="77777777" w:rsidR="002712EA" w:rsidRDefault="002712EA">
      <w:pPr>
        <w:ind w:firstLine="640"/>
        <w:rPr>
          <w:rFonts w:ascii="仿宋_GB2312" w:eastAsia="仿宋_GB2312" w:hAnsi="仿宋_GB2312" w:cs="仿宋_GB2312" w:hint="eastAsia"/>
          <w:color w:val="000000" w:themeColor="text1"/>
          <w:kern w:val="0"/>
          <w:szCs w:val="32"/>
        </w:rPr>
      </w:pPr>
    </w:p>
    <w:p w14:paraId="28F2ED17" w14:textId="77777777" w:rsidR="002712EA" w:rsidRDefault="002712EA">
      <w:pPr>
        <w:pStyle w:val="a0"/>
        <w:ind w:firstLine="640"/>
        <w:rPr>
          <w:rFonts w:ascii="仿宋_GB2312" w:eastAsia="仿宋_GB2312" w:hAnsi="仿宋_GB2312" w:cs="仿宋_GB2312"/>
          <w:color w:val="000000" w:themeColor="text1"/>
          <w:kern w:val="0"/>
          <w:szCs w:val="32"/>
        </w:rPr>
      </w:pPr>
    </w:p>
    <w:p w14:paraId="0A7E5550" w14:textId="77777777" w:rsidR="002712EA" w:rsidRDefault="002712EA">
      <w:pPr>
        <w:pStyle w:val="11"/>
      </w:pPr>
    </w:p>
    <w:p w14:paraId="2B9B9C41" w14:textId="77777777" w:rsidR="002712EA" w:rsidRDefault="002712EA">
      <w:pPr>
        <w:pStyle w:val="a0"/>
        <w:ind w:firstLine="640"/>
        <w:rPr>
          <w:rFonts w:ascii="仿宋_GB2312" w:eastAsia="仿宋_GB2312" w:hAnsi="仿宋_GB2312" w:cs="仿宋_GB2312"/>
          <w:color w:val="000000" w:themeColor="text1"/>
          <w:kern w:val="0"/>
          <w:szCs w:val="32"/>
        </w:rPr>
      </w:pPr>
    </w:p>
    <w:p w14:paraId="0BC63A51" w14:textId="77777777" w:rsidR="002712EA" w:rsidRDefault="002712EA">
      <w:pPr>
        <w:pStyle w:val="a9"/>
        <w:widowControl w:val="0"/>
        <w:shd w:val="clear" w:color="auto" w:fill="FFFFFF"/>
        <w:spacing w:before="0" w:beforeAutospacing="0" w:after="0" w:afterAutospacing="0" w:line="440" w:lineRule="exact"/>
        <w:ind w:firstLineChars="0" w:firstLine="1083"/>
        <w:jc w:val="both"/>
        <w:rPr>
          <w:rFonts w:ascii="仿宋_GB2312" w:eastAsia="仿宋_GB2312" w:hAnsi="微软雅黑" w:hint="eastAsia"/>
          <w:color w:val="000000"/>
          <w:sz w:val="32"/>
          <w:szCs w:val="32"/>
        </w:rPr>
      </w:pPr>
    </w:p>
    <w:tbl>
      <w:tblPr>
        <w:tblStyle w:val="aa"/>
        <w:tblW w:w="9004" w:type="dxa"/>
        <w:jc w:val="center"/>
        <w:tblLayout w:type="fixed"/>
        <w:tblLook w:val="04A0" w:firstRow="1" w:lastRow="0" w:firstColumn="1" w:lastColumn="0" w:noHBand="0" w:noVBand="1"/>
      </w:tblPr>
      <w:tblGrid>
        <w:gridCol w:w="9004"/>
      </w:tblGrid>
      <w:tr w:rsidR="002712EA" w14:paraId="622E6988" w14:textId="77777777">
        <w:trPr>
          <w:trHeight w:val="1385"/>
          <w:jc w:val="center"/>
        </w:trPr>
        <w:tc>
          <w:tcPr>
            <w:tcW w:w="9004" w:type="dxa"/>
            <w:tcBorders>
              <w:top w:val="single" w:sz="4" w:space="0" w:color="auto"/>
              <w:left w:val="nil"/>
              <w:bottom w:val="single" w:sz="4" w:space="0" w:color="auto"/>
              <w:right w:val="nil"/>
            </w:tcBorders>
            <w:vAlign w:val="center"/>
          </w:tcPr>
          <w:p w14:paraId="4EB7DA97" w14:textId="77777777" w:rsidR="002712EA" w:rsidRDefault="00000000">
            <w:pPr>
              <w:spacing w:line="440" w:lineRule="exact"/>
              <w:ind w:firstLineChars="112" w:firstLine="314"/>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lang w:bidi="ar"/>
              </w:rPr>
              <w:lastRenderedPageBreak/>
              <w:t>抄送：市委各部门，市人武部。</w:t>
            </w:r>
          </w:p>
          <w:p w14:paraId="7E49B04A" w14:textId="77777777" w:rsidR="002712EA" w:rsidRDefault="00000000">
            <w:pPr>
              <w:spacing w:line="440" w:lineRule="exact"/>
              <w:ind w:firstLineChars="412" w:firstLine="1154"/>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lang w:bidi="ar"/>
              </w:rPr>
              <w:t>市人大常委会办公室，市政协办公室，市人民法院，</w:t>
            </w:r>
          </w:p>
          <w:p w14:paraId="6BFCF420" w14:textId="77777777" w:rsidR="002712EA" w:rsidRDefault="00000000">
            <w:pPr>
              <w:spacing w:line="440" w:lineRule="exact"/>
              <w:ind w:firstLineChars="412" w:firstLine="1154"/>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lang w:bidi="ar"/>
              </w:rPr>
              <w:t>市人民检察院。</w:t>
            </w:r>
          </w:p>
        </w:tc>
      </w:tr>
      <w:tr w:rsidR="002712EA" w14:paraId="18EDFF62" w14:textId="77777777">
        <w:trPr>
          <w:trHeight w:val="532"/>
          <w:jc w:val="center"/>
        </w:trPr>
        <w:tc>
          <w:tcPr>
            <w:tcW w:w="9004" w:type="dxa"/>
            <w:tcBorders>
              <w:top w:val="single" w:sz="4" w:space="0" w:color="auto"/>
              <w:left w:val="nil"/>
              <w:bottom w:val="single" w:sz="4" w:space="0" w:color="auto"/>
              <w:right w:val="nil"/>
            </w:tcBorders>
            <w:vAlign w:val="center"/>
          </w:tcPr>
          <w:p w14:paraId="299374A1" w14:textId="77777777" w:rsidR="002712EA" w:rsidRDefault="00000000">
            <w:pPr>
              <w:spacing w:line="400" w:lineRule="exact"/>
              <w:ind w:firstLineChars="112" w:firstLine="314"/>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lang w:bidi="ar"/>
              </w:rPr>
              <w:t>邵东市人民政府办公室                   2024年6月24日印发</w:t>
            </w:r>
          </w:p>
        </w:tc>
      </w:tr>
    </w:tbl>
    <w:p w14:paraId="7D6B2398" w14:textId="77777777" w:rsidR="002712EA" w:rsidRDefault="002712EA">
      <w:pPr>
        <w:pStyle w:val="a0"/>
        <w:widowControl/>
        <w:kinsoku w:val="0"/>
        <w:autoSpaceDE w:val="0"/>
        <w:autoSpaceDN w:val="0"/>
        <w:adjustRightInd w:val="0"/>
        <w:snapToGrid w:val="0"/>
        <w:spacing w:line="20" w:lineRule="exact"/>
        <w:ind w:firstLine="640"/>
        <w:textAlignment w:val="baseline"/>
        <w:rPr>
          <w:rFonts w:hint="default"/>
        </w:rPr>
      </w:pPr>
    </w:p>
    <w:p w14:paraId="12418BFC" w14:textId="77777777" w:rsidR="002712EA" w:rsidRDefault="002712EA">
      <w:pPr>
        <w:spacing w:line="20" w:lineRule="exact"/>
        <w:ind w:firstLine="640"/>
        <w:rPr>
          <w:rFonts w:ascii="仿宋_GB2312" w:eastAsia="仿宋_GB2312" w:hAnsi="仿宋_GB2312" w:cs="仿宋_GB2312" w:hint="eastAsia"/>
          <w:color w:val="000000"/>
          <w:szCs w:val="32"/>
        </w:rPr>
      </w:pPr>
    </w:p>
    <w:bookmarkEnd w:id="1"/>
    <w:p w14:paraId="77A40F7F" w14:textId="77777777" w:rsidR="002712EA" w:rsidRDefault="002712EA">
      <w:pPr>
        <w:pStyle w:val="a0"/>
        <w:spacing w:line="20" w:lineRule="exact"/>
        <w:ind w:firstLine="640"/>
        <w:rPr>
          <w:rFonts w:ascii="仿宋_GB2312" w:eastAsia="仿宋_GB2312" w:hAnsi="仿宋_GB2312" w:cs="仿宋_GB2312"/>
          <w:color w:val="000000" w:themeColor="text1"/>
          <w:kern w:val="0"/>
          <w:szCs w:val="32"/>
        </w:rPr>
      </w:pPr>
    </w:p>
    <w:sectPr w:rsidR="002712EA">
      <w:pgSz w:w="11906" w:h="16838"/>
      <w:pgMar w:top="2211" w:right="1474" w:bottom="1928" w:left="1644" w:header="851" w:footer="992" w:gutter="0"/>
      <w:pgNumType w:fmt="numberInDash"/>
      <w:cols w:space="0"/>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5997" w14:textId="77777777" w:rsidR="00684EB7" w:rsidRDefault="00684EB7">
      <w:pPr>
        <w:spacing w:line="240" w:lineRule="auto"/>
        <w:ind w:firstLine="640"/>
      </w:pPr>
      <w:r>
        <w:separator/>
      </w:r>
    </w:p>
  </w:endnote>
  <w:endnote w:type="continuationSeparator" w:id="0">
    <w:p w14:paraId="5F6B0FA7" w14:textId="77777777" w:rsidR="00684EB7" w:rsidRDefault="00684EB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大标宋简体">
    <w:charset w:val="86"/>
    <w:family w:val="script"/>
    <w:pitch w:val="default"/>
    <w:sig w:usb0="00000001" w:usb1="080E0000" w:usb2="00000000" w:usb3="00000000" w:csb0="00040001" w:csb1="00000000"/>
  </w:font>
  <w:font w:name="楷体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74BC" w14:textId="77777777" w:rsidR="002712EA" w:rsidRDefault="00000000">
    <w:pPr>
      <w:pStyle w:val="a5"/>
      <w:ind w:firstLine="360"/>
    </w:pPr>
    <w:r>
      <w:rPr>
        <w:noProof/>
      </w:rPr>
      <mc:AlternateContent>
        <mc:Choice Requires="wps">
          <w:drawing>
            <wp:anchor distT="0" distB="0" distL="114300" distR="114300" simplePos="0" relativeHeight="251659264" behindDoc="0" locked="0" layoutInCell="1" allowOverlap="1" wp14:anchorId="3BD14992" wp14:editId="670034F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12885" w14:textId="77777777" w:rsidR="002712EA" w:rsidRDefault="00000000">
                          <w:pPr>
                            <w:pStyle w:val="a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D14992"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E212885" w14:textId="77777777" w:rsidR="002712EA" w:rsidRDefault="00000000">
                    <w:pPr>
                      <w:pStyle w:val="a5"/>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4820A" w14:textId="77777777" w:rsidR="00684EB7" w:rsidRDefault="00684EB7">
      <w:pPr>
        <w:spacing w:line="240" w:lineRule="auto"/>
        <w:ind w:firstLine="640"/>
      </w:pPr>
      <w:r>
        <w:separator/>
      </w:r>
    </w:p>
  </w:footnote>
  <w:footnote w:type="continuationSeparator" w:id="0">
    <w:p w14:paraId="523B4C16" w14:textId="77777777" w:rsidR="00684EB7" w:rsidRDefault="00684EB7">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drawingGridHorizontalSpacing w:val="160"/>
  <w:drawingGridVerticalSpacing w:val="22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5ZWY0NThmOGU5ODQyYzY4NmI2YWZlZjk5ZWU3NzEifQ=="/>
  </w:docVars>
  <w:rsids>
    <w:rsidRoot w:val="00153D0C"/>
    <w:rsid w:val="000B6D1A"/>
    <w:rsid w:val="00153D0C"/>
    <w:rsid w:val="001F29C4"/>
    <w:rsid w:val="00207F82"/>
    <w:rsid w:val="002712EA"/>
    <w:rsid w:val="0028189C"/>
    <w:rsid w:val="002C59E8"/>
    <w:rsid w:val="002C7154"/>
    <w:rsid w:val="0031757B"/>
    <w:rsid w:val="003D36F6"/>
    <w:rsid w:val="003E0026"/>
    <w:rsid w:val="00410AE6"/>
    <w:rsid w:val="0046395F"/>
    <w:rsid w:val="004E219F"/>
    <w:rsid w:val="00512C90"/>
    <w:rsid w:val="00526B74"/>
    <w:rsid w:val="00537515"/>
    <w:rsid w:val="00684EB7"/>
    <w:rsid w:val="006C6F50"/>
    <w:rsid w:val="007137D2"/>
    <w:rsid w:val="00725B02"/>
    <w:rsid w:val="00783A80"/>
    <w:rsid w:val="00787FE1"/>
    <w:rsid w:val="00835767"/>
    <w:rsid w:val="008E0B72"/>
    <w:rsid w:val="008F0654"/>
    <w:rsid w:val="00937EF1"/>
    <w:rsid w:val="00974E05"/>
    <w:rsid w:val="009B5767"/>
    <w:rsid w:val="00A6172A"/>
    <w:rsid w:val="00AA0351"/>
    <w:rsid w:val="00AC09F5"/>
    <w:rsid w:val="00B05D70"/>
    <w:rsid w:val="00B32DF2"/>
    <w:rsid w:val="00B36222"/>
    <w:rsid w:val="00B85838"/>
    <w:rsid w:val="00BF35C7"/>
    <w:rsid w:val="00C33D8A"/>
    <w:rsid w:val="00C50A97"/>
    <w:rsid w:val="00CD04A4"/>
    <w:rsid w:val="00D27611"/>
    <w:rsid w:val="00D36F7E"/>
    <w:rsid w:val="00D458EB"/>
    <w:rsid w:val="00DE15A2"/>
    <w:rsid w:val="00E77967"/>
    <w:rsid w:val="00F170A6"/>
    <w:rsid w:val="00F240F2"/>
    <w:rsid w:val="00F66A7F"/>
    <w:rsid w:val="00FC3A21"/>
    <w:rsid w:val="053D395A"/>
    <w:rsid w:val="07D04329"/>
    <w:rsid w:val="07D4733A"/>
    <w:rsid w:val="09F63AFE"/>
    <w:rsid w:val="0A522CFE"/>
    <w:rsid w:val="0B9335CE"/>
    <w:rsid w:val="0C605A61"/>
    <w:rsid w:val="0E9A3E18"/>
    <w:rsid w:val="11963E18"/>
    <w:rsid w:val="181D065D"/>
    <w:rsid w:val="1863307A"/>
    <w:rsid w:val="19AC455F"/>
    <w:rsid w:val="1B582CD5"/>
    <w:rsid w:val="23256636"/>
    <w:rsid w:val="24773635"/>
    <w:rsid w:val="25ED50B4"/>
    <w:rsid w:val="261C752C"/>
    <w:rsid w:val="27752D87"/>
    <w:rsid w:val="2E0E500A"/>
    <w:rsid w:val="2E497DF1"/>
    <w:rsid w:val="3034171D"/>
    <w:rsid w:val="321D581C"/>
    <w:rsid w:val="34D24592"/>
    <w:rsid w:val="36413AA3"/>
    <w:rsid w:val="37E24BE9"/>
    <w:rsid w:val="3E5C76CC"/>
    <w:rsid w:val="3F281B27"/>
    <w:rsid w:val="43BB4E95"/>
    <w:rsid w:val="48335D5C"/>
    <w:rsid w:val="49121B0D"/>
    <w:rsid w:val="493F0316"/>
    <w:rsid w:val="4AC00FE3"/>
    <w:rsid w:val="51A36E03"/>
    <w:rsid w:val="51AA3BFD"/>
    <w:rsid w:val="54C16083"/>
    <w:rsid w:val="59B461B6"/>
    <w:rsid w:val="5EDE31B9"/>
    <w:rsid w:val="5F3D09FC"/>
    <w:rsid w:val="5FD90725"/>
    <w:rsid w:val="6116786B"/>
    <w:rsid w:val="61CB331A"/>
    <w:rsid w:val="628E1C9B"/>
    <w:rsid w:val="62EF025F"/>
    <w:rsid w:val="631843D1"/>
    <w:rsid w:val="65D34376"/>
    <w:rsid w:val="660B1B47"/>
    <w:rsid w:val="673821D5"/>
    <w:rsid w:val="683020FD"/>
    <w:rsid w:val="68B96B34"/>
    <w:rsid w:val="694F1A58"/>
    <w:rsid w:val="6A5416FB"/>
    <w:rsid w:val="6E4771A1"/>
    <w:rsid w:val="6E92734A"/>
    <w:rsid w:val="74627643"/>
    <w:rsid w:val="74A809DB"/>
    <w:rsid w:val="7553407C"/>
    <w:rsid w:val="78F062A1"/>
    <w:rsid w:val="7F3D16EC"/>
    <w:rsid w:val="7F5D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56BA71"/>
  <w15:docId w15:val="{D8D9748E-F555-4729-B310-DD60ACA1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580" w:lineRule="exact"/>
      <w:ind w:firstLineChars="200" w:firstLine="200"/>
      <w:jc w:val="both"/>
    </w:pPr>
    <w:rPr>
      <w:rFonts w:eastAsia="仿宋"/>
      <w:kern w:val="2"/>
      <w:sz w:val="32"/>
      <w:szCs w:val="22"/>
    </w:rPr>
  </w:style>
  <w:style w:type="paragraph" w:styleId="2">
    <w:name w:val="heading 2"/>
    <w:basedOn w:val="a"/>
    <w:next w:val="a"/>
    <w:link w:val="20"/>
    <w:uiPriority w:val="9"/>
    <w:qFormat/>
    <w:pPr>
      <w:keepNext/>
      <w:keepLines/>
      <w:adjustRightInd w:val="0"/>
      <w:snapToGrid w:val="0"/>
      <w:spacing w:before="190"/>
      <w:outlineLvl w:val="1"/>
    </w:pPr>
    <w:rPr>
      <w:rFonts w:eastAsia="黑体"/>
      <w:bCs/>
      <w:sz w:val="28"/>
      <w:szCs w:val="32"/>
    </w:rPr>
  </w:style>
  <w:style w:type="paragraph" w:styleId="3">
    <w:name w:val="heading 3"/>
    <w:basedOn w:val="a"/>
    <w:next w:val="a"/>
    <w:link w:val="30"/>
    <w:qFormat/>
    <w:pPr>
      <w:keepNext/>
      <w:keepLines/>
      <w:adjustRightInd w:val="0"/>
      <w:snapToGrid w:val="0"/>
      <w:outlineLvl w:val="2"/>
    </w:pPr>
    <w:rPr>
      <w:rFonts w:eastAsia="黑体"/>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1"/>
    <w:qFormat/>
    <w:pPr>
      <w:spacing w:line="560" w:lineRule="exact"/>
    </w:pPr>
    <w:rPr>
      <w:rFonts w:ascii="宋体" w:hint="eastAsia"/>
    </w:rPr>
  </w:style>
  <w:style w:type="paragraph" w:customStyle="1" w:styleId="11">
    <w:name w:val="目录 11"/>
    <w:next w:val="a"/>
    <w:qFormat/>
    <w:pPr>
      <w:wordWrap w:val="0"/>
      <w:jc w:val="both"/>
    </w:pPr>
    <w:rPr>
      <w:rFonts w:ascii="Calibri" w:eastAsia="宋体" w:hAnsi="Calibri" w:cs="Times New Roman"/>
      <w:sz w:val="21"/>
      <w:szCs w:val="22"/>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eastAsia="黑体"/>
      <w:bCs/>
      <w:sz w:val="28"/>
      <w:szCs w:val="32"/>
    </w:rPr>
  </w:style>
  <w:style w:type="character" w:customStyle="1" w:styleId="30">
    <w:name w:val="标题 3 字符"/>
    <w:basedOn w:val="a1"/>
    <w:link w:val="3"/>
    <w:qFormat/>
    <w:rPr>
      <w:rFonts w:eastAsia="黑体"/>
      <w:bCs/>
      <w:sz w:val="28"/>
      <w:szCs w:val="32"/>
    </w:rPr>
  </w:style>
  <w:style w:type="paragraph" w:customStyle="1" w:styleId="-WJG">
    <w:name w:val="表格内容-WJG"/>
    <w:link w:val="-WJGChar"/>
    <w:qFormat/>
    <w:pPr>
      <w:jc w:val="center"/>
    </w:pPr>
    <w:rPr>
      <w:rFonts w:ascii="Times New Roman" w:hAnsi="Times New Roman"/>
      <w:kern w:val="2"/>
      <w:sz w:val="21"/>
      <w:szCs w:val="21"/>
    </w:rPr>
  </w:style>
  <w:style w:type="character" w:customStyle="1" w:styleId="-WJGChar">
    <w:name w:val="表格内容-WJG Char"/>
    <w:link w:val="-WJG"/>
    <w:qFormat/>
    <w:rPr>
      <w:rFonts w:ascii="Times New Roman" w:hAnsi="Times New Roman"/>
      <w:szCs w:val="21"/>
    </w:rPr>
  </w:style>
  <w:style w:type="character" w:customStyle="1" w:styleId="1">
    <w:name w:val="标题1"/>
    <w:basedOn w:val="a1"/>
    <w:qFormat/>
    <w:rPr>
      <w:sz w:val="32"/>
    </w:rPr>
  </w:style>
  <w:style w:type="paragraph" w:customStyle="1" w:styleId="ab">
    <w:name w:val="表格标题"/>
    <w:basedOn w:val="a4"/>
    <w:link w:val="Char"/>
    <w:qFormat/>
    <w:pPr>
      <w:spacing w:line="360" w:lineRule="auto"/>
      <w:jc w:val="center"/>
    </w:pPr>
    <w:rPr>
      <w:rFonts w:asciiTheme="minorHAnsi" w:eastAsiaTheme="minorEastAsia" w:hAnsiTheme="minorHAnsi" w:cs="Arial"/>
      <w:b/>
      <w:sz w:val="24"/>
      <w:szCs w:val="22"/>
    </w:rPr>
  </w:style>
  <w:style w:type="character" w:customStyle="1" w:styleId="Char">
    <w:name w:val="表格标题 Char"/>
    <w:link w:val="ab"/>
    <w:qFormat/>
    <w:rPr>
      <w:rFonts w:cs="Arial"/>
      <w:b/>
      <w:sz w:val="24"/>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fenxiang">
    <w:name w:val="fenxiang"/>
    <w:basedOn w:val="a1"/>
    <w:qFormat/>
  </w:style>
  <w:style w:type="paragraph" w:customStyle="1" w:styleId="-WJG0">
    <w:name w:val="表格首行-WJG"/>
    <w:next w:val="a"/>
    <w:qFormat/>
    <w:pPr>
      <w:jc w:val="center"/>
    </w:pPr>
    <w:rPr>
      <w:rFonts w:ascii="Times New Roman" w:eastAsia="宋体" w:hAnsi="Times New Roman" w:cs="Times New Roman"/>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739</Words>
  <Characters>4215</Characters>
  <Application>Microsoft Office Word</Application>
  <DocSecurity>0</DocSecurity>
  <Lines>35</Lines>
  <Paragraphs>9</Paragraphs>
  <ScaleCrop>false</ScaleCrop>
  <Company>微软中国</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月牙泉</dc:creator>
  <cp:lastModifiedBy>8618175930230</cp:lastModifiedBy>
  <cp:revision>28</cp:revision>
  <cp:lastPrinted>2024-06-27T00:26:00Z</cp:lastPrinted>
  <dcterms:created xsi:type="dcterms:W3CDTF">2022-07-18T07:41:00Z</dcterms:created>
  <dcterms:modified xsi:type="dcterms:W3CDTF">2024-07-17T08:22:00Z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6B215B4ABD704582A2B4E1C420CFD525_13</vt:lpwstr>
  </property>
</Properties>
</file>