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68" w:rsidRPr="004E6568" w:rsidRDefault="004E6568">
      <w:pPr>
        <w:rPr>
          <w:rFonts w:ascii="Helvetica" w:eastAsia="宋体" w:hAnsi="Helvetica" w:cs="Helvetica"/>
          <w:b/>
          <w:color w:val="333333"/>
          <w:kern w:val="0"/>
          <w:sz w:val="52"/>
          <w:szCs w:val="52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      </w:t>
      </w:r>
      <w:r w:rsidRPr="004E6568">
        <w:rPr>
          <w:rFonts w:ascii="Helvetica" w:eastAsia="宋体" w:hAnsi="Helvetica" w:cs="Helvetica" w:hint="eastAsia"/>
          <w:b/>
          <w:color w:val="333333"/>
          <w:kern w:val="0"/>
          <w:sz w:val="52"/>
          <w:szCs w:val="52"/>
        </w:rPr>
        <w:t>转移支付执行情况说明</w:t>
      </w:r>
    </w:p>
    <w:p w:rsidR="00DB7244" w:rsidRDefault="004E6568">
      <w:pP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年，省下达我市各类补助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430053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万元，比上年增加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 xml:space="preserve"> 33547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万元。一是税收返还收入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16414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</w:t>
      </w:r>
      <w:r w:rsidR="00811A08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,</w:t>
      </w:r>
      <w:r w:rsidR="00811A08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与上年持平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；二是一般性转移支付收入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354308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万元，比上年增加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68215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23.84%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。其中，均衡性转移支付收入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79928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万元，市级基本财力保障机制奖补资金收入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34521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万元，资源枯竭型城市转移支付补助收入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1950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万元；三是专项转移支付收入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59331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万元，下降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36.88%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，主要是部分属于地方财政事权的专项转移支付列入一般转移性支付。此外，争取地方政府性新增债务限额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48200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万元，比上年增加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5900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13.95%</w:t>
      </w:r>
      <w:r w:rsidRPr="004E6568">
        <w:rPr>
          <w:rFonts w:ascii="Helvetica" w:eastAsia="宋体" w:hAnsi="Helvetica" w:cs="Helvetica"/>
          <w:color w:val="333333"/>
          <w:kern w:val="0"/>
          <w:sz w:val="28"/>
          <w:szCs w:val="28"/>
        </w:rPr>
        <w:t>。</w:t>
      </w:r>
    </w:p>
    <w:p w:rsidR="00573ED9" w:rsidRPr="00573ED9" w:rsidRDefault="00573ED9">
      <w:pPr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主要支出项目完成情况为：一般公共服务支出完成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63810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，同比增加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128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0.2% ;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公共安全支出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25396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，同比减少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2033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万元，下降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7.4%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；教育支出完成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100719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99.9%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，同比减少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1609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万元，下降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1.57%,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主要原因是教育系统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2017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年教师未打卡部分的绩效工资在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年上半年才发放。科学技术支出完成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4451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，同比增加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1527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52.22%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；社会保障和就业支出完成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131471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，同比增加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7620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6.15%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；卫生健康支出完成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91363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 xml:space="preserve">, 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，同比减少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3948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万元，下降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4.14%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，主要原因：一是公立医院支出减少了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809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 xml:space="preserve"> 2017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年上级转移公立医院改革支出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809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万元，在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年才形成支出，所以造成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年比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年多支出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lastRenderedPageBreak/>
        <w:t>809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万元。二是食品和药品监督管理事务支出减少了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656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万元。因会计科目变更，食品和药品监督管理事务支出在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年卫生健康中列支，而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年是在市场监督管理事务中列支。三是基层医疗卫生机构支出减少了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400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万元，其原因是中央财政减少了乡镇卫生院建设资金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400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万元。四是公共卫生支出减少了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2433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,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其原因是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年中央财政转移支付人民医院医技楼建设资金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2500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年没有安排这笔资金。五是计划生育事务支出减少了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1366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万元，主要是乡镇计生专项经费（社会抚养费执法、工作经费）减少。上述五个科目共计减少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5664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万元，但财政对基本医疗保险基金的补助支出增加了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1583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万元，卫生健康管理事务支出增加了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133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万元，所以，同比减少了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3948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万元；节能环保支出为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22831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，同比增加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318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1.41%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；城乡社区事务支出完成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46574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97.82%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，同比增加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12223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35.58%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；农林水事务支出完成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75577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99.36%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，同比减少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7765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万元，下降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9.32%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，主要原因是上级农业方面的转移支付减少，槎江河、桐江河以及马王冲等大型水库治理工程已完成，后续资金已不再安排，再加上机构调整，林业等方面的支出已不属于农口方面的支出。交通运输支出完成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37855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，同比增加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16422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76.62%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；资源勘探信息等支出完成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28630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，同比增加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20417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248.59%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；住房保障支出完成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 xml:space="preserve"> 18906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万元，为调整预算的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100%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，同比增加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7666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万元，增长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68.2%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。</w:t>
      </w:r>
      <w:r w:rsidRPr="00573ED9">
        <w:rPr>
          <w:rFonts w:ascii="Helvetica" w:eastAsia="宋体" w:hAnsi="Helvetica" w:cs="Helvetica"/>
          <w:color w:val="333333"/>
          <w:kern w:val="0"/>
          <w:sz w:val="28"/>
          <w:szCs w:val="28"/>
        </w:rPr>
        <w:t> </w:t>
      </w:r>
    </w:p>
    <w:sectPr w:rsidR="00573ED9" w:rsidRPr="00573ED9" w:rsidSect="00B9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675" w:rsidRDefault="00925675" w:rsidP="004E6568">
      <w:r>
        <w:separator/>
      </w:r>
    </w:p>
  </w:endnote>
  <w:endnote w:type="continuationSeparator" w:id="1">
    <w:p w:rsidR="00925675" w:rsidRDefault="00925675" w:rsidP="004E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675" w:rsidRDefault="00925675" w:rsidP="004E6568">
      <w:r>
        <w:separator/>
      </w:r>
    </w:p>
  </w:footnote>
  <w:footnote w:type="continuationSeparator" w:id="1">
    <w:p w:rsidR="00925675" w:rsidRDefault="00925675" w:rsidP="004E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568"/>
    <w:rsid w:val="001546D7"/>
    <w:rsid w:val="004E6568"/>
    <w:rsid w:val="00573ED9"/>
    <w:rsid w:val="00811A08"/>
    <w:rsid w:val="00925675"/>
    <w:rsid w:val="00B95762"/>
    <w:rsid w:val="00DB7244"/>
    <w:rsid w:val="00ED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5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2021-05-11T02:16:00Z</dcterms:created>
  <dcterms:modified xsi:type="dcterms:W3CDTF">2021-06-02T09:06:00Z</dcterms:modified>
</cp:coreProperties>
</file>