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黑体" w:eastAsia="方正小标宋简体"/>
          <w:bCs/>
          <w:sz w:val="44"/>
          <w:szCs w:val="44"/>
        </w:rPr>
      </w:pPr>
      <w:r>
        <w:rPr>
          <w:rFonts w:hint="eastAsia" w:ascii="方正小标宋简体" w:hAnsi="黑体" w:eastAsia="方正小标宋简体"/>
          <w:bCs/>
          <w:sz w:val="44"/>
          <w:szCs w:val="44"/>
          <w:lang w:eastAsia="zh-CN"/>
        </w:rPr>
        <w:t>邵东市信访局</w:t>
      </w:r>
      <w:r>
        <w:rPr>
          <w:rFonts w:hint="eastAsia" w:ascii="方正小标宋简体" w:hAnsi="黑体" w:eastAsia="方正小标宋简体"/>
          <w:bCs/>
          <w:sz w:val="44"/>
          <w:szCs w:val="44"/>
        </w:rPr>
        <w:t>整体支出绩效自评报告</w:t>
      </w:r>
    </w:p>
    <w:p>
      <w:pPr>
        <w:spacing w:line="600" w:lineRule="exact"/>
        <w:rPr>
          <w:rFonts w:hint="eastAsia" w:ascii="仿宋_GB2312" w:hAnsi="仿宋_GB2312" w:eastAsia="仿宋_GB2312" w:cs="仿宋_GB2312"/>
          <w:sz w:val="28"/>
          <w:szCs w:val="28"/>
        </w:rPr>
      </w:pP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bCs/>
          <w:i w:val="0"/>
          <w:caps w:val="0"/>
          <w:color w:val="343434"/>
          <w:spacing w:val="0"/>
          <w:kern w:val="0"/>
          <w:sz w:val="32"/>
          <w:szCs w:val="32"/>
          <w:lang w:val="en-US" w:eastAsia="zh-CN" w:bidi="ar"/>
        </w:rPr>
        <w:t>一、部门概况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343434"/>
          <w:spacing w:val="0"/>
          <w:sz w:val="32"/>
          <w:szCs w:val="32"/>
        </w:rPr>
      </w:pPr>
      <w:r>
        <w:rPr>
          <w:rFonts w:hint="eastAsia" w:ascii="仿宋" w:hAnsi="仿宋" w:eastAsia="仿宋" w:cs="仿宋"/>
          <w:i w:val="0"/>
          <w:caps w:val="0"/>
          <w:color w:val="343434"/>
          <w:spacing w:val="0"/>
          <w:kern w:val="0"/>
          <w:sz w:val="32"/>
          <w:szCs w:val="32"/>
          <w:lang w:val="en-US" w:eastAsia="zh-CN" w:bidi="ar"/>
        </w:rPr>
        <w:t>（一）部门主要职能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i w:val="0"/>
          <w:caps w:val="0"/>
          <w:color w:val="343434"/>
          <w:spacing w:val="0"/>
          <w:kern w:val="0"/>
          <w:sz w:val="32"/>
          <w:szCs w:val="32"/>
          <w:lang w:val="en-US" w:eastAsia="zh-CN" w:bidi="ar"/>
        </w:rPr>
      </w:pPr>
      <w:bookmarkStart w:id="0" w:name="_GoBack"/>
      <w:bookmarkEnd w:id="0"/>
      <w:r>
        <w:rPr>
          <w:rFonts w:hint="eastAsia" w:ascii="仿宋" w:hAnsi="仿宋" w:eastAsia="仿宋" w:cs="仿宋"/>
          <w:i w:val="0"/>
          <w:caps w:val="0"/>
          <w:color w:val="343434"/>
          <w:spacing w:val="0"/>
          <w:kern w:val="0"/>
          <w:sz w:val="32"/>
          <w:szCs w:val="32"/>
          <w:lang w:val="en-US" w:eastAsia="zh-CN" w:bidi="ar"/>
        </w:rPr>
        <w:t>（保密）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343434"/>
          <w:spacing w:val="0"/>
          <w:sz w:val="32"/>
          <w:szCs w:val="32"/>
        </w:rPr>
      </w:pPr>
      <w:r>
        <w:rPr>
          <w:rFonts w:hint="eastAsia" w:ascii="仿宋" w:hAnsi="仿宋" w:eastAsia="仿宋" w:cs="仿宋"/>
          <w:i w:val="0"/>
          <w:caps w:val="0"/>
          <w:color w:val="343434"/>
          <w:spacing w:val="0"/>
          <w:kern w:val="0"/>
          <w:sz w:val="32"/>
          <w:szCs w:val="32"/>
          <w:lang w:val="en-US" w:eastAsia="zh-CN" w:bidi="ar"/>
        </w:rPr>
        <w:t>（二）部门预算单位科室人员构成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i w:val="0"/>
          <w:caps w:val="0"/>
          <w:color w:val="343434"/>
          <w:spacing w:val="0"/>
          <w:sz w:val="32"/>
          <w:szCs w:val="32"/>
        </w:rPr>
      </w:pPr>
      <w:r>
        <w:rPr>
          <w:rFonts w:hint="eastAsia" w:ascii="仿宋" w:hAnsi="仿宋" w:eastAsia="仿宋" w:cs="仿宋"/>
          <w:i w:val="0"/>
          <w:caps w:val="0"/>
          <w:color w:val="343434"/>
          <w:spacing w:val="0"/>
          <w:kern w:val="0"/>
          <w:sz w:val="32"/>
          <w:szCs w:val="32"/>
          <w:lang w:val="en-US" w:eastAsia="zh-CN" w:bidi="ar"/>
        </w:rPr>
        <w:t>邵东市信访局为正科级全额拨款行政单位，属政府组成局，设有办公室、督查股、网信股、复查复核股。下设二个副科级事业单位：1、邵东市人民群众来信来访接待办公室；2、邵东市信访局驻长沙办事处。 信访局编制人数23名，其中行政编10名，参公事业编13名；财政供养人数38名，其中在职37名，退休人数2名。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343434"/>
          <w:spacing w:val="0"/>
          <w:sz w:val="32"/>
          <w:szCs w:val="32"/>
        </w:rPr>
      </w:pPr>
      <w:r>
        <w:rPr>
          <w:rFonts w:hint="eastAsia" w:ascii="仿宋" w:hAnsi="仿宋" w:eastAsia="仿宋" w:cs="仿宋"/>
          <w:i w:val="0"/>
          <w:caps w:val="0"/>
          <w:color w:val="343434"/>
          <w:spacing w:val="0"/>
          <w:kern w:val="0"/>
          <w:sz w:val="32"/>
          <w:szCs w:val="32"/>
          <w:lang w:val="en-US" w:eastAsia="zh-CN" w:bidi="ar"/>
        </w:rPr>
        <w:t>（三）部门预算单位构成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i w:val="0"/>
          <w:caps w:val="0"/>
          <w:color w:val="343434"/>
          <w:spacing w:val="0"/>
          <w:sz w:val="32"/>
          <w:szCs w:val="32"/>
        </w:rPr>
      </w:pPr>
      <w:r>
        <w:rPr>
          <w:rFonts w:hint="eastAsia" w:ascii="仿宋" w:hAnsi="仿宋" w:eastAsia="仿宋" w:cs="仿宋"/>
          <w:i w:val="0"/>
          <w:caps w:val="0"/>
          <w:color w:val="343434"/>
          <w:spacing w:val="0"/>
          <w:kern w:val="0"/>
          <w:sz w:val="32"/>
          <w:szCs w:val="32"/>
          <w:lang w:val="en-US" w:eastAsia="zh-CN" w:bidi="ar"/>
        </w:rPr>
        <w:t>中共邵东市委 邵东市人民政府信访局本级。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343434"/>
          <w:spacing w:val="0"/>
          <w:sz w:val="32"/>
          <w:szCs w:val="32"/>
        </w:rPr>
      </w:pPr>
      <w:r>
        <w:rPr>
          <w:rFonts w:hint="eastAsia" w:ascii="仿宋" w:hAnsi="仿宋" w:eastAsia="仿宋" w:cs="仿宋"/>
          <w:i w:val="0"/>
          <w:caps w:val="0"/>
          <w:color w:val="343434"/>
          <w:spacing w:val="0"/>
          <w:kern w:val="0"/>
          <w:sz w:val="32"/>
          <w:szCs w:val="32"/>
          <w:lang w:val="en-US" w:eastAsia="zh-CN" w:bidi="ar"/>
        </w:rPr>
        <w:t>（四）重点工作计划：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i w:val="0"/>
          <w:caps w:val="0"/>
          <w:color w:val="343434"/>
          <w:spacing w:val="0"/>
          <w:sz w:val="32"/>
          <w:szCs w:val="32"/>
        </w:rPr>
      </w:pPr>
      <w:r>
        <w:rPr>
          <w:rFonts w:hint="eastAsia" w:ascii="仿宋" w:hAnsi="仿宋" w:eastAsia="仿宋" w:cs="仿宋"/>
          <w:i w:val="0"/>
          <w:caps w:val="0"/>
          <w:color w:val="343434"/>
          <w:spacing w:val="0"/>
          <w:kern w:val="0"/>
          <w:sz w:val="32"/>
          <w:szCs w:val="32"/>
          <w:lang w:val="en-US" w:eastAsia="zh-CN" w:bidi="ar"/>
        </w:rPr>
        <w:t>1、健全信访工作责任体系，落实信访工作责任制。推进全市信访工作齐抓共管，形成合力。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i w:val="0"/>
          <w:caps w:val="0"/>
          <w:color w:val="343434"/>
          <w:spacing w:val="0"/>
          <w:sz w:val="32"/>
          <w:szCs w:val="32"/>
        </w:rPr>
      </w:pPr>
      <w:r>
        <w:rPr>
          <w:rFonts w:hint="eastAsia" w:ascii="仿宋" w:hAnsi="仿宋" w:eastAsia="仿宋" w:cs="仿宋"/>
          <w:i w:val="0"/>
          <w:caps w:val="0"/>
          <w:color w:val="343434"/>
          <w:spacing w:val="0"/>
          <w:kern w:val="0"/>
          <w:sz w:val="32"/>
          <w:szCs w:val="32"/>
          <w:lang w:val="en-US" w:eastAsia="zh-CN" w:bidi="ar"/>
        </w:rPr>
        <w:t>2、依法规范信访秩序，推进依法逐级走访。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i w:val="0"/>
          <w:caps w:val="0"/>
          <w:color w:val="343434"/>
          <w:spacing w:val="0"/>
          <w:sz w:val="32"/>
          <w:szCs w:val="32"/>
        </w:rPr>
      </w:pPr>
      <w:r>
        <w:rPr>
          <w:rFonts w:hint="eastAsia" w:ascii="仿宋" w:hAnsi="仿宋" w:eastAsia="仿宋" w:cs="仿宋"/>
          <w:i w:val="0"/>
          <w:caps w:val="0"/>
          <w:color w:val="343434"/>
          <w:spacing w:val="0"/>
          <w:kern w:val="0"/>
          <w:sz w:val="32"/>
          <w:szCs w:val="32"/>
          <w:lang w:val="en-US" w:eastAsia="zh-CN" w:bidi="ar"/>
        </w:rPr>
        <w:t>3、畅通信访渠道，打造网上信访主渠道。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i w:val="0"/>
          <w:caps w:val="0"/>
          <w:color w:val="343434"/>
          <w:spacing w:val="0"/>
          <w:sz w:val="32"/>
          <w:szCs w:val="32"/>
        </w:rPr>
      </w:pPr>
      <w:r>
        <w:rPr>
          <w:rFonts w:hint="eastAsia" w:ascii="仿宋" w:hAnsi="仿宋" w:eastAsia="仿宋" w:cs="仿宋"/>
          <w:i w:val="0"/>
          <w:caps w:val="0"/>
          <w:color w:val="343434"/>
          <w:spacing w:val="0"/>
          <w:kern w:val="0"/>
          <w:sz w:val="32"/>
          <w:szCs w:val="32"/>
          <w:lang w:val="en-US" w:eastAsia="zh-CN" w:bidi="ar"/>
        </w:rPr>
        <w:t>4、加强信访工作法治化建设，严格落实访诉分离，坚持法定途径分类处理信访问题，推进依法终结；探索人民调解、行政复议、司法诉讼和信访共同化解矛盾纠纷的有效途径。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b/>
          <w:bCs/>
          <w:i w:val="0"/>
          <w:caps w:val="0"/>
          <w:color w:val="343434"/>
          <w:spacing w:val="0"/>
          <w:kern w:val="0"/>
          <w:sz w:val="32"/>
          <w:szCs w:val="32"/>
          <w:lang w:val="en-US" w:eastAsia="zh-CN" w:bidi="ar"/>
        </w:rPr>
      </w:pPr>
      <w:r>
        <w:rPr>
          <w:rFonts w:hint="eastAsia" w:ascii="仿宋" w:hAnsi="仿宋" w:eastAsia="仿宋" w:cs="仿宋"/>
          <w:i w:val="0"/>
          <w:caps w:val="0"/>
          <w:color w:val="343434"/>
          <w:spacing w:val="0"/>
          <w:kern w:val="0"/>
          <w:sz w:val="32"/>
          <w:szCs w:val="32"/>
          <w:lang w:val="en-US" w:eastAsia="zh-CN" w:bidi="ar"/>
        </w:rPr>
        <w:t>5、及时完成省信访领导小组、省信访局、邵阳市信访局及邵东市委市政府和市信访工作领导小组交办的其他工作。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b/>
          <w:bCs/>
          <w:i w:val="0"/>
          <w:caps w:val="0"/>
          <w:color w:val="343434"/>
          <w:spacing w:val="0"/>
          <w:kern w:val="0"/>
          <w:sz w:val="32"/>
          <w:szCs w:val="32"/>
          <w:lang w:val="en-US" w:eastAsia="zh-CN" w:bidi="ar"/>
        </w:rPr>
      </w:pPr>
      <w:r>
        <w:rPr>
          <w:rFonts w:hint="eastAsia" w:ascii="仿宋" w:hAnsi="仿宋" w:eastAsia="仿宋" w:cs="仿宋"/>
          <w:b/>
          <w:bCs/>
          <w:i w:val="0"/>
          <w:caps w:val="0"/>
          <w:color w:val="343434"/>
          <w:spacing w:val="0"/>
          <w:kern w:val="0"/>
          <w:sz w:val="32"/>
          <w:szCs w:val="32"/>
          <w:lang w:val="en-US" w:eastAsia="zh-CN" w:bidi="ar"/>
        </w:rPr>
        <w:t>二、部门整体支出使用情况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20" w:firstLineChars="100"/>
        <w:jc w:val="left"/>
        <w:rPr>
          <w:rFonts w:hint="eastAsia" w:ascii="仿宋" w:hAnsi="仿宋" w:eastAsia="仿宋" w:cs="仿宋"/>
          <w:i w:val="0"/>
          <w:caps w:val="0"/>
          <w:color w:val="343434"/>
          <w:spacing w:val="0"/>
          <w:sz w:val="32"/>
          <w:szCs w:val="32"/>
        </w:rPr>
      </w:pPr>
      <w:r>
        <w:rPr>
          <w:rFonts w:hint="eastAsia" w:ascii="仿宋" w:hAnsi="仿宋" w:eastAsia="仿宋" w:cs="仿宋"/>
          <w:i w:val="0"/>
          <w:caps w:val="0"/>
          <w:color w:val="343434"/>
          <w:spacing w:val="0"/>
          <w:kern w:val="0"/>
          <w:sz w:val="32"/>
          <w:szCs w:val="32"/>
          <w:lang w:val="en-US" w:eastAsia="zh-CN" w:bidi="ar"/>
        </w:rPr>
        <w:t>（一）基本支出</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2019年度财政拨款基本支出</w:t>
      </w:r>
      <w:r>
        <w:rPr>
          <w:rFonts w:hint="eastAsia" w:ascii="仿宋" w:hAnsi="仿宋" w:eastAsia="仿宋" w:cs="仿宋"/>
          <w:sz w:val="32"/>
          <w:szCs w:val="32"/>
          <w:lang w:val="en-US" w:eastAsia="zh-CN"/>
        </w:rPr>
        <w:t>393.98</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306.71</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77.85</w:t>
      </w:r>
      <w:r>
        <w:rPr>
          <w:rFonts w:hint="eastAsia" w:ascii="仿宋" w:hAnsi="仿宋" w:eastAsia="仿宋" w:cs="仿宋"/>
          <w:sz w:val="32"/>
          <w:szCs w:val="32"/>
        </w:rPr>
        <w:t>%,主要包括基本工资、津贴补贴、奖金、伙食补助费；公用经费</w:t>
      </w:r>
      <w:r>
        <w:rPr>
          <w:rFonts w:hint="eastAsia" w:ascii="仿宋" w:hAnsi="仿宋" w:eastAsia="仿宋" w:cs="仿宋"/>
          <w:sz w:val="32"/>
          <w:szCs w:val="32"/>
          <w:lang w:val="en-US" w:eastAsia="zh-CN"/>
        </w:rPr>
        <w:t>87.27</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22.15</w:t>
      </w:r>
      <w:r>
        <w:rPr>
          <w:rFonts w:hint="eastAsia" w:ascii="仿宋" w:hAnsi="仿宋" w:eastAsia="仿宋" w:cs="仿宋"/>
          <w:sz w:val="32"/>
          <w:szCs w:val="32"/>
        </w:rPr>
        <w:t>%，主要包括办公费、印刷费、咨询费、手续费。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343434"/>
          <w:spacing w:val="0"/>
          <w:sz w:val="32"/>
          <w:szCs w:val="32"/>
        </w:rPr>
      </w:pPr>
      <w:r>
        <w:rPr>
          <w:rFonts w:hint="eastAsia" w:ascii="仿宋" w:hAnsi="仿宋" w:eastAsia="仿宋" w:cs="仿宋"/>
          <w:i w:val="0"/>
          <w:caps w:val="0"/>
          <w:color w:val="343434"/>
          <w:spacing w:val="0"/>
          <w:kern w:val="0"/>
          <w:sz w:val="32"/>
          <w:szCs w:val="32"/>
          <w:lang w:val="en-US" w:eastAsia="zh-CN" w:bidi="ar"/>
        </w:rPr>
        <w:t>（二）三公经费的使用情况如下：</w:t>
      </w:r>
    </w:p>
    <w:p>
      <w:pPr>
        <w:pStyle w:val="4"/>
        <w:ind w:firstLine="640" w:firstLineChars="200"/>
        <w:jc w:val="left"/>
        <w:rPr>
          <w:rFonts w:hint="eastAsia" w:ascii="仿宋" w:hAnsi="仿宋" w:eastAsia="仿宋" w:cs="仿宋"/>
          <w:b/>
          <w:sz w:val="32"/>
          <w:szCs w:val="32"/>
        </w:rPr>
      </w:pPr>
      <w:r>
        <w:rPr>
          <w:rFonts w:hint="eastAsia" w:ascii="仿宋" w:hAnsi="仿宋" w:eastAsia="仿宋" w:cs="仿宋"/>
          <w:sz w:val="32"/>
          <w:szCs w:val="32"/>
        </w:rPr>
        <w:t>1、因公出国（境）费支出决算为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万元，全年安排因公出国（境）团组</w:t>
      </w:r>
      <w:r>
        <w:rPr>
          <w:rFonts w:hint="eastAsia" w:ascii="仿宋" w:hAnsi="仿宋" w:eastAsia="仿宋" w:cs="仿宋"/>
          <w:sz w:val="32"/>
          <w:szCs w:val="32"/>
          <w:lang w:val="en-US" w:eastAsia="zh-CN"/>
        </w:rPr>
        <w:t>0</w:t>
      </w:r>
      <w:r>
        <w:rPr>
          <w:rFonts w:hint="eastAsia" w:ascii="仿宋" w:hAnsi="仿宋" w:eastAsia="仿宋" w:cs="仿宋"/>
          <w:sz w:val="32"/>
          <w:szCs w:val="32"/>
        </w:rPr>
        <w:t>个，累计</w:t>
      </w:r>
      <w:r>
        <w:rPr>
          <w:rFonts w:hint="eastAsia" w:ascii="仿宋" w:hAnsi="仿宋" w:eastAsia="仿宋" w:cs="仿宋"/>
          <w:sz w:val="32"/>
          <w:szCs w:val="32"/>
          <w:lang w:val="en-US" w:eastAsia="zh-CN"/>
        </w:rPr>
        <w:t>0</w:t>
      </w:r>
      <w:r>
        <w:rPr>
          <w:rFonts w:hint="eastAsia" w:ascii="仿宋" w:hAnsi="仿宋" w:eastAsia="仿宋" w:cs="仿宋"/>
          <w:sz w:val="32"/>
          <w:szCs w:val="32"/>
        </w:rPr>
        <w:t>人次,开支内容包括：</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2、公务接待费支出决算为</w:t>
      </w:r>
      <w:r>
        <w:rPr>
          <w:rFonts w:hint="eastAsia" w:ascii="仿宋" w:hAnsi="仿宋" w:eastAsia="仿宋" w:cs="仿宋"/>
          <w:sz w:val="32"/>
          <w:szCs w:val="32"/>
          <w:lang w:val="en-US" w:eastAsia="zh-CN"/>
        </w:rPr>
        <w:t>17.2</w:t>
      </w:r>
      <w:r>
        <w:rPr>
          <w:rFonts w:hint="eastAsia" w:ascii="仿宋" w:hAnsi="仿宋" w:eastAsia="仿宋" w:cs="仿宋"/>
          <w:sz w:val="32"/>
          <w:szCs w:val="32"/>
        </w:rPr>
        <w:t>万元，全年共接待来访团组</w:t>
      </w:r>
      <w:r>
        <w:rPr>
          <w:rFonts w:hint="eastAsia" w:ascii="仿宋" w:hAnsi="仿宋" w:eastAsia="仿宋" w:cs="仿宋"/>
          <w:sz w:val="32"/>
          <w:szCs w:val="32"/>
          <w:lang w:val="en-US" w:eastAsia="zh-CN"/>
        </w:rPr>
        <w:t>287</w:t>
      </w:r>
      <w:r>
        <w:rPr>
          <w:rFonts w:hint="eastAsia" w:ascii="仿宋" w:hAnsi="仿宋" w:eastAsia="仿宋" w:cs="仿宋"/>
          <w:sz w:val="32"/>
          <w:szCs w:val="32"/>
        </w:rPr>
        <w:t>个、来宾</w:t>
      </w:r>
      <w:r>
        <w:rPr>
          <w:rFonts w:hint="eastAsia" w:ascii="仿宋" w:hAnsi="仿宋" w:eastAsia="仿宋" w:cs="仿宋"/>
          <w:sz w:val="32"/>
          <w:szCs w:val="32"/>
          <w:lang w:val="en-US" w:eastAsia="zh-CN"/>
        </w:rPr>
        <w:t>2556</w:t>
      </w:r>
      <w:r>
        <w:rPr>
          <w:rFonts w:hint="eastAsia" w:ascii="仿宋" w:hAnsi="仿宋" w:eastAsia="仿宋" w:cs="仿宋"/>
          <w:sz w:val="32"/>
          <w:szCs w:val="32"/>
        </w:rPr>
        <w:t>人次，主要是</w:t>
      </w:r>
      <w:r>
        <w:rPr>
          <w:rFonts w:hint="eastAsia" w:ascii="仿宋" w:hAnsi="仿宋" w:eastAsia="仿宋" w:cs="仿宋"/>
          <w:sz w:val="32"/>
          <w:szCs w:val="32"/>
          <w:lang w:eastAsia="zh-CN"/>
        </w:rPr>
        <w:t>接访活动</w:t>
      </w:r>
      <w:r>
        <w:rPr>
          <w:rFonts w:hint="eastAsia" w:ascii="仿宋" w:hAnsi="仿宋" w:eastAsia="仿宋" w:cs="仿宋"/>
          <w:sz w:val="32"/>
          <w:szCs w:val="32"/>
        </w:rPr>
        <w:t>发生的接待支出。</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sz w:val="32"/>
          <w:szCs w:val="32"/>
        </w:rPr>
        <w:t>3、公务用车购置费及运行维护费支出决算为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万元，截止2019年12月31日，我单位开支财政拨款的公务用车保有量为</w:t>
      </w:r>
      <w:r>
        <w:rPr>
          <w:rFonts w:hint="eastAsia" w:ascii="仿宋" w:hAnsi="仿宋" w:eastAsia="仿宋" w:cs="仿宋"/>
          <w:sz w:val="32"/>
          <w:szCs w:val="32"/>
          <w:lang w:val="en-US" w:eastAsia="zh-CN"/>
        </w:rPr>
        <w:t>0</w:t>
      </w:r>
      <w:r>
        <w:rPr>
          <w:rFonts w:hint="eastAsia" w:ascii="仿宋" w:hAnsi="仿宋" w:eastAsia="仿宋" w:cs="仿宋"/>
          <w:sz w:val="32"/>
          <w:szCs w:val="32"/>
        </w:rPr>
        <w:t>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343434"/>
          <w:spacing w:val="0"/>
          <w:sz w:val="32"/>
          <w:szCs w:val="32"/>
        </w:rPr>
      </w:pPr>
      <w:r>
        <w:rPr>
          <w:rFonts w:hint="eastAsia" w:ascii="仿宋" w:hAnsi="仿宋" w:eastAsia="仿宋" w:cs="仿宋"/>
          <w:b/>
          <w:bCs/>
          <w:i w:val="0"/>
          <w:caps w:val="0"/>
          <w:color w:val="343434"/>
          <w:spacing w:val="0"/>
          <w:kern w:val="0"/>
          <w:sz w:val="32"/>
          <w:szCs w:val="32"/>
          <w:lang w:val="en-US" w:eastAsia="zh-CN" w:bidi="ar"/>
        </w:rPr>
        <w:t>三、部门整体支出管理情况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i w:val="0"/>
          <w:caps w:val="0"/>
          <w:color w:val="343434"/>
          <w:spacing w:val="0"/>
          <w:sz w:val="32"/>
          <w:szCs w:val="32"/>
        </w:rPr>
      </w:pPr>
      <w:r>
        <w:rPr>
          <w:rFonts w:hint="eastAsia" w:ascii="仿宋" w:hAnsi="仿宋" w:eastAsia="仿宋" w:cs="仿宋"/>
          <w:i w:val="0"/>
          <w:caps w:val="0"/>
          <w:color w:val="343434"/>
          <w:spacing w:val="0"/>
          <w:kern w:val="0"/>
          <w:sz w:val="32"/>
          <w:szCs w:val="32"/>
          <w:lang w:val="en-US" w:eastAsia="zh-CN" w:bidi="ar"/>
        </w:rPr>
        <w:t>市信访局建立健全了财务管理制度，会计核算制度，厉行节约制度，相关管理制度合法、合规、完整，并严格按照制度办理财务业务。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b/>
          <w:bCs/>
          <w:i w:val="0"/>
          <w:caps w:val="0"/>
          <w:color w:val="343434"/>
          <w:spacing w:val="0"/>
          <w:sz w:val="32"/>
          <w:szCs w:val="32"/>
        </w:rPr>
      </w:pPr>
      <w:r>
        <w:rPr>
          <w:rFonts w:hint="eastAsia" w:ascii="仿宋" w:hAnsi="仿宋" w:eastAsia="仿宋" w:cs="仿宋"/>
          <w:b/>
          <w:bCs/>
          <w:i w:val="0"/>
          <w:caps w:val="0"/>
          <w:color w:val="343434"/>
          <w:spacing w:val="0"/>
          <w:kern w:val="0"/>
          <w:sz w:val="32"/>
          <w:szCs w:val="32"/>
          <w:lang w:val="en-US" w:eastAsia="zh-CN" w:bidi="ar"/>
        </w:rPr>
        <w:t>四、部门整体支出绩效情况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343434"/>
          <w:spacing w:val="0"/>
          <w:sz w:val="32"/>
          <w:szCs w:val="32"/>
        </w:rPr>
      </w:pPr>
      <w:r>
        <w:rPr>
          <w:rFonts w:hint="eastAsia" w:ascii="仿宋" w:hAnsi="仿宋" w:eastAsia="仿宋" w:cs="仿宋"/>
          <w:i w:val="0"/>
          <w:caps w:val="0"/>
          <w:color w:val="343434"/>
          <w:spacing w:val="0"/>
          <w:kern w:val="0"/>
          <w:sz w:val="32"/>
          <w:szCs w:val="32"/>
          <w:lang w:val="en-US" w:eastAsia="zh-CN" w:bidi="ar"/>
        </w:rPr>
        <w:t>（一）绩效目标完成情况：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i w:val="0"/>
          <w:caps w:val="0"/>
          <w:color w:val="343434"/>
          <w:spacing w:val="0"/>
          <w:sz w:val="32"/>
          <w:szCs w:val="32"/>
        </w:rPr>
      </w:pPr>
      <w:r>
        <w:rPr>
          <w:rFonts w:hint="eastAsia" w:ascii="仿宋" w:hAnsi="仿宋" w:eastAsia="仿宋" w:cs="仿宋"/>
          <w:i w:val="0"/>
          <w:caps w:val="0"/>
          <w:color w:val="343434"/>
          <w:spacing w:val="0"/>
          <w:kern w:val="0"/>
          <w:sz w:val="32"/>
          <w:szCs w:val="32"/>
          <w:lang w:val="en-US" w:eastAsia="zh-CN" w:bidi="ar"/>
        </w:rPr>
        <w:t>工作完成率、工作完成及时率100%，质量达标率都达到了97.5%。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343434"/>
          <w:spacing w:val="0"/>
          <w:sz w:val="32"/>
          <w:szCs w:val="32"/>
        </w:rPr>
      </w:pPr>
      <w:r>
        <w:rPr>
          <w:rFonts w:hint="eastAsia" w:ascii="仿宋" w:hAnsi="仿宋" w:eastAsia="仿宋" w:cs="仿宋"/>
          <w:i w:val="0"/>
          <w:caps w:val="0"/>
          <w:color w:val="343434"/>
          <w:spacing w:val="0"/>
          <w:kern w:val="0"/>
          <w:sz w:val="32"/>
          <w:szCs w:val="32"/>
          <w:lang w:val="en-US" w:eastAsia="zh-CN" w:bidi="ar"/>
        </w:rPr>
        <w:t>（二）反映履职效益情况：</w:t>
      </w:r>
    </w:p>
    <w:p>
      <w:pPr>
        <w:widowControl/>
        <w:shd w:val="clear" w:color="auto" w:fill="FFFFFF"/>
        <w:spacing w:line="560" w:lineRule="exact"/>
        <w:ind w:firstLine="640" w:firstLineChars="200"/>
        <w:jc w:val="left"/>
        <w:rPr>
          <w:rFonts w:hint="eastAsia" w:ascii="仿宋" w:hAnsi="仿宋" w:eastAsia="仿宋" w:cs="仿宋"/>
          <w:i w:val="0"/>
          <w:caps w:val="0"/>
          <w:color w:val="343434"/>
          <w:spacing w:val="0"/>
          <w:sz w:val="32"/>
          <w:szCs w:val="32"/>
        </w:rPr>
      </w:pPr>
      <w:r>
        <w:rPr>
          <w:rFonts w:hint="eastAsia" w:ascii="仿宋_GB2312" w:hAnsi="仿宋_GB2312" w:eastAsia="仿宋_GB2312" w:cs="仿宋_GB2312"/>
          <w:sz w:val="32"/>
          <w:szCs w:val="32"/>
        </w:rPr>
        <w:t>2019年</w:t>
      </w:r>
      <w:r>
        <w:rPr>
          <w:rFonts w:hint="eastAsia" w:ascii="仿宋_GB2312" w:hAnsi="仿宋_GB2312" w:eastAsia="仿宋_GB2312" w:cs="仿宋_GB2312"/>
          <w:color w:val="000000"/>
          <w:kern w:val="0"/>
          <w:sz w:val="32"/>
          <w:szCs w:val="32"/>
          <w:shd w:val="clear" w:color="auto" w:fill="FFFFFF"/>
        </w:rPr>
        <w:t>，全市共发生群众到市（含市）以上走访与去年同期相比下降12%。</w:t>
      </w:r>
      <w:r>
        <w:rPr>
          <w:rFonts w:hint="eastAsia" w:ascii="仿宋" w:hAnsi="仿宋" w:eastAsia="仿宋" w:cs="仿宋"/>
          <w:i w:val="0"/>
          <w:caps w:val="0"/>
          <w:color w:val="343434"/>
          <w:spacing w:val="0"/>
          <w:kern w:val="0"/>
          <w:sz w:val="32"/>
          <w:szCs w:val="32"/>
          <w:lang w:val="en-US" w:eastAsia="zh-CN" w:bidi="ar"/>
        </w:rPr>
        <w:t>全年未发生因工作不当引发的群体性事件、极端恶性案件和舆论负面炒作，在省第十一次党代会、党的十九大等重大政治活动期间圆满完成信访维稳工作任务，实现零非访。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b/>
          <w:bCs/>
          <w:i w:val="0"/>
          <w:caps w:val="0"/>
          <w:color w:val="343434"/>
          <w:spacing w:val="0"/>
          <w:sz w:val="32"/>
          <w:szCs w:val="32"/>
        </w:rPr>
      </w:pPr>
      <w:r>
        <w:rPr>
          <w:rFonts w:hint="eastAsia" w:ascii="仿宋" w:hAnsi="仿宋" w:eastAsia="仿宋" w:cs="仿宋"/>
          <w:b/>
          <w:bCs/>
          <w:i w:val="0"/>
          <w:caps w:val="0"/>
          <w:color w:val="343434"/>
          <w:spacing w:val="0"/>
          <w:kern w:val="0"/>
          <w:sz w:val="32"/>
          <w:szCs w:val="32"/>
          <w:lang w:val="en-US" w:eastAsia="zh-CN" w:bidi="ar"/>
        </w:rPr>
        <w:t>五、结合《部门整体支出绩效评价指标表》的评价结果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i w:val="0"/>
          <w:caps w:val="0"/>
          <w:color w:val="343434"/>
          <w:spacing w:val="0"/>
          <w:kern w:val="0"/>
          <w:sz w:val="32"/>
          <w:szCs w:val="32"/>
          <w:lang w:val="en-US" w:eastAsia="zh-CN" w:bidi="ar"/>
        </w:rPr>
      </w:pPr>
      <w:r>
        <w:rPr>
          <w:rFonts w:hint="eastAsia" w:ascii="仿宋" w:hAnsi="仿宋" w:eastAsia="仿宋" w:cs="仿宋"/>
          <w:i w:val="0"/>
          <w:caps w:val="0"/>
          <w:color w:val="343434"/>
          <w:spacing w:val="0"/>
          <w:kern w:val="0"/>
          <w:sz w:val="32"/>
          <w:szCs w:val="32"/>
          <w:lang w:val="en-US" w:eastAsia="zh-CN" w:bidi="ar"/>
        </w:rPr>
        <w:t>2019年度，我局整体支出资金使用达到了预期总目标，资金分配合理，使用规范透明，支付进度及时。并建立健全完善的财务管理和会计核算制度确保资金安全，三公经费使用符合相关规定，绩效综合评价得分为92.7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b/>
          <w:bCs/>
          <w:i w:val="0"/>
          <w:caps w:val="0"/>
          <w:color w:val="343434"/>
          <w:spacing w:val="0"/>
          <w:sz w:val="32"/>
          <w:szCs w:val="32"/>
        </w:rPr>
      </w:pPr>
      <w:r>
        <w:rPr>
          <w:rFonts w:hint="eastAsia" w:ascii="仿宋" w:hAnsi="仿宋" w:eastAsia="仿宋" w:cs="仿宋"/>
          <w:b/>
          <w:bCs/>
          <w:i w:val="0"/>
          <w:caps w:val="0"/>
          <w:color w:val="343434"/>
          <w:spacing w:val="0"/>
          <w:kern w:val="0"/>
          <w:sz w:val="32"/>
          <w:szCs w:val="32"/>
          <w:lang w:val="en-US" w:eastAsia="zh-CN" w:bidi="ar"/>
        </w:rPr>
        <w:t>六、存在的主要问题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i w:val="0"/>
          <w:caps w:val="0"/>
          <w:color w:val="343434"/>
          <w:spacing w:val="0"/>
          <w:sz w:val="32"/>
          <w:szCs w:val="32"/>
        </w:rPr>
      </w:pPr>
      <w:r>
        <w:rPr>
          <w:rFonts w:hint="eastAsia" w:ascii="仿宋" w:hAnsi="仿宋" w:eastAsia="仿宋" w:cs="仿宋"/>
          <w:i w:val="0"/>
          <w:caps w:val="0"/>
          <w:color w:val="343434"/>
          <w:spacing w:val="0"/>
          <w:kern w:val="0"/>
          <w:sz w:val="32"/>
          <w:szCs w:val="32"/>
          <w:lang w:val="en-US" w:eastAsia="zh-CN" w:bidi="ar"/>
        </w:rPr>
        <w:t>1、行政运行经费预算不足，工会经费、“创建国家卫生城市”、精准扶贫等中心工作所需工作经费、离退休人员活动经费等没作预算。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i w:val="0"/>
          <w:caps w:val="0"/>
          <w:color w:val="343434"/>
          <w:spacing w:val="0"/>
          <w:sz w:val="32"/>
          <w:szCs w:val="32"/>
        </w:rPr>
      </w:pPr>
      <w:r>
        <w:rPr>
          <w:rFonts w:hint="eastAsia" w:ascii="仿宋" w:hAnsi="仿宋" w:eastAsia="仿宋" w:cs="仿宋"/>
          <w:i w:val="0"/>
          <w:caps w:val="0"/>
          <w:color w:val="343434"/>
          <w:spacing w:val="0"/>
          <w:kern w:val="0"/>
          <w:sz w:val="32"/>
          <w:szCs w:val="32"/>
          <w:lang w:val="en-US" w:eastAsia="zh-CN" w:bidi="ar"/>
        </w:rPr>
        <w:t>2、上级交办的突发性工作任务，无法预计和列入年初预算，需要年度中间进行预算增加和调整。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b/>
          <w:bCs/>
          <w:i w:val="0"/>
          <w:caps w:val="0"/>
          <w:color w:val="343434"/>
          <w:spacing w:val="0"/>
          <w:sz w:val="32"/>
          <w:szCs w:val="32"/>
        </w:rPr>
      </w:pPr>
      <w:r>
        <w:rPr>
          <w:rFonts w:hint="eastAsia" w:ascii="仿宋" w:hAnsi="仿宋" w:eastAsia="仿宋" w:cs="仿宋"/>
          <w:b/>
          <w:bCs/>
          <w:i w:val="0"/>
          <w:caps w:val="0"/>
          <w:color w:val="343434"/>
          <w:spacing w:val="0"/>
          <w:kern w:val="0"/>
          <w:sz w:val="32"/>
          <w:szCs w:val="32"/>
          <w:lang w:val="en-US" w:eastAsia="zh-CN" w:bidi="ar"/>
        </w:rPr>
        <w:t>七、改进措施和有关建议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 w:hAnsi="仿宋" w:eastAsia="仿宋" w:cs="仿宋"/>
          <w:i w:val="0"/>
          <w:caps w:val="0"/>
          <w:color w:val="343434"/>
          <w:spacing w:val="0"/>
          <w:sz w:val="32"/>
          <w:szCs w:val="32"/>
        </w:rPr>
      </w:pPr>
      <w:r>
        <w:rPr>
          <w:rFonts w:hint="eastAsia" w:ascii="仿宋" w:hAnsi="仿宋" w:eastAsia="仿宋" w:cs="仿宋"/>
          <w:i w:val="0"/>
          <w:caps w:val="0"/>
          <w:color w:val="343434"/>
          <w:spacing w:val="0"/>
          <w:kern w:val="0"/>
          <w:sz w:val="32"/>
          <w:szCs w:val="32"/>
          <w:lang w:val="en-US" w:eastAsia="zh-CN" w:bidi="ar"/>
        </w:rPr>
        <w:t>（一）科学合理编制预算，严格执行预算</w:t>
      </w:r>
      <w:r>
        <w:rPr>
          <w:rFonts w:hint="default" w:ascii="仿宋" w:hAnsi="仿宋" w:eastAsia="仿宋" w:cs="仿宋"/>
          <w:i w:val="0"/>
          <w:caps w:val="0"/>
          <w:color w:val="343434"/>
          <w:spacing w:val="0"/>
          <w:kern w:val="0"/>
          <w:sz w:val="32"/>
          <w:szCs w:val="32"/>
          <w:lang w:val="en-US" w:eastAsia="zh-CN" w:bidi="ar"/>
        </w:rPr>
        <w:t>,</w:t>
      </w:r>
      <w:r>
        <w:rPr>
          <w:rFonts w:hint="eastAsia" w:ascii="仿宋" w:hAnsi="仿宋" w:eastAsia="仿宋" w:cs="仿宋"/>
          <w:i w:val="0"/>
          <w:caps w:val="0"/>
          <w:color w:val="343434"/>
          <w:spacing w:val="0"/>
          <w:kern w:val="0"/>
          <w:sz w:val="32"/>
          <w:szCs w:val="32"/>
          <w:lang w:val="en-US" w:eastAsia="zh-CN" w:bidi="ar"/>
        </w:rPr>
        <w:t>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150"/>
        <w:jc w:val="left"/>
        <w:rPr>
          <w:rFonts w:hint="eastAsia" w:ascii="仿宋" w:hAnsi="仿宋" w:eastAsia="仿宋" w:cs="仿宋"/>
          <w:i w:val="0"/>
          <w:caps w:val="0"/>
          <w:color w:val="343434"/>
          <w:spacing w:val="0"/>
          <w:sz w:val="32"/>
          <w:szCs w:val="32"/>
        </w:rPr>
      </w:pPr>
      <w:r>
        <w:rPr>
          <w:rFonts w:hint="eastAsia" w:ascii="仿宋" w:hAnsi="仿宋" w:eastAsia="仿宋" w:cs="仿宋"/>
          <w:i w:val="0"/>
          <w:caps w:val="0"/>
          <w:color w:val="343434"/>
          <w:spacing w:val="0"/>
          <w:kern w:val="0"/>
          <w:sz w:val="32"/>
          <w:szCs w:val="32"/>
          <w:lang w:val="en-US" w:eastAsia="zh-CN" w:bidi="ar"/>
        </w:rPr>
        <w:t>（二）完善管理制度，进一步加强资产管理 进一步贯彻落实中央“八项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i w:val="0"/>
          <w:caps w:val="0"/>
          <w:color w:val="343434"/>
          <w:spacing w:val="0"/>
          <w:sz w:val="32"/>
          <w:szCs w:val="32"/>
        </w:rPr>
      </w:pPr>
      <w:r>
        <w:rPr>
          <w:rFonts w:hint="eastAsia" w:ascii="仿宋" w:hAnsi="仿宋" w:eastAsia="仿宋" w:cs="仿宋"/>
          <w:i w:val="0"/>
          <w:caps w:val="0"/>
          <w:color w:val="343434"/>
          <w:spacing w:val="0"/>
          <w:kern w:val="0"/>
          <w:sz w:val="32"/>
          <w:szCs w:val="32"/>
          <w:lang w:val="en-US" w:eastAsia="zh-CN" w:bidi="ar"/>
        </w:rPr>
        <w:t>（三）加强新行政单位会计制度和新预算法学习培训 加强新《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邵东市信访局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17C88"/>
    <w:rsid w:val="0A7261C4"/>
    <w:rsid w:val="20B81073"/>
    <w:rsid w:val="2C8378A7"/>
    <w:rsid w:val="37917C88"/>
    <w:rsid w:val="40265800"/>
    <w:rsid w:val="71E30B27"/>
    <w:rsid w:val="7B616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2020-09-11T03:41:00Z</dcterms:created>
  <dc:creator>acxzz</dc:creator>
  <cp:lastModifiedBy>acxzz</cp:lastModifiedBy>
  <dcterms:modified xsi:type="dcterms:W3CDTF">2020-09-27T00:39:54Z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