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黑体" w:hAnsi="宋体" w:eastAsia="黑体" w:cs="黑体"/>
          <w:i w:val="0"/>
          <w:caps w:val="0"/>
          <w:color w:val="535353"/>
          <w:spacing w:val="0"/>
          <w:kern w:val="0"/>
          <w:sz w:val="40"/>
          <w:szCs w:val="40"/>
          <w:u w:val="none"/>
          <w:shd w:val="clear" w:fill="FFFFFF"/>
          <w:lang w:val="en-US" w:eastAsia="zh-CN" w:bidi="ar"/>
        </w:rPr>
      </w:pPr>
      <w:r>
        <w:rPr>
          <w:rFonts w:hint="eastAsia" w:ascii="黑体" w:hAnsi="宋体" w:eastAsia="黑体" w:cs="黑体"/>
          <w:i w:val="0"/>
          <w:caps w:val="0"/>
          <w:color w:val="535353"/>
          <w:spacing w:val="0"/>
          <w:kern w:val="0"/>
          <w:sz w:val="40"/>
          <w:szCs w:val="40"/>
          <w:u w:val="none"/>
          <w:shd w:val="clear" w:fill="FFFFFF"/>
          <w:lang w:val="en-US" w:eastAsia="zh-CN" w:bidi="ar"/>
        </w:rPr>
        <w:t>邵东市花鼓戏保护传承中心2019年度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微软雅黑" w:hAnsi="微软雅黑" w:eastAsia="微软雅黑" w:cs="微软雅黑"/>
          <w:i w:val="0"/>
          <w:caps w:val="0"/>
          <w:color w:val="535353"/>
          <w:spacing w:val="0"/>
          <w:sz w:val="22"/>
          <w:szCs w:val="22"/>
          <w:u w:val="none"/>
        </w:rPr>
      </w:pPr>
      <w:bookmarkStart w:id="0" w:name="_GoBack"/>
      <w:bookmarkEnd w:id="0"/>
      <w:r>
        <w:rPr>
          <w:rFonts w:hint="eastAsia" w:ascii="黑体" w:hAnsi="宋体" w:eastAsia="黑体" w:cs="黑体"/>
          <w:i w:val="0"/>
          <w:caps w:val="0"/>
          <w:color w:val="535353"/>
          <w:spacing w:val="0"/>
          <w:kern w:val="0"/>
          <w:sz w:val="40"/>
          <w:szCs w:val="40"/>
          <w:u w:val="none"/>
          <w:shd w:val="clear" w:fill="FFFFFF"/>
          <w:lang w:val="en-US" w:eastAsia="zh-CN" w:bidi="ar"/>
        </w:rPr>
        <w:t>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kern w:val="0"/>
          <w:sz w:val="32"/>
          <w:szCs w:val="32"/>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新宋体" w:hAnsi="新宋体" w:eastAsia="新宋体" w:cs="新宋体"/>
          <w:i w:val="0"/>
          <w:caps w:val="0"/>
          <w:color w:val="535353"/>
          <w:spacing w:val="0"/>
          <w:sz w:val="22"/>
          <w:szCs w:val="22"/>
          <w:u w:val="none"/>
        </w:rPr>
      </w:pPr>
      <w:r>
        <w:rPr>
          <w:rFonts w:hint="eastAsia" w:ascii="新宋体" w:hAnsi="新宋体" w:eastAsia="新宋体" w:cs="新宋体"/>
          <w:i w:val="0"/>
          <w:caps w:val="0"/>
          <w:color w:val="535353"/>
          <w:spacing w:val="0"/>
          <w:kern w:val="0"/>
          <w:sz w:val="32"/>
          <w:szCs w:val="32"/>
          <w:u w:val="none"/>
          <w:shd w:val="clear" w:fill="FFFFFF"/>
          <w:lang w:val="en-US" w:eastAsia="zh-CN" w:bidi="ar"/>
        </w:rPr>
        <w:t>根据《中共中央国务院关于全面实施预算绩效管理的意见》和《邵东市财政局关于做好2019年度预算绩效评价工作的通知》，我中心对部门整体支出进行了绩效评价，现报告如下：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kern w:val="0"/>
          <w:sz w:val="32"/>
          <w:szCs w:val="32"/>
          <w:u w:val="none"/>
          <w:shd w:val="clear" w:fill="FFFFFF"/>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（一）部门职能</w:t>
      </w:r>
    </w:p>
    <w:p>
      <w:pPr>
        <w:ind w:firstLine="800" w:firstLineChars="250"/>
        <w:jc w:val="left"/>
        <w:rPr>
          <w:rFonts w:ascii="宋体"/>
          <w:sz w:val="32"/>
          <w:szCs w:val="32"/>
        </w:rPr>
      </w:pPr>
      <w:r>
        <w:rPr>
          <w:rFonts w:hint="eastAsia" w:ascii="宋体" w:hAnsi="宋体" w:eastAsia="仿宋_GB2312"/>
          <w:sz w:val="32"/>
          <w:szCs w:val="32"/>
          <w:lang w:val="en-US" w:eastAsia="zh-CN"/>
        </w:rPr>
        <w:t>1、</w:t>
      </w:r>
      <w:r>
        <w:rPr>
          <w:rFonts w:hint="eastAsia" w:ascii="仿宋_GB2312" w:eastAsia="仿宋_GB2312"/>
          <w:sz w:val="32"/>
          <w:szCs w:val="32"/>
        </w:rPr>
        <w:t>创作、演出优秀花鼓戏剧目。</w:t>
      </w:r>
    </w:p>
    <w:p>
      <w:pPr>
        <w:ind w:firstLine="800" w:firstLineChars="250"/>
        <w:jc w:val="left"/>
        <w:rPr>
          <w:rFonts w:hint="eastAsia" w:ascii="仿宋_GB2312" w:eastAsia="仿宋_GB2312"/>
          <w:sz w:val="32"/>
          <w:szCs w:val="32"/>
        </w:rPr>
      </w:pPr>
      <w:r>
        <w:rPr>
          <w:rFonts w:hint="eastAsia" w:ascii="宋体" w:hAnsi="宋体" w:eastAsia="仿宋_GB2312"/>
          <w:sz w:val="32"/>
          <w:szCs w:val="32"/>
          <w:lang w:val="en-US" w:eastAsia="zh-CN"/>
        </w:rPr>
        <w:t>2、</w:t>
      </w:r>
      <w:r>
        <w:rPr>
          <w:rFonts w:hint="eastAsia" w:ascii="仿宋_GB2312" w:eastAsia="仿宋_GB2312"/>
          <w:sz w:val="32"/>
          <w:szCs w:val="32"/>
        </w:rPr>
        <w:t>县内外舞台艺术作品演出。</w:t>
      </w:r>
    </w:p>
    <w:p>
      <w:pPr>
        <w:ind w:firstLine="800" w:firstLineChars="250"/>
        <w:jc w:val="left"/>
        <w:rPr>
          <w:rFonts w:hint="eastAsia" w:ascii="宋体" w:hAnsi="宋体" w:eastAsia="宋体" w:cs="宋体"/>
          <w:b w:val="0"/>
          <w:i w:val="0"/>
          <w:caps w:val="0"/>
          <w:color w:val="535353"/>
          <w:spacing w:val="0"/>
          <w:kern w:val="0"/>
          <w:sz w:val="32"/>
          <w:szCs w:val="32"/>
          <w:u w:val="none"/>
          <w:shd w:val="clear" w:fill="FFFFFF"/>
          <w:lang w:val="en-US" w:eastAsia="zh-CN" w:bidi="ar"/>
        </w:rPr>
      </w:pPr>
      <w:r>
        <w:rPr>
          <w:rFonts w:hint="eastAsia" w:ascii="宋体" w:eastAsia="仿宋_GB2312"/>
          <w:sz w:val="32"/>
          <w:szCs w:val="32"/>
          <w:lang w:val="en-US" w:eastAsia="zh-CN"/>
        </w:rPr>
        <w:t>3、</w:t>
      </w:r>
      <w:r>
        <w:rPr>
          <w:rFonts w:hint="eastAsia" w:ascii="仿宋_GB2312" w:eastAsia="仿宋_GB2312"/>
          <w:sz w:val="32"/>
          <w:szCs w:val="32"/>
        </w:rPr>
        <w:t>传统艺术整理和加工保护、舞台艺术作品创作。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（二）机构设置情况。</w:t>
      </w:r>
    </w:p>
    <w:p>
      <w:pPr>
        <w:spacing w:line="480" w:lineRule="auto"/>
        <w:ind w:firstLine="640" w:firstLineChars="200"/>
        <w:rPr>
          <w:rFonts w:hint="eastAsia"/>
          <w:color w:val="333333"/>
          <w:sz w:val="32"/>
          <w:szCs w:val="32"/>
        </w:rPr>
      </w:pPr>
      <w:r>
        <w:rPr>
          <w:rFonts w:hint="eastAsia" w:ascii="宋体" w:hAnsi="宋体"/>
          <w:bCs/>
          <w:kern w:val="0"/>
          <w:sz w:val="32"/>
          <w:szCs w:val="32"/>
        </w:rPr>
        <w:t>本单位内设机构包括：</w:t>
      </w:r>
      <w:r>
        <w:rPr>
          <w:rFonts w:hint="eastAsia" w:ascii="楷体_GB2312" w:eastAsia="楷体_GB2312"/>
          <w:b w:val="0"/>
          <w:bCs/>
          <w:sz w:val="32"/>
          <w:szCs w:val="32"/>
          <w:lang w:eastAsia="zh-CN"/>
        </w:rPr>
        <w:t>办公室、财务室、剧目创作室、保护传承室、传习所等</w:t>
      </w:r>
      <w:r>
        <w:rPr>
          <w:rFonts w:hint="eastAsia" w:ascii="楷体_GB2312" w:eastAsia="楷体_GB2312"/>
          <w:b w:val="0"/>
          <w:bCs/>
          <w:sz w:val="32"/>
          <w:szCs w:val="32"/>
          <w:lang w:val="en-US" w:eastAsia="zh-CN"/>
        </w:rPr>
        <w:t>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sz w:val="32"/>
          <w:szCs w:val="32"/>
          <w:u w:val="none"/>
          <w:shd w:val="clear" w:fill="FFFFFF"/>
        </w:rPr>
        <w:t>　　</w:t>
      </w:r>
      <w:r>
        <w:rPr>
          <w:rFonts w:hint="eastAsia" w:ascii="黑体" w:hAnsi="宋体" w:eastAsia="黑体" w:cs="黑体"/>
          <w:i w:val="0"/>
          <w:caps w:val="0"/>
          <w:color w:val="535353"/>
          <w:spacing w:val="0"/>
          <w:sz w:val="32"/>
          <w:szCs w:val="32"/>
          <w:u w:val="none"/>
          <w:shd w:val="clear" w:fill="FFFFFF"/>
          <w:lang w:eastAsia="zh-CN"/>
        </w:rPr>
        <w:t>二</w:t>
      </w:r>
      <w:r>
        <w:rPr>
          <w:rFonts w:hint="eastAsia" w:ascii="黑体" w:hAnsi="宋体" w:eastAsia="黑体" w:cs="黑体"/>
          <w:i w:val="0"/>
          <w:caps w:val="0"/>
          <w:color w:val="535353"/>
          <w:spacing w:val="0"/>
          <w:sz w:val="32"/>
          <w:szCs w:val="32"/>
          <w:u w:val="none"/>
          <w:shd w:val="clear" w:fill="FFFFFF"/>
        </w:rPr>
        <w:t>、部门整体支出绩效指标评价情况 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default" w:ascii="Arial" w:hAnsi="Arial" w:eastAsia="微软雅黑" w:cs="Arial"/>
          <w:i w:val="0"/>
          <w:caps w:val="0"/>
          <w:color w:val="535353"/>
          <w:spacing w:val="0"/>
          <w:sz w:val="32"/>
          <w:szCs w:val="32"/>
          <w:u w:val="none"/>
          <w:shd w:val="clear" w:fill="FFFFFF"/>
        </w:rPr>
      </w:pPr>
      <w:r>
        <w:rPr>
          <w:rFonts w:hint="default" w:ascii="Arial" w:hAnsi="Arial" w:eastAsia="微软雅黑" w:cs="Arial"/>
          <w:i w:val="0"/>
          <w:caps w:val="0"/>
          <w:color w:val="535353"/>
          <w:spacing w:val="0"/>
          <w:sz w:val="32"/>
          <w:szCs w:val="32"/>
          <w:u w:val="none"/>
          <w:shd w:val="clear" w:fill="FFFFFF"/>
        </w:rPr>
        <w:t>对照</w:t>
      </w:r>
      <w:r>
        <w:rPr>
          <w:rFonts w:hint="eastAsia" w:ascii="宋体" w:hAnsi="宋体" w:eastAsia="宋体" w:cs="宋体"/>
          <w:i w:val="0"/>
          <w:caps w:val="0"/>
          <w:color w:val="535353"/>
          <w:spacing w:val="0"/>
          <w:sz w:val="32"/>
          <w:szCs w:val="32"/>
          <w:u w:val="none"/>
          <w:shd w:val="clear" w:fill="FFFFFF"/>
          <w:lang w:eastAsia="zh-CN"/>
        </w:rPr>
        <w:t>相关</w:t>
      </w:r>
      <w:r>
        <w:rPr>
          <w:rFonts w:hint="default" w:ascii="Arial" w:hAnsi="Arial" w:eastAsia="微软雅黑" w:cs="Arial"/>
          <w:i w:val="0"/>
          <w:caps w:val="0"/>
          <w:color w:val="535353"/>
          <w:spacing w:val="0"/>
          <w:sz w:val="32"/>
          <w:szCs w:val="32"/>
          <w:u w:val="none"/>
          <w:shd w:val="clear" w:fill="FFFFFF"/>
        </w:rPr>
        <w:t>文件规定的考核指标，我</w:t>
      </w:r>
      <w:r>
        <w:rPr>
          <w:rFonts w:hint="eastAsia" w:ascii="宋体" w:hAnsi="宋体" w:eastAsia="宋体" w:cs="宋体"/>
          <w:i w:val="0"/>
          <w:caps w:val="0"/>
          <w:color w:val="535353"/>
          <w:spacing w:val="0"/>
          <w:sz w:val="32"/>
          <w:szCs w:val="32"/>
          <w:u w:val="none"/>
          <w:shd w:val="clear" w:fill="FFFFFF"/>
          <w:lang w:eastAsia="zh-CN"/>
        </w:rPr>
        <w:t>中心</w:t>
      </w:r>
      <w:r>
        <w:rPr>
          <w:rFonts w:hint="default" w:ascii="Arial" w:hAnsi="Arial" w:eastAsia="微软雅黑" w:cs="Arial"/>
          <w:i w:val="0"/>
          <w:caps w:val="0"/>
          <w:color w:val="535353"/>
          <w:spacing w:val="0"/>
          <w:sz w:val="32"/>
          <w:szCs w:val="32"/>
          <w:u w:val="none"/>
          <w:shd w:val="clear" w:fill="FFFFFF"/>
        </w:rPr>
        <w:t>从预算配置、预算执行、预算管理、履职效益等方面对2019</w:t>
      </w:r>
      <w:r>
        <w:rPr>
          <w:rFonts w:hint="eastAsia" w:ascii="宋体" w:hAnsi="宋体" w:eastAsia="宋体" w:cs="宋体"/>
          <w:i w:val="0"/>
          <w:caps w:val="0"/>
          <w:color w:val="535353"/>
          <w:spacing w:val="0"/>
          <w:sz w:val="32"/>
          <w:szCs w:val="32"/>
          <w:u w:val="none"/>
          <w:shd w:val="clear" w:fill="FFFFFF"/>
        </w:rPr>
        <w:t>年部门整体支出绩效开展了评价，</w:t>
      </w:r>
      <w:r>
        <w:rPr>
          <w:rFonts w:hint="default" w:ascii="Arial" w:hAnsi="Arial" w:eastAsia="微软雅黑" w:cs="Arial"/>
          <w:i w:val="0"/>
          <w:caps w:val="0"/>
          <w:color w:val="535353"/>
          <w:spacing w:val="0"/>
          <w:sz w:val="32"/>
          <w:szCs w:val="32"/>
          <w:u w:val="none"/>
          <w:shd w:val="clear" w:fill="FFFFFF"/>
        </w:rPr>
        <w:t>具体情况如下： 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黑体" w:hAnsi="宋体" w:eastAsia="黑体" w:cs="黑体"/>
          <w:i w:val="0"/>
          <w:caps w:val="0"/>
          <w:color w:val="535353"/>
          <w:spacing w:val="0"/>
          <w:sz w:val="32"/>
          <w:szCs w:val="32"/>
          <w:u w:val="none"/>
          <w:shd w:val="clear" w:fill="FFFFFF"/>
        </w:rPr>
      </w:pPr>
      <w:r>
        <w:rPr>
          <w:rFonts w:hint="default" w:ascii="黑体" w:hAnsi="宋体" w:eastAsia="黑体" w:cs="黑体"/>
          <w:i w:val="0"/>
          <w:caps w:val="0"/>
          <w:color w:val="535353"/>
          <w:spacing w:val="0"/>
          <w:sz w:val="32"/>
          <w:szCs w:val="32"/>
          <w:u w:val="none"/>
          <w:shd w:val="clear" w:fill="FFFFFF"/>
        </w:rPr>
        <w:t>（一）预算配置方面 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w:t>
      </w:r>
      <w:r>
        <w:rPr>
          <w:rFonts w:hint="eastAsia" w:ascii="宋体" w:hAnsi="宋体" w:eastAsia="宋体" w:cs="宋体"/>
          <w:i w:val="0"/>
          <w:caps w:val="0"/>
          <w:color w:val="535353"/>
          <w:spacing w:val="0"/>
          <w:sz w:val="32"/>
          <w:szCs w:val="32"/>
          <w:u w:val="none"/>
          <w:shd w:val="clear" w:fill="FFFFFF"/>
        </w:rPr>
        <w:t> </w:t>
      </w:r>
      <w:r>
        <w:rPr>
          <w:rFonts w:hint="default" w:ascii="Arial" w:hAnsi="Arial" w:eastAsia="微软雅黑" w:cs="Arial"/>
          <w:i w:val="0"/>
          <w:caps w:val="0"/>
          <w:color w:val="535353"/>
          <w:spacing w:val="0"/>
          <w:sz w:val="32"/>
          <w:szCs w:val="32"/>
          <w:u w:val="none"/>
          <w:shd w:val="clear" w:fill="FFFFFF"/>
        </w:rPr>
        <w:t>　在职人员控制率：编制数</w:t>
      </w:r>
      <w:r>
        <w:rPr>
          <w:rFonts w:hint="eastAsia" w:ascii="Arial" w:hAnsi="Arial" w:eastAsia="微软雅黑" w:cs="Arial"/>
          <w:i w:val="0"/>
          <w:caps w:val="0"/>
          <w:color w:val="535353"/>
          <w:spacing w:val="0"/>
          <w:sz w:val="32"/>
          <w:szCs w:val="32"/>
          <w:u w:val="none"/>
          <w:shd w:val="clear" w:fill="FFFFFF"/>
          <w:lang w:val="en-US" w:eastAsia="zh-CN"/>
        </w:rPr>
        <w:t>31</w:t>
      </w:r>
      <w:r>
        <w:rPr>
          <w:rFonts w:hint="default" w:ascii="Arial" w:hAnsi="Arial" w:eastAsia="微软雅黑" w:cs="Arial"/>
          <w:i w:val="0"/>
          <w:caps w:val="0"/>
          <w:color w:val="535353"/>
          <w:spacing w:val="0"/>
          <w:sz w:val="32"/>
          <w:szCs w:val="32"/>
          <w:u w:val="none"/>
          <w:shd w:val="clear" w:fill="FFFFFF"/>
        </w:rPr>
        <w:t>人，在职人员</w:t>
      </w:r>
      <w:r>
        <w:rPr>
          <w:rFonts w:hint="eastAsia" w:ascii="Arial" w:hAnsi="Arial" w:eastAsia="微软雅黑" w:cs="Arial"/>
          <w:i w:val="0"/>
          <w:caps w:val="0"/>
          <w:color w:val="535353"/>
          <w:spacing w:val="0"/>
          <w:sz w:val="32"/>
          <w:szCs w:val="32"/>
          <w:u w:val="none"/>
          <w:shd w:val="clear" w:fill="FFFFFF"/>
          <w:lang w:val="en-US" w:eastAsia="zh-CN"/>
        </w:rPr>
        <w:t>25</w:t>
      </w:r>
      <w:r>
        <w:rPr>
          <w:rFonts w:hint="default" w:ascii="Arial" w:hAnsi="Arial" w:eastAsia="微软雅黑" w:cs="Arial"/>
          <w:i w:val="0"/>
          <w:caps w:val="0"/>
          <w:color w:val="535353"/>
          <w:spacing w:val="0"/>
          <w:sz w:val="32"/>
          <w:szCs w:val="32"/>
          <w:u w:val="none"/>
          <w:shd w:val="clear" w:fill="FFFFFF"/>
        </w:rPr>
        <w:t>人，在编制控制范围内，在职人员控制率为</w:t>
      </w:r>
      <w:r>
        <w:rPr>
          <w:rFonts w:hint="eastAsia" w:ascii="Arial" w:hAnsi="Arial" w:eastAsia="微软雅黑" w:cs="Arial"/>
          <w:i w:val="0"/>
          <w:caps w:val="0"/>
          <w:color w:val="535353"/>
          <w:spacing w:val="0"/>
          <w:sz w:val="32"/>
          <w:szCs w:val="32"/>
          <w:u w:val="none"/>
          <w:shd w:val="clear" w:fill="FFFFFF"/>
          <w:lang w:val="en-US" w:eastAsia="zh-CN"/>
        </w:rPr>
        <w:t>100</w:t>
      </w:r>
      <w:r>
        <w:rPr>
          <w:rFonts w:hint="default" w:ascii="Arial" w:hAnsi="Arial" w:eastAsia="微软雅黑" w:cs="Arial"/>
          <w:i w:val="0"/>
          <w:caps w:val="0"/>
          <w:color w:val="535353"/>
          <w:spacing w:val="0"/>
          <w:sz w:val="32"/>
          <w:szCs w:val="32"/>
          <w:u w:val="none"/>
          <w:shd w:val="clear" w:fill="FFFFFF"/>
        </w:rPr>
        <w:t>%</w:t>
      </w:r>
      <w:r>
        <w:rPr>
          <w:rFonts w:hint="eastAsia" w:ascii="宋体" w:hAnsi="宋体" w:eastAsia="宋体" w:cs="宋体"/>
          <w:i w:val="0"/>
          <w:caps w:val="0"/>
          <w:color w:val="535353"/>
          <w:spacing w:val="0"/>
          <w:sz w:val="32"/>
          <w:szCs w:val="32"/>
          <w:u w:val="none"/>
          <w:shd w:val="clear" w:fill="FFFFFF"/>
        </w:rPr>
        <w:t>。</w:t>
      </w:r>
      <w:r>
        <w:rPr>
          <w:rFonts w:hint="default" w:ascii="Arial" w:hAnsi="Arial" w:eastAsia="微软雅黑" w:cs="Arial"/>
          <w:i w:val="0"/>
          <w:caps w:val="0"/>
          <w:color w:val="535353"/>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w:t>
      </w:r>
      <w:r>
        <w:rPr>
          <w:rFonts w:hint="eastAsia" w:ascii="宋体" w:hAnsi="宋体" w:eastAsia="宋体" w:cs="宋体"/>
          <w:i w:val="0"/>
          <w:caps w:val="0"/>
          <w:color w:val="535353"/>
          <w:spacing w:val="0"/>
          <w:sz w:val="32"/>
          <w:szCs w:val="32"/>
          <w:u w:val="none"/>
          <w:shd w:val="clear" w:fill="FFFFFF"/>
        </w:rPr>
        <w:t>三公经费</w:t>
      </w:r>
      <w:r>
        <w:rPr>
          <w:rFonts w:hint="default" w:ascii="Arial" w:hAnsi="Arial" w:eastAsia="微软雅黑" w:cs="Arial"/>
          <w:i w:val="0"/>
          <w:caps w:val="0"/>
          <w:color w:val="535353"/>
          <w:spacing w:val="0"/>
          <w:sz w:val="32"/>
          <w:szCs w:val="32"/>
          <w:u w:val="none"/>
          <w:shd w:val="clear" w:fill="FFFFFF"/>
        </w:rPr>
        <w:t>”</w:t>
      </w:r>
      <w:r>
        <w:rPr>
          <w:rFonts w:hint="eastAsia" w:ascii="宋体" w:hAnsi="宋体" w:eastAsia="宋体" w:cs="宋体"/>
          <w:i w:val="0"/>
          <w:caps w:val="0"/>
          <w:color w:val="535353"/>
          <w:spacing w:val="0"/>
          <w:sz w:val="32"/>
          <w:szCs w:val="32"/>
          <w:u w:val="none"/>
          <w:shd w:val="clear" w:fill="FFFFFF"/>
        </w:rPr>
        <w:t>变动率控制较好。</w:t>
      </w:r>
      <w:r>
        <w:rPr>
          <w:rFonts w:hint="default" w:ascii="Arial" w:hAnsi="Arial" w:eastAsia="微软雅黑" w:cs="Arial"/>
          <w:i w:val="0"/>
          <w:caps w:val="0"/>
          <w:color w:val="535353"/>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黑体" w:hAnsi="宋体" w:eastAsia="黑体" w:cs="黑体"/>
          <w:i w:val="0"/>
          <w:caps w:val="0"/>
          <w:color w:val="535353"/>
          <w:spacing w:val="0"/>
          <w:sz w:val="32"/>
          <w:szCs w:val="32"/>
          <w:u w:val="none"/>
          <w:shd w:val="clear" w:fill="FFFFFF"/>
        </w:rPr>
      </w:pPr>
      <w:r>
        <w:rPr>
          <w:rFonts w:hint="default" w:ascii="Arial" w:hAnsi="Arial" w:eastAsia="微软雅黑" w:cs="Arial"/>
          <w:b/>
          <w:i w:val="0"/>
          <w:caps w:val="0"/>
          <w:color w:val="535353"/>
          <w:spacing w:val="0"/>
          <w:sz w:val="32"/>
          <w:szCs w:val="32"/>
          <w:u w:val="none"/>
          <w:shd w:val="clear" w:fill="FFFFFF"/>
        </w:rPr>
        <w:t>　　</w:t>
      </w:r>
      <w:r>
        <w:rPr>
          <w:rFonts w:hint="default" w:ascii="黑体" w:hAnsi="宋体" w:eastAsia="黑体" w:cs="黑体"/>
          <w:i w:val="0"/>
          <w:caps w:val="0"/>
          <w:color w:val="535353"/>
          <w:spacing w:val="0"/>
          <w:sz w:val="32"/>
          <w:szCs w:val="32"/>
          <w:u w:val="none"/>
          <w:shd w:val="clear" w:fill="FFFFFF"/>
        </w:rPr>
        <w:t>（二）预算执行方面 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预算完成率：</w:t>
      </w:r>
      <w:r>
        <w:rPr>
          <w:rFonts w:hint="eastAsia" w:ascii="宋体" w:hAnsi="宋体" w:eastAsia="宋体" w:cs="宋体"/>
          <w:i w:val="0"/>
          <w:caps w:val="0"/>
          <w:color w:val="535353"/>
          <w:spacing w:val="0"/>
          <w:sz w:val="32"/>
          <w:szCs w:val="32"/>
          <w:u w:val="none"/>
          <w:shd w:val="clear" w:fill="FFFFFF"/>
        </w:rPr>
        <w:t>预算控制率</w:t>
      </w:r>
      <w:r>
        <w:rPr>
          <w:rFonts w:hint="default" w:ascii="Arial" w:hAnsi="Arial" w:eastAsia="微软雅黑" w:cs="Arial"/>
          <w:i w:val="0"/>
          <w:caps w:val="0"/>
          <w:color w:val="535353"/>
          <w:spacing w:val="0"/>
          <w:sz w:val="32"/>
          <w:szCs w:val="32"/>
          <w:u w:val="none"/>
          <w:shd w:val="clear" w:fill="FFFFFF"/>
        </w:rPr>
        <w:t>100%</w:t>
      </w:r>
      <w:r>
        <w:rPr>
          <w:rFonts w:hint="eastAsia" w:ascii="宋体" w:hAnsi="宋体" w:eastAsia="宋体" w:cs="宋体"/>
          <w:i w:val="0"/>
          <w:caps w:val="0"/>
          <w:color w:val="535353"/>
          <w:spacing w:val="0"/>
          <w:sz w:val="32"/>
          <w:szCs w:val="32"/>
          <w:u w:val="none"/>
          <w:shd w:val="clear" w:fill="FFFFFF"/>
        </w:rPr>
        <w:t>。</w:t>
      </w:r>
      <w:r>
        <w:rPr>
          <w:rFonts w:hint="default" w:ascii="Arial" w:hAnsi="Arial" w:eastAsia="微软雅黑" w:cs="Arial"/>
          <w:i w:val="0"/>
          <w:caps w:val="0"/>
          <w:color w:val="535353"/>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黑体" w:hAnsi="宋体" w:eastAsia="黑体" w:cs="黑体"/>
          <w:i w:val="0"/>
          <w:caps w:val="0"/>
          <w:color w:val="535353"/>
          <w:spacing w:val="0"/>
          <w:sz w:val="32"/>
          <w:szCs w:val="32"/>
          <w:u w:val="none"/>
          <w:shd w:val="clear" w:fill="FFFFFF"/>
        </w:rPr>
      </w:pPr>
      <w:r>
        <w:rPr>
          <w:rFonts w:hint="default" w:ascii="Arial" w:hAnsi="Arial" w:eastAsia="微软雅黑" w:cs="Arial"/>
          <w:b/>
          <w:i w:val="0"/>
          <w:caps w:val="0"/>
          <w:color w:val="535353"/>
          <w:spacing w:val="0"/>
          <w:sz w:val="32"/>
          <w:szCs w:val="32"/>
          <w:u w:val="none"/>
          <w:shd w:val="clear" w:fill="FFFFFF"/>
        </w:rPr>
        <w:t>　　</w:t>
      </w:r>
      <w:r>
        <w:rPr>
          <w:rFonts w:hint="default" w:ascii="黑体" w:hAnsi="宋体" w:eastAsia="黑体" w:cs="黑体"/>
          <w:i w:val="0"/>
          <w:caps w:val="0"/>
          <w:color w:val="535353"/>
          <w:spacing w:val="0"/>
          <w:sz w:val="32"/>
          <w:szCs w:val="32"/>
          <w:u w:val="none"/>
          <w:shd w:val="clear" w:fill="FFFFFF"/>
        </w:rPr>
        <w:t>（三）预算管理方面 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公用经费控制率：2019</w:t>
      </w:r>
      <w:r>
        <w:rPr>
          <w:rFonts w:hint="eastAsia" w:ascii="宋体" w:hAnsi="宋体" w:eastAsia="宋体" w:cs="宋体"/>
          <w:i w:val="0"/>
          <w:caps w:val="0"/>
          <w:color w:val="535353"/>
          <w:spacing w:val="0"/>
          <w:sz w:val="32"/>
          <w:szCs w:val="32"/>
          <w:u w:val="none"/>
          <w:shd w:val="clear" w:fill="FFFFFF"/>
        </w:rPr>
        <w:t>年我</w:t>
      </w:r>
      <w:r>
        <w:rPr>
          <w:rFonts w:hint="eastAsia" w:ascii="宋体" w:hAnsi="宋体" w:eastAsia="宋体" w:cs="宋体"/>
          <w:i w:val="0"/>
          <w:caps w:val="0"/>
          <w:color w:val="535353"/>
          <w:spacing w:val="0"/>
          <w:sz w:val="32"/>
          <w:szCs w:val="32"/>
          <w:u w:val="none"/>
          <w:shd w:val="clear" w:fill="FFFFFF"/>
          <w:lang w:eastAsia="zh-CN"/>
        </w:rPr>
        <w:t>中心</w:t>
      </w:r>
      <w:r>
        <w:rPr>
          <w:rFonts w:hint="default" w:ascii="Arial" w:hAnsi="Arial" w:eastAsia="微软雅黑" w:cs="Arial"/>
          <w:i w:val="0"/>
          <w:caps w:val="0"/>
          <w:color w:val="535353"/>
          <w:spacing w:val="0"/>
          <w:sz w:val="32"/>
          <w:szCs w:val="32"/>
          <w:u w:val="none"/>
          <w:shd w:val="clear" w:fill="FFFFFF"/>
        </w:rPr>
        <w:t>预算管理各项指标控制较好。 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政府采购执行率：政府采购预算数0</w:t>
      </w:r>
      <w:r>
        <w:rPr>
          <w:rFonts w:hint="eastAsia" w:ascii="宋体" w:hAnsi="宋体" w:eastAsia="宋体" w:cs="宋体"/>
          <w:i w:val="0"/>
          <w:caps w:val="0"/>
          <w:color w:val="535353"/>
          <w:spacing w:val="0"/>
          <w:sz w:val="32"/>
          <w:szCs w:val="32"/>
          <w:u w:val="none"/>
          <w:shd w:val="clear" w:fill="FFFFFF"/>
        </w:rPr>
        <w:t>万元，实际政府采购金额</w:t>
      </w:r>
      <w:r>
        <w:rPr>
          <w:rFonts w:hint="default" w:ascii="Arial" w:hAnsi="Arial" w:eastAsia="微软雅黑" w:cs="Arial"/>
          <w:i w:val="0"/>
          <w:caps w:val="0"/>
          <w:color w:val="535353"/>
          <w:spacing w:val="0"/>
          <w:sz w:val="32"/>
          <w:szCs w:val="32"/>
          <w:u w:val="none"/>
          <w:shd w:val="clear" w:fill="FFFFFF"/>
        </w:rPr>
        <w:t>0</w:t>
      </w:r>
      <w:r>
        <w:rPr>
          <w:rFonts w:hint="eastAsia" w:ascii="宋体" w:hAnsi="宋体" w:eastAsia="宋体" w:cs="宋体"/>
          <w:i w:val="0"/>
          <w:caps w:val="0"/>
          <w:color w:val="535353"/>
          <w:spacing w:val="0"/>
          <w:sz w:val="32"/>
          <w:szCs w:val="32"/>
          <w:u w:val="none"/>
          <w:shd w:val="clear" w:fill="FFFFFF"/>
        </w:rPr>
        <w:t>万元。</w:t>
      </w:r>
      <w:r>
        <w:rPr>
          <w:rFonts w:hint="default" w:ascii="Arial" w:hAnsi="Arial" w:eastAsia="微软雅黑" w:cs="Arial"/>
          <w:i w:val="0"/>
          <w:caps w:val="0"/>
          <w:color w:val="535353"/>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管理制度健全性：严格落实《湖南省财政厅机关财务管理办法》等有关管理制度</w:t>
      </w:r>
      <w:r>
        <w:rPr>
          <w:rFonts w:hint="eastAsia" w:ascii="Arial" w:hAnsi="Arial" w:eastAsia="微软雅黑" w:cs="Arial"/>
          <w:i w:val="0"/>
          <w:caps w:val="0"/>
          <w:color w:val="535353"/>
          <w:spacing w:val="0"/>
          <w:sz w:val="32"/>
          <w:szCs w:val="32"/>
          <w:u w:val="none"/>
          <w:shd w:val="clear" w:fill="FFFFFF"/>
          <w:lang w:eastAsia="zh-CN"/>
        </w:rPr>
        <w:t>，</w:t>
      </w:r>
      <w:r>
        <w:rPr>
          <w:rFonts w:hint="default" w:ascii="Arial" w:hAnsi="Arial" w:eastAsia="微软雅黑" w:cs="Arial"/>
          <w:i w:val="0"/>
          <w:caps w:val="0"/>
          <w:color w:val="535353"/>
          <w:spacing w:val="0"/>
          <w:sz w:val="32"/>
          <w:szCs w:val="32"/>
          <w:u w:val="none"/>
          <w:shd w:val="clear" w:fill="FFFFFF"/>
        </w:rPr>
        <w:t>规范财务审批程序，推行公务卡结算，严格差旅费和接待费支出标准、范围和程序的审核。 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资金使用合规性：严格落实中央八项规定和有关公务支出标准。加强经费合法合规性审核和预算控制，严格按制度政策办事，资金使用合法合规，支出手续齐全，程序到位。 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i w:val="0"/>
          <w:caps w:val="0"/>
          <w:color w:val="535353"/>
          <w:spacing w:val="0"/>
          <w:sz w:val="32"/>
          <w:szCs w:val="32"/>
          <w:u w:val="none"/>
          <w:shd w:val="clear" w:fill="FFFFFF"/>
        </w:rPr>
        <w:t>　　预决算信息公开性：加快预算执行，盘活存量资金，减少追加资金。真实准确编制</w:t>
      </w:r>
      <w:r>
        <w:rPr>
          <w:rFonts w:hint="eastAsia" w:ascii="宋体" w:hAnsi="宋体" w:eastAsia="宋体" w:cs="宋体"/>
          <w:i w:val="0"/>
          <w:caps w:val="0"/>
          <w:color w:val="535353"/>
          <w:spacing w:val="0"/>
          <w:sz w:val="32"/>
          <w:szCs w:val="32"/>
          <w:u w:val="none"/>
          <w:shd w:val="clear" w:fill="FFFFFF"/>
        </w:rPr>
        <w:t>我</w:t>
      </w:r>
      <w:r>
        <w:rPr>
          <w:rFonts w:hint="eastAsia" w:ascii="宋体" w:hAnsi="宋体" w:eastAsia="宋体" w:cs="宋体"/>
          <w:i w:val="0"/>
          <w:caps w:val="0"/>
          <w:color w:val="535353"/>
          <w:spacing w:val="0"/>
          <w:sz w:val="32"/>
          <w:szCs w:val="32"/>
          <w:u w:val="none"/>
          <w:shd w:val="clear" w:fill="FFFFFF"/>
          <w:lang w:eastAsia="zh-CN"/>
        </w:rPr>
        <w:t>中心</w:t>
      </w:r>
      <w:r>
        <w:rPr>
          <w:rFonts w:hint="default" w:ascii="Arial" w:hAnsi="Arial" w:eastAsia="微软雅黑" w:cs="Arial"/>
          <w:i w:val="0"/>
          <w:caps w:val="0"/>
          <w:color w:val="535353"/>
          <w:spacing w:val="0"/>
          <w:sz w:val="32"/>
          <w:szCs w:val="32"/>
          <w:u w:val="none"/>
          <w:shd w:val="clear" w:fill="FFFFFF"/>
        </w:rPr>
        <w:t>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微软雅黑" w:hAnsi="微软雅黑" w:eastAsia="微软雅黑" w:cs="微软雅黑"/>
          <w:i w:val="0"/>
          <w:caps w:val="0"/>
          <w:color w:val="535353"/>
          <w:spacing w:val="0"/>
          <w:sz w:val="22"/>
          <w:szCs w:val="22"/>
          <w:u w:val="none"/>
        </w:rPr>
      </w:pPr>
      <w:r>
        <w:rPr>
          <w:rFonts w:hint="default" w:ascii="Arial" w:hAnsi="Arial" w:eastAsia="微软雅黑" w:cs="Arial"/>
          <w:b/>
          <w:i w:val="0"/>
          <w:caps w:val="0"/>
          <w:color w:val="535353"/>
          <w:spacing w:val="0"/>
          <w:sz w:val="32"/>
          <w:szCs w:val="32"/>
          <w:u w:val="none"/>
          <w:shd w:val="clear" w:fill="FFFFFF"/>
        </w:rPr>
        <w:t>　　（四）职责履行和履职效益方面 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640" w:right="0" w:firstLine="0"/>
        <w:jc w:val="left"/>
        <w:rPr>
          <w:rFonts w:hint="eastAsia" w:ascii="宋体" w:hAnsi="宋体" w:eastAsia="宋体" w:cs="宋体"/>
          <w:b/>
          <w:i w:val="0"/>
          <w:caps w:val="0"/>
          <w:color w:val="535353"/>
          <w:spacing w:val="0"/>
          <w:kern w:val="0"/>
          <w:sz w:val="32"/>
          <w:szCs w:val="32"/>
          <w:u w:val="none"/>
          <w:shd w:val="clear" w:fill="FFFFFF"/>
          <w:lang w:val="en-US" w:eastAsia="zh-CN" w:bidi="ar"/>
        </w:rPr>
      </w:pPr>
      <w:r>
        <w:rPr>
          <w:rFonts w:hint="eastAsia" w:ascii="宋体" w:hAnsi="宋体" w:eastAsia="宋体" w:cs="宋体"/>
          <w:b/>
          <w:i w:val="0"/>
          <w:caps w:val="0"/>
          <w:color w:val="535353"/>
          <w:spacing w:val="0"/>
          <w:kern w:val="0"/>
          <w:sz w:val="32"/>
          <w:szCs w:val="32"/>
          <w:u w:val="none"/>
          <w:shd w:val="clear" w:fill="FFFFFF"/>
          <w:lang w:val="en-US" w:eastAsia="zh-CN" w:bidi="ar"/>
        </w:rPr>
        <w:t>1、开展惠民演出送戏下乡及其他演出158场次，观众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left"/>
        <w:rPr>
          <w:rFonts w:hint="default" w:ascii="微软雅黑" w:hAnsi="微软雅黑" w:eastAsia="微软雅黑" w:cs="微软雅黑"/>
          <w:i w:val="0"/>
          <w:caps w:val="0"/>
          <w:color w:val="535353"/>
          <w:spacing w:val="0"/>
          <w:sz w:val="22"/>
          <w:szCs w:val="22"/>
          <w:u w:val="none"/>
          <w:lang w:val="en-US"/>
        </w:rPr>
      </w:pPr>
      <w:r>
        <w:rPr>
          <w:rFonts w:hint="eastAsia" w:ascii="宋体" w:hAnsi="宋体" w:eastAsia="宋体" w:cs="宋体"/>
          <w:b/>
          <w:i w:val="0"/>
          <w:caps w:val="0"/>
          <w:color w:val="535353"/>
          <w:spacing w:val="0"/>
          <w:kern w:val="0"/>
          <w:sz w:val="32"/>
          <w:szCs w:val="32"/>
          <w:u w:val="none"/>
          <w:shd w:val="clear" w:fill="FFFFFF"/>
          <w:lang w:val="en-US" w:eastAsia="zh-CN" w:bidi="ar"/>
        </w:rPr>
        <w:t>人数达九万余人次。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宋体" w:hAnsi="宋体" w:eastAsia="宋体" w:cs="宋体"/>
          <w:b/>
          <w:i w:val="0"/>
          <w:caps w:val="0"/>
          <w:color w:val="535353"/>
          <w:spacing w:val="0"/>
          <w:kern w:val="0"/>
          <w:sz w:val="32"/>
          <w:szCs w:val="32"/>
          <w:u w:val="none"/>
          <w:shd w:val="clear" w:fill="FFFFFF"/>
          <w:lang w:val="en-US" w:eastAsia="zh-CN" w:bidi="ar"/>
        </w:rPr>
      </w:pPr>
      <w:r>
        <w:rPr>
          <w:rFonts w:hint="eastAsia" w:ascii="宋体" w:hAnsi="宋体" w:eastAsia="宋体" w:cs="宋体"/>
          <w:b/>
          <w:i w:val="0"/>
          <w:caps w:val="0"/>
          <w:color w:val="535353"/>
          <w:spacing w:val="0"/>
          <w:kern w:val="0"/>
          <w:sz w:val="32"/>
          <w:szCs w:val="32"/>
          <w:u w:val="none"/>
          <w:shd w:val="clear" w:fill="FFFFFF"/>
          <w:lang w:val="en-US" w:eastAsia="zh-CN" w:bidi="ar"/>
        </w:rPr>
        <w:t>    2、生产文艺作品，复排大型传统花鼓戏1部，创作新乐曲2首。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3、非物质文化遗产保护工作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535353"/>
          <w:spacing w:val="0"/>
          <w:kern w:val="0"/>
          <w:sz w:val="32"/>
          <w:szCs w:val="32"/>
          <w:u w:val="none"/>
          <w:shd w:val="clear" w:fill="FFFFFF"/>
          <w:lang w:val="en-US" w:eastAsia="zh-CN" w:bidi="ar"/>
        </w:rPr>
      </w:pPr>
      <w:r>
        <w:rPr>
          <w:rFonts w:hint="eastAsia" w:ascii="宋体" w:hAnsi="宋体" w:eastAsia="宋体" w:cs="宋体"/>
          <w:i w:val="0"/>
          <w:caps w:val="0"/>
          <w:color w:val="535353"/>
          <w:spacing w:val="0"/>
          <w:kern w:val="0"/>
          <w:sz w:val="32"/>
          <w:szCs w:val="32"/>
          <w:u w:val="none"/>
          <w:shd w:val="clear" w:fill="FFFFFF"/>
          <w:lang w:val="en-US" w:eastAsia="zh-CN" w:bidi="ar"/>
        </w:rPr>
        <w:t>①整理大型优秀传统剧目3部。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535353"/>
          <w:spacing w:val="0"/>
          <w:kern w:val="0"/>
          <w:sz w:val="32"/>
          <w:szCs w:val="32"/>
          <w:u w:val="none"/>
          <w:shd w:val="clear" w:fill="FFFFFF"/>
          <w:lang w:val="en-US" w:eastAsia="zh-CN" w:bidi="ar"/>
        </w:rPr>
      </w:pPr>
      <w:r>
        <w:rPr>
          <w:rFonts w:hint="eastAsia" w:ascii="宋体" w:hAnsi="宋体" w:eastAsia="宋体" w:cs="宋体"/>
          <w:i w:val="0"/>
          <w:caps w:val="0"/>
          <w:color w:val="535353"/>
          <w:spacing w:val="0"/>
          <w:kern w:val="0"/>
          <w:sz w:val="32"/>
          <w:szCs w:val="32"/>
          <w:u w:val="none"/>
          <w:shd w:val="clear" w:fill="FFFFFF"/>
          <w:lang w:val="en-US" w:eastAsia="zh-CN" w:bidi="ar"/>
        </w:rPr>
        <w:t>②开展非遗进乡村展演1次。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宋体" w:hAnsi="宋体" w:eastAsia="宋体" w:cs="宋体"/>
          <w:i w:val="0"/>
          <w:caps w:val="0"/>
          <w:color w:val="535353"/>
          <w:spacing w:val="0"/>
          <w:kern w:val="0"/>
          <w:sz w:val="32"/>
          <w:szCs w:val="32"/>
          <w:u w:val="none"/>
          <w:shd w:val="clear" w:fill="FFFFFF"/>
          <w:lang w:val="en-US" w:eastAsia="zh-CN" w:bidi="ar"/>
        </w:rPr>
      </w:pPr>
      <w:r>
        <w:rPr>
          <w:rFonts w:hint="eastAsia" w:ascii="宋体" w:hAnsi="宋体" w:eastAsia="宋体" w:cs="宋体"/>
          <w:i w:val="0"/>
          <w:caps w:val="0"/>
          <w:color w:val="535353"/>
          <w:spacing w:val="0"/>
          <w:kern w:val="0"/>
          <w:sz w:val="32"/>
          <w:szCs w:val="32"/>
          <w:u w:val="none"/>
          <w:shd w:val="clear" w:fill="FFFFFF"/>
          <w:lang w:val="en-US" w:eastAsia="zh-CN" w:bidi="ar"/>
        </w:rPr>
        <w:t>③整理传统曲谱20首。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4、积极配合主管局开展精准扶贫、扫黑除恶、及各项政策宣传等中心工作。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kern w:val="0"/>
          <w:sz w:val="32"/>
          <w:szCs w:val="32"/>
          <w:u w:val="none"/>
          <w:shd w:val="clear" w:fill="FFFFFF"/>
          <w:lang w:val="en-US" w:eastAsia="zh-CN" w:bidi="ar"/>
        </w:rPr>
        <w:t>四、存在问题与建议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1、支付进度率有待加强。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2、相关管理制度还有待进一步完善。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535353"/>
          <w:spacing w:val="0"/>
          <w:kern w:val="0"/>
          <w:sz w:val="32"/>
          <w:szCs w:val="32"/>
          <w:u w:val="none"/>
          <w:shd w:val="clear" w:fill="FFFFFF"/>
          <w:lang w:val="en-US" w:eastAsia="zh-CN" w:bidi="ar"/>
        </w:rPr>
      </w:pPr>
      <w:r>
        <w:rPr>
          <w:rFonts w:hint="eastAsia" w:ascii="宋体" w:hAnsi="宋体" w:eastAsia="宋体" w:cs="宋体"/>
          <w:i w:val="0"/>
          <w:caps w:val="0"/>
          <w:color w:val="535353"/>
          <w:spacing w:val="0"/>
          <w:kern w:val="0"/>
          <w:sz w:val="32"/>
          <w:szCs w:val="32"/>
          <w:u w:val="none"/>
          <w:shd w:val="clear" w:fill="FFFFFF"/>
          <w:lang w:val="en-US" w:eastAsia="zh-CN" w:bidi="ar"/>
        </w:rPr>
        <w:t>3、进一步加强单位各类效益的提高。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宋体" w:hAnsi="宋体" w:eastAsia="宋体" w:cs="宋体"/>
          <w:i w:val="0"/>
          <w:caps w:val="0"/>
          <w:color w:val="535353"/>
          <w:spacing w:val="0"/>
          <w:kern w:val="0"/>
          <w:sz w:val="32"/>
          <w:szCs w:val="32"/>
          <w:u w:val="none"/>
          <w:shd w:val="clear" w:fill="FFFFFF"/>
          <w:lang w:val="en-US" w:eastAsia="zh-CN" w:bidi="ar"/>
        </w:rPr>
      </w:pPr>
      <w:r>
        <w:rPr>
          <w:rFonts w:hint="eastAsia" w:ascii="宋体" w:hAnsi="宋体" w:eastAsia="宋体" w:cs="宋体"/>
          <w:i w:val="0"/>
          <w:caps w:val="0"/>
          <w:color w:val="535353"/>
          <w:spacing w:val="0"/>
          <w:kern w:val="0"/>
          <w:sz w:val="32"/>
          <w:szCs w:val="32"/>
          <w:u w:val="none"/>
          <w:shd w:val="clear" w:fill="FFFFFF"/>
          <w:lang w:val="en-US" w:eastAsia="zh-CN" w:bidi="ar"/>
        </w:rPr>
        <w:t>4、增加创作经费，支持精品文艺创作。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黑体" w:hAnsi="宋体" w:eastAsia="黑体" w:cs="黑体"/>
          <w:i w:val="0"/>
          <w:caps w:val="0"/>
          <w:color w:val="535353"/>
          <w:spacing w:val="0"/>
          <w:kern w:val="0"/>
          <w:sz w:val="32"/>
          <w:szCs w:val="32"/>
          <w:u w:val="none"/>
          <w:shd w:val="clear" w:fill="FFFFFF"/>
          <w:lang w:val="en-US" w:eastAsia="zh-CN" w:bidi="ar"/>
        </w:rPr>
        <w:t>五、改进措施和相关建议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建议加强队伍建设，抓好绩效评价管理部门的队伍建设和业务指导，培养部门的绩效管理队伍，建立绩效评价的长期机制。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640" w:firstLine="640"/>
        <w:jc w:val="righ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邵东市花鼓戏保护传承中心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 xml:space="preserve">              2020年</w:t>
      </w:r>
      <w:r>
        <w:rPr>
          <w:rFonts w:hint="eastAsia" w:ascii="Arial" w:hAnsi="Arial" w:eastAsia="宋体" w:cs="Arial"/>
          <w:i w:val="0"/>
          <w:caps w:val="0"/>
          <w:color w:val="535353"/>
          <w:spacing w:val="0"/>
          <w:kern w:val="0"/>
          <w:sz w:val="32"/>
          <w:szCs w:val="32"/>
          <w:u w:val="none"/>
          <w:shd w:val="clear" w:fill="FFFFFF"/>
          <w:lang w:val="en-US" w:eastAsia="zh-CN" w:bidi="ar"/>
        </w:rPr>
        <w:t>9</w:t>
      </w:r>
      <w:r>
        <w:rPr>
          <w:rFonts w:hint="eastAsia" w:ascii="宋体" w:hAnsi="宋体" w:eastAsia="宋体" w:cs="宋体"/>
          <w:i w:val="0"/>
          <w:caps w:val="0"/>
          <w:color w:val="535353"/>
          <w:spacing w:val="0"/>
          <w:kern w:val="0"/>
          <w:sz w:val="32"/>
          <w:szCs w:val="32"/>
          <w:u w:val="none"/>
          <w:shd w:val="clear" w:fill="FFFFFF"/>
          <w:lang w:val="en-US" w:eastAsia="zh-CN" w:bidi="ar"/>
        </w:rPr>
        <w:t>月20日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center"/>
        <w:rPr>
          <w:rFonts w:hint="eastAsia" w:ascii="宋体" w:hAnsi="宋体" w:eastAsia="宋体" w:cs="宋体"/>
          <w:b/>
          <w:i w:val="0"/>
          <w:caps w:val="0"/>
          <w:color w:val="535353"/>
          <w:spacing w:val="0"/>
          <w:kern w:val="0"/>
          <w:sz w:val="32"/>
          <w:szCs w:val="32"/>
          <w:u w:val="none"/>
          <w:shd w:val="clear" w:fill="FFFFFF"/>
          <w:lang w:val="en-US" w:eastAsia="zh-CN" w:bidi="ar"/>
        </w:rPr>
      </w:pPr>
      <w:r>
        <w:rPr>
          <w:rFonts w:hint="eastAsia" w:ascii="宋体" w:hAnsi="宋体" w:eastAsia="宋体" w:cs="宋体"/>
          <w:i w:val="0"/>
          <w:caps w:val="0"/>
          <w:color w:val="535353"/>
          <w:spacing w:val="0"/>
          <w:kern w:val="0"/>
          <w:sz w:val="32"/>
          <w:szCs w:val="32"/>
          <w:u w:val="none"/>
          <w:shd w:val="clear" w:fill="FFFFFF"/>
          <w:lang w:val="en-US" w:eastAsia="zh-CN" w:bidi="ar"/>
        </w:rPr>
        <w:t> </w:t>
      </w:r>
      <w:r>
        <w:rPr>
          <w:rFonts w:hint="eastAsia" w:ascii="宋体" w:hAnsi="宋体" w:eastAsia="宋体" w:cs="宋体"/>
          <w:b/>
          <w:i w:val="0"/>
          <w:caps w:val="0"/>
          <w:color w:val="535353"/>
          <w:spacing w:val="0"/>
          <w:kern w:val="0"/>
          <w:sz w:val="32"/>
          <w:szCs w:val="32"/>
          <w:u w:val="none"/>
          <w:shd w:val="clear" w:fill="FFFFFF"/>
          <w:lang w:val="en-US" w:eastAsia="zh-CN" w:bidi="ar"/>
        </w:rPr>
        <w:t>2019年邵东市花鼓戏保护传承中心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center"/>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b/>
          <w:i w:val="0"/>
          <w:caps w:val="0"/>
          <w:color w:val="535353"/>
          <w:spacing w:val="0"/>
          <w:kern w:val="0"/>
          <w:sz w:val="32"/>
          <w:szCs w:val="32"/>
          <w:u w:val="none"/>
          <w:shd w:val="clear" w:fill="FFFFFF"/>
          <w:lang w:val="en-US" w:eastAsia="zh-CN" w:bidi="ar"/>
        </w:rPr>
        <w:t>整体支出绩效评价指标表</w:t>
      </w:r>
    </w:p>
    <w:tbl>
      <w:tblPr>
        <w:tblStyle w:val="3"/>
        <w:tblpPr w:leftFromText="180" w:rightFromText="180" w:vertAnchor="text" w:horzAnchor="page" w:tblpX="575" w:tblpY="288"/>
        <w:tblOverlap w:val="never"/>
        <w:tblW w:w="11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1"/>
        <w:gridCol w:w="636"/>
        <w:gridCol w:w="636"/>
        <w:gridCol w:w="4626"/>
        <w:gridCol w:w="315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 w:hRule="atLeast"/>
        </w:trPr>
        <w:tc>
          <w:tcPr>
            <w:tcW w:w="74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一级指标</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二级指标</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三级指标</w:t>
            </w:r>
          </w:p>
        </w:tc>
        <w:tc>
          <w:tcPr>
            <w:tcW w:w="462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评价标准</w:t>
            </w:r>
          </w:p>
        </w:tc>
        <w:tc>
          <w:tcPr>
            <w:tcW w:w="315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备注</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得分</w:t>
            </w:r>
          </w:p>
        </w:tc>
        <w:tc>
          <w:tcPr>
            <w:tcW w:w="6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trPr>
        <w:tc>
          <w:tcPr>
            <w:tcW w:w="741"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投    入</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目标设定（8分）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绩效目标设定（8分）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31" w:right="0" w:firstLine="558"/>
              <w:jc w:val="center"/>
              <w:rPr>
                <w:u w:val="none"/>
              </w:rPr>
            </w:pPr>
            <w:r>
              <w:rPr>
                <w:rFonts w:hint="eastAsia" w:ascii="宋体" w:hAnsi="宋体" w:eastAsia="宋体" w:cs="宋体"/>
                <w:i w:val="0"/>
                <w:caps w:val="0"/>
                <w:color w:val="535353"/>
                <w:spacing w:val="0"/>
                <w:kern w:val="0"/>
                <w:sz w:val="21"/>
                <w:szCs w:val="21"/>
                <w:u w:val="none"/>
                <w:lang w:val="en-US" w:eastAsia="zh-CN" w:bidi="ar"/>
              </w:rPr>
              <w:t>整体支出绩效目标设立是否符合国家法律法规和社会发展总的规划计4分；与部门“三定方案”和中远期发展相符计4分。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107" w:hanging="360"/>
              <w:jc w:val="left"/>
              <w:rPr>
                <w:u w:val="none"/>
              </w:rPr>
            </w:pPr>
            <w:r>
              <w:rPr>
                <w:rFonts w:hint="eastAsia" w:ascii="微软雅黑" w:hAnsi="微软雅黑" w:eastAsia="微软雅黑" w:cs="微软雅黑"/>
                <w:i w:val="0"/>
                <w:caps w:val="0"/>
                <w:color w:val="535353"/>
                <w:spacing w:val="0"/>
                <w:kern w:val="0"/>
                <w:sz w:val="21"/>
                <w:szCs w:val="21"/>
                <w:u w:val="none"/>
                <w:lang w:val="en-US" w:eastAsia="zh-CN" w:bidi="ar"/>
              </w:rPr>
              <w:t>1. </w:t>
            </w:r>
            <w:r>
              <w:rPr>
                <w:rFonts w:hint="eastAsia" w:ascii="宋体" w:hAnsi="宋体" w:eastAsia="宋体" w:cs="宋体"/>
                <w:i w:val="0"/>
                <w:caps w:val="0"/>
                <w:color w:val="535353"/>
                <w:spacing w:val="0"/>
                <w:kern w:val="0"/>
                <w:sz w:val="21"/>
                <w:szCs w:val="21"/>
                <w:u w:val="none"/>
                <w:lang w:val="en-US" w:eastAsia="zh-CN" w:bidi="ar"/>
              </w:rPr>
              <w:t>按要求进行了绩效目标编制；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107" w:hanging="360"/>
              <w:jc w:val="left"/>
              <w:rPr>
                <w:u w:val="none"/>
              </w:rPr>
            </w:pPr>
            <w:r>
              <w:rPr>
                <w:rFonts w:hint="eastAsia" w:ascii="微软雅黑" w:hAnsi="微软雅黑" w:eastAsia="微软雅黑" w:cs="微软雅黑"/>
                <w:i w:val="0"/>
                <w:caps w:val="0"/>
                <w:color w:val="535353"/>
                <w:spacing w:val="0"/>
                <w:kern w:val="0"/>
                <w:sz w:val="21"/>
                <w:szCs w:val="21"/>
                <w:u w:val="none"/>
                <w:lang w:val="en-US" w:eastAsia="zh-CN" w:bidi="ar"/>
              </w:rPr>
              <w:t>2. </w:t>
            </w:r>
            <w:r>
              <w:rPr>
                <w:rFonts w:hint="eastAsia" w:ascii="宋体" w:hAnsi="宋体" w:eastAsia="宋体" w:cs="宋体"/>
                <w:i w:val="0"/>
                <w:caps w:val="0"/>
                <w:color w:val="535353"/>
                <w:spacing w:val="0"/>
                <w:kern w:val="0"/>
                <w:sz w:val="21"/>
                <w:szCs w:val="21"/>
                <w:u w:val="none"/>
                <w:lang w:val="en-US" w:eastAsia="zh-CN" w:bidi="ar"/>
              </w:rPr>
              <w:t>按“三定”方案确定职责；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107" w:hanging="360"/>
              <w:jc w:val="left"/>
              <w:rPr>
                <w:u w:val="none"/>
              </w:rPr>
            </w:pPr>
            <w:r>
              <w:rPr>
                <w:rFonts w:hint="eastAsia" w:ascii="微软雅黑" w:hAnsi="微软雅黑" w:eastAsia="微软雅黑" w:cs="微软雅黑"/>
                <w:i w:val="0"/>
                <w:caps w:val="0"/>
                <w:color w:val="535353"/>
                <w:spacing w:val="0"/>
                <w:kern w:val="0"/>
                <w:sz w:val="21"/>
                <w:szCs w:val="21"/>
                <w:u w:val="none"/>
                <w:lang w:val="en-US" w:eastAsia="zh-CN" w:bidi="ar"/>
              </w:rPr>
              <w:t>3. </w:t>
            </w:r>
            <w:r>
              <w:rPr>
                <w:rFonts w:hint="eastAsia" w:ascii="宋体" w:hAnsi="宋体" w:eastAsia="宋体" w:cs="宋体"/>
                <w:i w:val="0"/>
                <w:caps w:val="0"/>
                <w:color w:val="535353"/>
                <w:spacing w:val="0"/>
                <w:kern w:val="0"/>
                <w:sz w:val="21"/>
                <w:szCs w:val="21"/>
                <w:u w:val="none"/>
                <w:lang w:val="en-US" w:eastAsia="zh-CN" w:bidi="ar"/>
              </w:rPr>
              <w:t>制定了部门中远期发展规划。</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8</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trPr>
        <w:tc>
          <w:tcPr>
            <w:tcW w:w="741" w:type="dxa"/>
            <w:vMerge w:val="continue"/>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预算配置(12分)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财政供养人员控制率（3分）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31" w:right="0" w:firstLine="558"/>
              <w:jc w:val="left"/>
              <w:rPr>
                <w:u w:val="none"/>
              </w:rPr>
            </w:pPr>
            <w:r>
              <w:rPr>
                <w:rFonts w:hint="eastAsia" w:ascii="宋体" w:hAnsi="宋体" w:eastAsia="宋体" w:cs="宋体"/>
                <w:i w:val="0"/>
                <w:caps w:val="0"/>
                <w:color w:val="535353"/>
                <w:spacing w:val="0"/>
                <w:kern w:val="0"/>
                <w:sz w:val="21"/>
                <w:szCs w:val="21"/>
                <w:u w:val="none"/>
                <w:lang w:val="en-US" w:eastAsia="zh-CN" w:bidi="ar"/>
              </w:rPr>
              <w:t>以100%为标准。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31" w:right="0" w:firstLine="558"/>
              <w:jc w:val="left"/>
              <w:rPr>
                <w:u w:val="none"/>
              </w:rPr>
            </w:pPr>
            <w:r>
              <w:rPr>
                <w:rFonts w:hint="eastAsia" w:ascii="宋体" w:hAnsi="宋体" w:eastAsia="宋体" w:cs="宋体"/>
                <w:i w:val="0"/>
                <w:caps w:val="0"/>
                <w:color w:val="535353"/>
                <w:spacing w:val="0"/>
                <w:kern w:val="0"/>
                <w:sz w:val="21"/>
                <w:szCs w:val="21"/>
                <w:u w:val="none"/>
                <w:lang w:val="en-US" w:eastAsia="zh-CN" w:bidi="ar"/>
              </w:rPr>
              <w:t>在职人员控制率≦  100%，计3分；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531" w:right="0" w:firstLine="558"/>
              <w:jc w:val="center"/>
              <w:rPr>
                <w:u w:val="none"/>
              </w:rPr>
            </w:pPr>
            <w:r>
              <w:rPr>
                <w:rFonts w:hint="eastAsia" w:ascii="宋体" w:hAnsi="宋体" w:eastAsia="宋体" w:cs="宋体"/>
                <w:i w:val="0"/>
                <w:caps w:val="0"/>
                <w:color w:val="535353"/>
                <w:spacing w:val="0"/>
                <w:kern w:val="0"/>
                <w:sz w:val="21"/>
                <w:szCs w:val="21"/>
                <w:u w:val="none"/>
                <w:lang w:val="en-US" w:eastAsia="zh-CN" w:bidi="ar"/>
              </w:rPr>
              <w:t>每超过一个百分点扣0.5分，扣完为止。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210" w:right="-107" w:hanging="210"/>
              <w:jc w:val="left"/>
              <w:rPr>
                <w:u w:val="none"/>
              </w:rPr>
            </w:pPr>
            <w:r>
              <w:rPr>
                <w:rFonts w:hint="eastAsia" w:ascii="宋体" w:hAnsi="宋体" w:eastAsia="宋体" w:cs="宋体"/>
                <w:i w:val="0"/>
                <w:caps w:val="0"/>
                <w:color w:val="535353"/>
                <w:spacing w:val="0"/>
                <w:kern w:val="0"/>
                <w:sz w:val="21"/>
                <w:szCs w:val="21"/>
                <w:u w:val="none"/>
                <w:lang w:val="en-US" w:eastAsia="zh-CN" w:bidi="ar"/>
              </w:rPr>
              <w:t>财政预算 25人，实际在职25 人，在职控制率= 25 / 25  *100%= 100 %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3</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41" w:type="dxa"/>
            <w:vMerge w:val="continue"/>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“三公经费”变动率（4分）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“三公经费”变动率≦0 ，计4分；“三公经费”＞0，每超过一个百分点扣0.6分，扣完为止。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上年度三公经费支出公务用车运行维护费7.33万元，接待费0.05万元，出国出境费 0 万元，共计7.38 万元。本年公车运行维护费5.32万元，招待费 0.34万元，共计5.66万元。三公经费变动率=（本年-上年度）/上年度=-23%</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741" w:type="dxa"/>
            <w:vMerge w:val="continue"/>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重点支出安排率（5分）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重点支出安排率≥90%，计5分；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80%（含）-90%，计4分；                           70%（含）-80%，计3分；                           60%（含）-70%，计2分；                            低于60%不得分。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1"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过    程</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预算执行（20分）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预算调整率（5分）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预算调整率=0，计5分；                       0-10%（含），计4分；                          10-20%（含），计3分；                                     20-30%（含），计2分；                             大于30%不得分。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预算调整率为=调整数/2019年预算执行数*100%=0%</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支出进度（4分）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每年春节前下达全部专项资金的50%；9月底前所有专项资金指标全部下达完。 每出现一个专项未按进度完成资金下达扣0.5分，扣完为止。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资金结余（5分）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无结余，5分；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有结余，但不超过上年结转，4分；                       结余超过上年结转，不得分。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“三公经费”控制率（6分）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以100%为标准。三公经费控制率≦100%，计6分；每超过一个百分点扣1分，扣完为止。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过      程</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预算管理（21分）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管理制度健全性（6分）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1、制定或具有预算资金管理办法，内部财务管理制度、会计核算制度等管理制度，2分； 2、相关管理制度合法、合规、完整，2分； 3、相关管理制度得到有效执行，2分。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资金使用合规性（10分）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1、支出符合国家财经法规和财务管理制度规定以及有关专项资金管理办法的规定；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2、资金拨付有完整的审批程序和手续；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3、项目支出按规定经过评估论证；                      4、支出按照部门预算批复的用途使用；                      5、资金使用无截留、挤占、挪用、虚列支出等情况。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6、按《采购法》实行政府采购；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7、按照《湖南省非税收入管理条例》规范收费的。 以上情况每出现一例不符合要求的扣1分，扣完为止。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10</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预决算信息公开性和完善性（5分）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1、按规定内容公开预决算信息，1分； 2、按规定时限公开预决算信息，1分；3、基础数据信息和会计信息资料真实，1分；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4、基础数据信息和会计信息资料完整，1分；                            5、基础数据信息和汇集信息资料准确，1分。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5"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资产管理（10分）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管理制度健全性（3分）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1、已制定资产管理制度1分；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 2、相关资产管理制度合法、合规、完整，2分；                        3、相关资产管理制度得到有效执行，1分。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3</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3"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资产管理安全性（5分）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1、资产保存完整和资产信息系统建立、运用；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2、资产配置合理；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3、资产处置规范；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4、资产账务管理合规，帐实相符；                      5、国有资产有偿使用收入和处置收入及时足额上缴；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以上情况每出现一例不符合有关要求的扣1分，扣完为止。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固定资产利用率（2分）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每低于100%一个百分点扣0.2分，扣完为止。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0.8</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产   出</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职责履行（12分）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工作实际完成率（6分）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根据评价部门制定的计划工作任务及内容考核实际完成情况及质量。该项得分=（实际完成情况/计划工作内容）*6</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重点工作质量达标率（6分）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质量达标率达到100%，计6分；每低于100%一个百分点扣0.5分，扣完为止。</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6</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trPr>
        <w:tc>
          <w:tcPr>
            <w:tcW w:w="74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效  果</w:t>
            </w:r>
          </w:p>
        </w:tc>
        <w:tc>
          <w:tcPr>
            <w:tcW w:w="63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履职效益（17分）</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经济效益（4分）</w:t>
            </w:r>
          </w:p>
        </w:tc>
        <w:tc>
          <w:tcPr>
            <w:tcW w:w="462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60" w:right="0"/>
              <w:jc w:val="left"/>
              <w:rPr>
                <w:u w:val="none"/>
              </w:rPr>
            </w:pPr>
            <w:r>
              <w:rPr>
                <w:rFonts w:hint="eastAsia" w:ascii="宋体" w:hAnsi="宋体" w:eastAsia="宋体" w:cs="宋体"/>
                <w:i w:val="0"/>
                <w:caps w:val="0"/>
                <w:color w:val="535353"/>
                <w:spacing w:val="0"/>
                <w:kern w:val="0"/>
                <w:sz w:val="21"/>
                <w:szCs w:val="21"/>
                <w:u w:val="none"/>
                <w:lang w:val="en-US" w:eastAsia="zh-CN" w:bidi="ar"/>
              </w:rPr>
              <w:t>此条单位若没产生“经济效益”和“生态效益” ,社会效益从以下5个方面评价:1.在中央、省、政府考核中评为良以上；2.在部门考核中被评良以上；3.在市政府绩效评估中考核为优秀的；4.全年无违反党的“八项规定”的；5.无违反财政法规等行为的；</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7"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社会效益（4分)</w:t>
            </w:r>
          </w:p>
        </w:tc>
        <w:tc>
          <w:tcPr>
            <w:tcW w:w="46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生态效益(4分)</w:t>
            </w:r>
          </w:p>
        </w:tc>
        <w:tc>
          <w:tcPr>
            <w:tcW w:w="46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4</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74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535353"/>
                <w:spacing w:val="0"/>
                <w:sz w:val="22"/>
                <w:szCs w:val="22"/>
                <w:u w:val="none"/>
              </w:rPr>
            </w:pP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社会公众或服务对象满意度（5分）</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90%（含）以上计5分；80%（含）-90%，计3分；70%（含）-80%，计1分；低于70%计0分。</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5</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4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合计</w:t>
            </w:r>
          </w:p>
        </w:tc>
        <w:tc>
          <w:tcPr>
            <w:tcW w:w="127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u w:val="none"/>
              </w:rPr>
            </w:pPr>
            <w:r>
              <w:rPr>
                <w:rFonts w:hint="eastAsia" w:ascii="宋体" w:hAnsi="宋体" w:eastAsia="宋体" w:cs="宋体"/>
                <w:i w:val="0"/>
                <w:caps w:val="0"/>
                <w:color w:val="535353"/>
                <w:spacing w:val="0"/>
                <w:kern w:val="0"/>
                <w:sz w:val="21"/>
                <w:szCs w:val="21"/>
                <w:u w:val="none"/>
                <w:lang w:val="en-US" w:eastAsia="zh-CN" w:bidi="ar"/>
              </w:rPr>
              <w:t>100</w:t>
            </w:r>
          </w:p>
        </w:tc>
        <w:tc>
          <w:tcPr>
            <w:tcW w:w="46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31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u w:val="none"/>
              </w:rPr>
            </w:pPr>
            <w:r>
              <w:rPr>
                <w:rFonts w:hint="eastAsia" w:ascii="宋体" w:hAnsi="宋体" w:eastAsia="宋体" w:cs="宋体"/>
                <w:i w:val="0"/>
                <w:caps w:val="0"/>
                <w:color w:val="535353"/>
                <w:spacing w:val="0"/>
                <w:kern w:val="0"/>
                <w:sz w:val="21"/>
                <w:szCs w:val="21"/>
                <w:u w:val="none"/>
                <w:lang w:val="en-US" w:eastAsia="zh-CN" w:bidi="ar"/>
              </w:rPr>
              <w:t> </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u w:val="none"/>
                <w:lang w:val="en-US"/>
              </w:rPr>
            </w:pPr>
            <w:r>
              <w:rPr>
                <w:rFonts w:hint="eastAsia" w:ascii="宋体" w:hAnsi="宋体" w:eastAsia="宋体" w:cs="宋体"/>
                <w:i w:val="0"/>
                <w:caps w:val="0"/>
                <w:color w:val="535353"/>
                <w:spacing w:val="0"/>
                <w:kern w:val="0"/>
                <w:sz w:val="21"/>
                <w:szCs w:val="21"/>
                <w:u w:val="none"/>
                <w:lang w:val="en-US" w:eastAsia="zh-CN" w:bidi="ar"/>
              </w:rPr>
              <w:t>94.8</w:t>
            </w:r>
          </w:p>
        </w:tc>
        <w:tc>
          <w:tcPr>
            <w:tcW w:w="6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i w:val="0"/>
                <w:caps w:val="0"/>
                <w:color w:val="535353"/>
                <w:spacing w:val="0"/>
                <w:kern w:val="0"/>
                <w:sz w:val="21"/>
                <w:szCs w:val="21"/>
                <w:u w:val="none"/>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480" w:firstLine="480"/>
        <w:jc w:val="center"/>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24"/>
          <w:szCs w:val="2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535353"/>
          <w:spacing w:val="0"/>
          <w:sz w:val="22"/>
          <w:szCs w:val="22"/>
          <w:u w:val="none"/>
        </w:rPr>
      </w:pPr>
      <w:r>
        <w:rPr>
          <w:rFonts w:hint="default" w:ascii="Times New Roman" w:hAnsi="Times New Roman" w:eastAsia="微软雅黑" w:cs="Times New Roman"/>
          <w:i w:val="0"/>
          <w:caps w:val="0"/>
          <w:color w:val="535353"/>
          <w:spacing w:val="0"/>
          <w:kern w:val="0"/>
          <w:sz w:val="21"/>
          <w:szCs w:val="21"/>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535353"/>
          <w:spacing w:val="0"/>
          <w:sz w:val="22"/>
          <w:szCs w:val="22"/>
          <w:u w:val="none"/>
        </w:rPr>
      </w:pPr>
      <w:r>
        <w:rPr>
          <w:rFonts w:hint="default" w:ascii="Times New Roman" w:hAnsi="Times New Roman" w:eastAsia="微软雅黑" w:cs="Times New Roman"/>
          <w:i w:val="0"/>
          <w:caps w:val="0"/>
          <w:color w:val="535353"/>
          <w:spacing w:val="0"/>
          <w:kern w:val="0"/>
          <w:sz w:val="21"/>
          <w:szCs w:val="21"/>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right"/>
        <w:rPr>
          <w:rFonts w:hint="eastAsia" w:ascii="微软雅黑" w:hAnsi="微软雅黑" w:eastAsia="微软雅黑" w:cs="微软雅黑"/>
          <w:i w:val="0"/>
          <w:caps w:val="0"/>
          <w:color w:val="535353"/>
          <w:spacing w:val="0"/>
          <w:sz w:val="22"/>
          <w:szCs w:val="22"/>
          <w:u w:val="none"/>
        </w:rPr>
      </w:pPr>
      <w:r>
        <w:rPr>
          <w:rFonts w:hint="eastAsia" w:ascii="宋体" w:hAnsi="宋体" w:eastAsia="宋体" w:cs="宋体"/>
          <w:i w:val="0"/>
          <w:caps w:val="0"/>
          <w:color w:val="535353"/>
          <w:spacing w:val="0"/>
          <w:kern w:val="0"/>
          <w:sz w:val="32"/>
          <w:szCs w:val="32"/>
          <w:u w:val="none"/>
          <w:shd w:val="clear" w:fill="FFFFFF"/>
          <w:lang w:val="en-US" w:eastAsia="zh-CN" w:bidi="ar"/>
        </w:rPr>
        <w:t> </w:t>
      </w:r>
    </w:p>
    <w:p>
      <w:pPr>
        <w:jc w:val="center"/>
        <w:rPr>
          <w:rFonts w:hint="eastAsia" w:ascii="宋体" w:hAnsi="宋体" w:cs="黑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F423E"/>
    <w:rsid w:val="1FBF423E"/>
    <w:rsid w:val="356A1E4A"/>
    <w:rsid w:val="460A2576"/>
    <w:rsid w:val="4A106AA2"/>
    <w:rsid w:val="5C826E45"/>
    <w:rsid w:val="624D2AD5"/>
    <w:rsid w:val="67315096"/>
    <w:rsid w:val="75EA0054"/>
    <w:rsid w:val="79E53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2020-09-10T02:47:00Z</dcterms:created>
  <dc:creator>文化馆李老师18274410957</dc:creator>
  <cp:lastModifiedBy>市花（办公室）</cp:lastModifiedBy>
  <cp:lastPrinted>2020-09-10T03:21:00Z</cp:lastPrinted>
  <dcterms:modified xsi:type="dcterms:W3CDTF">2020-09-30T07:53:24Z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