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58" w:rsidRDefault="00600158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DF23D0">
      <w:pPr>
        <w:spacing w:line="276" w:lineRule="auto"/>
        <w:jc w:val="center"/>
        <w:rPr>
          <w:rFonts w:ascii="黑体" w:eastAsia="黑体" w:hAnsi="黑体" w:hint="eastAsia"/>
          <w:sz w:val="84"/>
          <w:szCs w:val="84"/>
        </w:rPr>
      </w:pPr>
      <w:r w:rsidRPr="00DF23D0">
        <w:rPr>
          <w:rFonts w:ascii="黑体" w:eastAsia="黑体" w:hAnsi="黑体" w:hint="eastAsia"/>
          <w:sz w:val="84"/>
          <w:szCs w:val="84"/>
        </w:rPr>
        <w:t>邵东市魏家桥镇</w:t>
      </w:r>
    </w:p>
    <w:p w:rsidR="00DF23D0" w:rsidRPr="00DF23D0" w:rsidRDefault="00DF23D0" w:rsidP="00DF23D0">
      <w:pPr>
        <w:spacing w:line="276" w:lineRule="auto"/>
        <w:jc w:val="center"/>
        <w:rPr>
          <w:rFonts w:ascii="黑体" w:eastAsia="黑体" w:hAnsi="黑体" w:hint="eastAsia"/>
          <w:sz w:val="84"/>
          <w:szCs w:val="84"/>
        </w:rPr>
      </w:pPr>
      <w:r w:rsidRPr="00DF23D0">
        <w:rPr>
          <w:rFonts w:ascii="黑体" w:eastAsia="黑体" w:hAnsi="黑体" w:hint="eastAsia"/>
          <w:sz w:val="84"/>
          <w:szCs w:val="84"/>
        </w:rPr>
        <w:t>2020年度整体支出绩效自评报告</w:t>
      </w: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DF23D0" w:rsidRDefault="00DF23D0" w:rsidP="00600158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600158" w:rsidRPr="00600158" w:rsidRDefault="00600158" w:rsidP="00DF23D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黑体" w:eastAsia="黑体" w:hAnsi="黑体"/>
          <w:sz w:val="32"/>
          <w:szCs w:val="32"/>
        </w:rPr>
      </w:pPr>
      <w:r w:rsidRPr="00600158">
        <w:rPr>
          <w:rFonts w:ascii="黑体" w:eastAsia="黑体" w:hAnsi="黑体" w:hint="eastAsia"/>
          <w:sz w:val="32"/>
          <w:szCs w:val="32"/>
        </w:rPr>
        <w:lastRenderedPageBreak/>
        <w:t>部门（单位）基本概况</w:t>
      </w:r>
    </w:p>
    <w:p w:rsidR="00600158" w:rsidRPr="000F123A" w:rsidRDefault="00600158" w:rsidP="00DF23D0">
      <w:pPr>
        <w:spacing w:line="276" w:lineRule="auto"/>
        <w:ind w:firstLineChars="192" w:firstLine="614"/>
        <w:rPr>
          <w:rFonts w:ascii="仿宋" w:eastAsia="仿宋" w:hAnsi="仿宋" w:cs="宋体"/>
          <w:bCs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（一）、主要职能</w:t>
      </w:r>
    </w:p>
    <w:p w:rsidR="00600158" w:rsidRPr="000F123A" w:rsidRDefault="00600158" w:rsidP="00DF23D0">
      <w:pPr>
        <w:spacing w:line="276" w:lineRule="auto"/>
        <w:ind w:firstLineChars="192" w:firstLine="614"/>
        <w:rPr>
          <w:rFonts w:ascii="仿宋" w:eastAsia="仿宋" w:hAnsi="仿宋"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乡</w:t>
      </w:r>
      <w:r w:rsidRPr="000F123A">
        <w:rPr>
          <w:rFonts w:ascii="仿宋" w:eastAsia="仿宋" w:hAnsi="仿宋" w:hint="eastAsia"/>
          <w:sz w:val="32"/>
          <w:szCs w:val="32"/>
        </w:rPr>
        <w:t>镇财政机构具体负责预算编制管理、乡镇居民补贴资金发放、财政性资金监督管理、国有资产和乡镇债权债务管理、组织协调收入征收以及乡镇单位财务管理等工作。</w:t>
      </w:r>
    </w:p>
    <w:p w:rsidR="00600158" w:rsidRPr="000F123A" w:rsidRDefault="00600158" w:rsidP="00DF23D0">
      <w:pPr>
        <w:spacing w:line="276" w:lineRule="auto"/>
        <w:ind w:firstLineChars="192" w:firstLine="614"/>
        <w:rPr>
          <w:rFonts w:ascii="仿宋" w:eastAsia="仿宋" w:hAnsi="仿宋" w:cs="宋体"/>
          <w:bCs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（二）、机构情况</w:t>
      </w:r>
    </w:p>
    <w:p w:rsidR="00600158" w:rsidRPr="000F123A" w:rsidRDefault="00600158" w:rsidP="00DF23D0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F123A">
        <w:rPr>
          <w:rFonts w:ascii="仿宋" w:eastAsia="仿宋" w:hAnsi="仿宋" w:hint="eastAsia"/>
          <w:sz w:val="32"/>
          <w:szCs w:val="32"/>
        </w:rPr>
        <w:t>本单位内设机构包括：魏家桥镇政府、魏家桥镇财政所、魏家桥镇退役军人服务站、魏家桥镇社会事务综合服务中心、魏家桥镇政务（便民）服务中心、魏家桥镇农业综合服务中心、魏家桥镇综合行政执法大队。</w:t>
      </w:r>
    </w:p>
    <w:p w:rsidR="00600158" w:rsidRPr="000F123A" w:rsidRDefault="00600158" w:rsidP="00DF23D0">
      <w:pPr>
        <w:spacing w:line="276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（</w:t>
      </w:r>
      <w:r w:rsidRPr="000F123A">
        <w:rPr>
          <w:rFonts w:ascii="仿宋" w:eastAsia="仿宋" w:hAnsi="仿宋" w:hint="eastAsia"/>
          <w:sz w:val="32"/>
          <w:szCs w:val="32"/>
        </w:rPr>
        <w:t>三</w:t>
      </w:r>
      <w:r w:rsidRPr="000F123A">
        <w:rPr>
          <w:rFonts w:ascii="仿宋" w:eastAsia="仿宋" w:hAnsi="仿宋" w:cs="宋体" w:hint="eastAsia"/>
          <w:bCs/>
          <w:sz w:val="32"/>
          <w:szCs w:val="32"/>
        </w:rPr>
        <w:t>）、人员情况</w:t>
      </w:r>
    </w:p>
    <w:p w:rsidR="00600158" w:rsidRPr="000F123A" w:rsidRDefault="00600158" w:rsidP="00DF23D0">
      <w:pPr>
        <w:spacing w:line="276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本单位年末实有总人数</w:t>
      </w:r>
      <w:r w:rsidR="0005317B" w:rsidRPr="000F123A">
        <w:rPr>
          <w:rFonts w:ascii="仿宋" w:eastAsia="仿宋" w:hAnsi="仿宋" w:cs="宋体" w:hint="eastAsia"/>
          <w:bCs/>
          <w:sz w:val="32"/>
          <w:szCs w:val="32"/>
        </w:rPr>
        <w:t>78</w:t>
      </w:r>
      <w:r w:rsidRPr="000F123A">
        <w:rPr>
          <w:rFonts w:ascii="仿宋" w:eastAsia="仿宋" w:hAnsi="仿宋" w:cs="宋体" w:hint="eastAsia"/>
          <w:bCs/>
          <w:sz w:val="32"/>
          <w:szCs w:val="32"/>
        </w:rPr>
        <w:t>人，其中行政编制3</w:t>
      </w:r>
      <w:r w:rsidR="0005317B" w:rsidRPr="000F123A">
        <w:rPr>
          <w:rFonts w:ascii="仿宋" w:eastAsia="仿宋" w:hAnsi="仿宋" w:cs="宋体" w:hint="eastAsia"/>
          <w:bCs/>
          <w:sz w:val="32"/>
          <w:szCs w:val="32"/>
        </w:rPr>
        <w:t>2</w:t>
      </w:r>
      <w:r w:rsidRPr="000F123A">
        <w:rPr>
          <w:rFonts w:ascii="仿宋" w:eastAsia="仿宋" w:hAnsi="仿宋" w:cs="宋体" w:hint="eastAsia"/>
          <w:bCs/>
          <w:sz w:val="32"/>
          <w:szCs w:val="32"/>
        </w:rPr>
        <w:t>人，事业编制46人。</w:t>
      </w:r>
    </w:p>
    <w:p w:rsidR="0005317B" w:rsidRPr="000F123A" w:rsidRDefault="0005317B" w:rsidP="00DF23D0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（</w:t>
      </w:r>
      <w:r w:rsidRPr="000F123A">
        <w:rPr>
          <w:rFonts w:ascii="仿宋" w:eastAsia="仿宋" w:hAnsi="仿宋" w:hint="eastAsia"/>
          <w:sz w:val="32"/>
          <w:szCs w:val="32"/>
        </w:rPr>
        <w:t>四</w:t>
      </w:r>
      <w:r w:rsidRPr="000F123A">
        <w:rPr>
          <w:rFonts w:ascii="仿宋" w:eastAsia="仿宋" w:hAnsi="仿宋" w:cs="宋体" w:hint="eastAsia"/>
          <w:bCs/>
          <w:sz w:val="32"/>
          <w:szCs w:val="32"/>
        </w:rPr>
        <w:t>）、2020年度财政收支情况说明</w:t>
      </w:r>
    </w:p>
    <w:p w:rsidR="0005317B" w:rsidRPr="000F123A" w:rsidRDefault="0005317B" w:rsidP="00DF23D0">
      <w:pPr>
        <w:spacing w:line="276" w:lineRule="auto"/>
        <w:ind w:firstLineChars="192" w:firstLine="614"/>
        <w:rPr>
          <w:rFonts w:ascii="仿宋" w:eastAsia="仿宋" w:hAnsi="仿宋"/>
          <w:sz w:val="32"/>
          <w:szCs w:val="32"/>
        </w:rPr>
      </w:pPr>
      <w:r w:rsidRPr="000F123A">
        <w:rPr>
          <w:rFonts w:ascii="仿宋" w:eastAsia="仿宋" w:hAnsi="仿宋" w:hint="eastAsia"/>
          <w:sz w:val="32"/>
          <w:szCs w:val="32"/>
        </w:rPr>
        <w:t>2020年度财政拨款支出年初预算数为877.31万元，支出决算数为3153.29万元，完成年初预算的359.43%。</w:t>
      </w:r>
    </w:p>
    <w:p w:rsidR="0005317B" w:rsidRDefault="0005317B" w:rsidP="00DF23D0">
      <w:pPr>
        <w:spacing w:line="276" w:lineRule="auto"/>
        <w:ind w:firstLineChars="192" w:firstLine="614"/>
        <w:rPr>
          <w:rFonts w:ascii="仿宋" w:eastAsia="仿宋" w:hAnsi="仿宋" w:hint="eastAsia"/>
          <w:sz w:val="32"/>
          <w:szCs w:val="32"/>
        </w:rPr>
      </w:pPr>
      <w:r w:rsidRPr="000F123A">
        <w:rPr>
          <w:rFonts w:ascii="仿宋" w:eastAsia="仿宋" w:hAnsi="仿宋" w:hint="eastAsia"/>
          <w:sz w:val="32"/>
          <w:szCs w:val="32"/>
        </w:rPr>
        <w:t>本年财政拨款收、支总计3153.29万元，与上年相比，增加465.1万元,增长17.3%，其中：基本支出1521.36万元，占48.25%；项目支出1631.93万元，占51.75%。</w:t>
      </w:r>
    </w:p>
    <w:p w:rsidR="001F2BFD" w:rsidRPr="001F2BFD" w:rsidRDefault="001F2BFD" w:rsidP="00DF23D0">
      <w:pPr>
        <w:pStyle w:val="Default"/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F2BFD">
        <w:rPr>
          <w:rFonts w:ascii="仿宋" w:eastAsia="仿宋" w:hAnsi="仿宋" w:hint="eastAsia"/>
          <w:sz w:val="32"/>
          <w:szCs w:val="32"/>
        </w:rPr>
        <w:t>2020年度财政拨款支出3153.29万元，主要用于以下方面：一般公共服务（类）支出1178.86万元，占37.39%；公共安全（类）支出6万元，占0.19%；科学技术（类）支出1万元，占0.03%；文化旅游体育与传媒（类）支出20.59万元，占0.65%；社会保障和就业（类）支出223.39万元，占7.08%；卫生健康（类）支出180.58万元，占5.73%；节能</w:t>
      </w:r>
      <w:r w:rsidRPr="001F2BFD">
        <w:rPr>
          <w:rFonts w:ascii="仿宋" w:eastAsia="仿宋" w:hAnsi="仿宋" w:hint="eastAsia"/>
          <w:sz w:val="32"/>
          <w:szCs w:val="32"/>
        </w:rPr>
        <w:lastRenderedPageBreak/>
        <w:t>环保（类）支出197.12万元，占6.25%；城乡社区（类）支出47万元，占1.49%；农林水（类）支出968.51万元。占30.71%；交通运输（类）支出214.4万元，占6.8%；商业服务业（类）支出60万元，占1.9%；自然资源海洋气象（类）支出0.8万元，占0.03%；住房保障（类）支出15.72万元，占0.5%；灾害防治及应急管理（类）支出37.26万元，占1.18%；其他（类）支出2.05万元，占0.07%。</w:t>
      </w:r>
    </w:p>
    <w:p w:rsidR="002102CF" w:rsidRPr="000F123A" w:rsidRDefault="002102CF" w:rsidP="00DF23D0">
      <w:pPr>
        <w:pStyle w:val="Default"/>
        <w:spacing w:line="276" w:lineRule="auto"/>
        <w:ind w:firstLineChars="200" w:firstLine="640"/>
        <w:rPr>
          <w:rFonts w:ascii="仿宋" w:eastAsia="仿宋" w:hAnsi="仿宋" w:cstheme="minorBidi"/>
          <w:color w:val="auto"/>
          <w:sz w:val="32"/>
          <w:szCs w:val="32"/>
        </w:rPr>
      </w:pPr>
      <w:r w:rsidRPr="000F123A">
        <w:rPr>
          <w:rFonts w:ascii="仿宋" w:eastAsia="仿宋" w:hAnsi="仿宋" w:hint="eastAsia"/>
          <w:sz w:val="32"/>
          <w:szCs w:val="32"/>
        </w:rPr>
        <w:t>截</w:t>
      </w:r>
      <w:r w:rsidRPr="000F123A">
        <w:rPr>
          <w:rFonts w:ascii="仿宋" w:eastAsia="仿宋" w:hAnsi="仿宋" w:cstheme="minorBidi" w:hint="eastAsia"/>
          <w:color w:val="auto"/>
          <w:sz w:val="32"/>
          <w:szCs w:val="32"/>
        </w:rPr>
        <w:t>至2020年12月31日，本单位</w:t>
      </w:r>
      <w:r w:rsidR="0007477C" w:rsidRPr="000F123A">
        <w:rPr>
          <w:rFonts w:ascii="仿宋" w:eastAsia="仿宋" w:hAnsi="仿宋" w:cstheme="minorBidi" w:hint="eastAsia"/>
          <w:color w:val="auto"/>
          <w:sz w:val="32"/>
          <w:szCs w:val="32"/>
        </w:rPr>
        <w:t>固定资产账面价值合计440.29万元,其中：房屋及建筑物为362.47万元；通用设备58.32万元；专业设备1.46万元；家具、用具、装具及动植物18.04万元。</w:t>
      </w:r>
    </w:p>
    <w:p w:rsidR="0005317B" w:rsidRPr="000F123A" w:rsidRDefault="000F123A" w:rsidP="00DF23D0">
      <w:pPr>
        <w:spacing w:line="276" w:lineRule="auto"/>
        <w:ind w:firstLineChars="192" w:firstLine="614"/>
        <w:rPr>
          <w:rFonts w:ascii="仿宋" w:eastAsia="仿宋" w:hAnsi="仿宋" w:cs="宋体"/>
          <w:bCs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（</w:t>
      </w:r>
      <w:r w:rsidRPr="000F123A">
        <w:rPr>
          <w:rFonts w:ascii="仿宋" w:eastAsia="仿宋" w:hAnsi="仿宋" w:hint="eastAsia"/>
          <w:sz w:val="32"/>
          <w:szCs w:val="32"/>
        </w:rPr>
        <w:t>五</w:t>
      </w:r>
      <w:r w:rsidRPr="000F123A">
        <w:rPr>
          <w:rFonts w:ascii="仿宋" w:eastAsia="仿宋" w:hAnsi="仿宋" w:cs="宋体" w:hint="eastAsia"/>
          <w:bCs/>
          <w:sz w:val="32"/>
          <w:szCs w:val="32"/>
        </w:rPr>
        <w:t>）、财务财政管理制度及执行情况</w:t>
      </w:r>
    </w:p>
    <w:p w:rsidR="000F123A" w:rsidRPr="000F123A" w:rsidRDefault="000F123A" w:rsidP="00DF23D0">
      <w:pPr>
        <w:pStyle w:val="Default"/>
        <w:spacing w:line="276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0F123A">
        <w:rPr>
          <w:rFonts w:ascii="仿宋" w:eastAsia="仿宋" w:hAnsi="仿宋" w:cs="宋体" w:hint="eastAsia"/>
          <w:bCs/>
          <w:sz w:val="32"/>
          <w:szCs w:val="32"/>
        </w:rPr>
        <w:t>我镇财务管理制度健全，执行制度严格合规，会计核算符合相关规定，资金专款专用，资金支付依据和开支标准合法合规，并建立了相关内部控制制度，对日常财务活动监督管理到位。</w:t>
      </w:r>
      <w:r w:rsidRPr="000F123A">
        <w:rPr>
          <w:rFonts w:ascii="宋体" w:eastAsia="仿宋" w:hAnsi="宋体" w:cs="宋体" w:hint="eastAsia"/>
          <w:bCs/>
          <w:sz w:val="32"/>
          <w:szCs w:val="32"/>
        </w:rPr>
        <w:t> </w:t>
      </w:r>
    </w:p>
    <w:p w:rsidR="00600158" w:rsidRDefault="00600158" w:rsidP="00DF23D0">
      <w:pPr>
        <w:spacing w:line="276" w:lineRule="auto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二、部门（单位）整体支出绩效状况</w:t>
      </w:r>
    </w:p>
    <w:p w:rsidR="001F2BFD" w:rsidRPr="003B47BE" w:rsidRDefault="001F2BFD" w:rsidP="003B4BFF">
      <w:pPr>
        <w:spacing w:line="360" w:lineRule="auto"/>
        <w:ind w:firstLineChars="192" w:firstLine="614"/>
        <w:rPr>
          <w:rFonts w:ascii="仿宋" w:eastAsia="仿宋" w:hAnsi="仿宋" w:hint="eastAsia"/>
          <w:sz w:val="32"/>
          <w:szCs w:val="32"/>
        </w:rPr>
      </w:pPr>
      <w:r w:rsidRPr="001F2BFD">
        <w:rPr>
          <w:rFonts w:ascii="仿宋" w:eastAsia="仿宋" w:hAnsi="仿宋" w:cs="宋体" w:hint="eastAsia"/>
          <w:bCs/>
          <w:sz w:val="32"/>
          <w:szCs w:val="32"/>
        </w:rPr>
        <w:t>对照文件规定的考核指标，我镇从预算配置、预算执行、预算管理、履职效益等方面对2020年部门整体支出绩效开展了</w:t>
      </w:r>
      <w:r w:rsidRPr="003B47BE">
        <w:rPr>
          <w:rFonts w:ascii="仿宋" w:eastAsia="仿宋" w:hAnsi="仿宋" w:cs="宋体" w:hint="eastAsia"/>
          <w:bCs/>
          <w:sz w:val="32"/>
          <w:szCs w:val="32"/>
        </w:rPr>
        <w:t>评价，具体情况如下：</w:t>
      </w:r>
    </w:p>
    <w:p w:rsidR="003B47BE" w:rsidRPr="002236E3" w:rsidRDefault="003B47BE" w:rsidP="003B4BFF">
      <w:pPr>
        <w:pStyle w:val="Default"/>
        <w:spacing w:line="360" w:lineRule="auto"/>
        <w:ind w:leftChars="150" w:left="330" w:firstLineChars="50" w:firstLine="160"/>
        <w:rPr>
          <w:rFonts w:ascii="仿宋" w:eastAsia="仿宋" w:hAnsi="仿宋"/>
          <w:sz w:val="32"/>
          <w:szCs w:val="32"/>
        </w:rPr>
      </w:pPr>
      <w:r w:rsidRPr="003B47BE">
        <w:rPr>
          <w:rFonts w:ascii="仿宋" w:eastAsia="仿宋" w:hAnsi="仿宋" w:cs="宋体" w:hint="eastAsia"/>
          <w:bCs/>
          <w:sz w:val="32"/>
          <w:szCs w:val="32"/>
        </w:rPr>
        <w:t>（一）</w:t>
      </w:r>
      <w:r w:rsidR="00C9113B">
        <w:rPr>
          <w:rFonts w:ascii="仿宋" w:eastAsia="仿宋" w:hAnsi="仿宋" w:cs="宋体" w:hint="eastAsia"/>
          <w:bCs/>
          <w:sz w:val="32"/>
          <w:szCs w:val="32"/>
        </w:rPr>
        <w:t>、</w:t>
      </w:r>
      <w:r w:rsidRPr="003B47BE">
        <w:rPr>
          <w:rFonts w:ascii="仿宋" w:eastAsia="仿宋" w:hAnsi="仿宋" w:cs="宋体" w:hint="eastAsia"/>
          <w:bCs/>
          <w:sz w:val="32"/>
          <w:szCs w:val="32"/>
        </w:rPr>
        <w:t>预算配置方面 </w:t>
      </w:r>
      <w:r w:rsidRPr="003B47BE">
        <w:rPr>
          <w:rFonts w:ascii="宋体" w:eastAsia="仿宋" w:hAnsi="宋体" w:cs="宋体" w:hint="eastAsia"/>
          <w:bCs/>
          <w:sz w:val="32"/>
          <w:szCs w:val="32"/>
        </w:rPr>
        <w:t> </w:t>
      </w:r>
      <w:r w:rsidRPr="003B47BE">
        <w:rPr>
          <w:rFonts w:ascii="仿宋" w:eastAsia="仿宋" w:hAnsi="仿宋" w:cs="宋体" w:hint="eastAsia"/>
          <w:bCs/>
          <w:sz w:val="32"/>
          <w:szCs w:val="32"/>
        </w:rPr>
        <w:br/>
        <w:t>“三公经费”变动率：三公经费本年预算数16万元，上年预算数18.5万元，“三公经费”变动率下降13.51%，</w:t>
      </w:r>
      <w:r w:rsidRPr="002236E3">
        <w:rPr>
          <w:rFonts w:ascii="仿宋" w:eastAsia="仿宋" w:hAnsi="仿宋" w:hint="eastAsia"/>
          <w:sz w:val="32"/>
          <w:szCs w:val="32"/>
        </w:rPr>
        <w:t>厉行节约，严格控制三公经费。</w:t>
      </w:r>
    </w:p>
    <w:p w:rsidR="00381010" w:rsidRDefault="002236E3" w:rsidP="003B4BFF">
      <w:pPr>
        <w:pStyle w:val="Default"/>
        <w:spacing w:line="360" w:lineRule="auto"/>
        <w:ind w:firstLineChars="150" w:firstLine="480"/>
        <w:rPr>
          <w:rFonts w:ascii="宋体" w:eastAsia="宋体" w:hAnsi="宋体" w:cs="宋体"/>
          <w:bCs/>
          <w:sz w:val="28"/>
          <w:szCs w:val="28"/>
        </w:rPr>
      </w:pPr>
      <w:r w:rsidRPr="002236E3">
        <w:rPr>
          <w:rFonts w:ascii="仿宋" w:eastAsia="仿宋" w:hAnsi="仿宋" w:cs="宋体" w:hint="eastAsia"/>
          <w:bCs/>
          <w:sz w:val="32"/>
          <w:szCs w:val="32"/>
        </w:rPr>
        <w:t>（二）、预算执行方面</w:t>
      </w:r>
      <w:r w:rsidRPr="002236E3">
        <w:rPr>
          <w:rFonts w:ascii="仿宋" w:eastAsia="仿宋" w:hAnsi="仿宋" w:cs="宋体" w:hint="eastAsia"/>
          <w:bCs/>
          <w:sz w:val="32"/>
          <w:szCs w:val="32"/>
        </w:rPr>
        <w:t> </w:t>
      </w:r>
      <w:r w:rsidRPr="002236E3">
        <w:rPr>
          <w:rFonts w:ascii="宋体" w:eastAsia="仿宋" w:hAnsi="宋体" w:cs="宋体" w:hint="eastAsia"/>
          <w:bCs/>
          <w:sz w:val="32"/>
          <w:szCs w:val="32"/>
        </w:rPr>
        <w:t> </w:t>
      </w:r>
      <w:r w:rsidR="00DA1B16">
        <w:rPr>
          <w:rFonts w:ascii="仿宋" w:eastAsia="仿宋" w:hAnsi="仿宋" w:cs="宋体" w:hint="eastAsia"/>
          <w:bCs/>
          <w:sz w:val="32"/>
          <w:szCs w:val="32"/>
        </w:rPr>
        <w:br/>
      </w:r>
      <w:r w:rsidR="00DA1B16">
        <w:rPr>
          <w:rFonts w:ascii="仿宋" w:eastAsia="仿宋" w:hAnsi="仿宋" w:cs="宋体" w:hint="eastAsia"/>
          <w:bCs/>
          <w:sz w:val="32"/>
          <w:szCs w:val="32"/>
        </w:rPr>
        <w:lastRenderedPageBreak/>
        <w:t xml:space="preserve">   </w:t>
      </w:r>
      <w:r w:rsidR="00381010">
        <w:rPr>
          <w:rFonts w:ascii="仿宋" w:eastAsia="仿宋" w:hAnsi="仿宋" w:cs="宋体" w:hint="eastAsia"/>
          <w:bCs/>
          <w:sz w:val="32"/>
          <w:szCs w:val="32"/>
        </w:rPr>
        <w:t xml:space="preserve"> </w:t>
      </w:r>
      <w:r w:rsidRPr="002236E3">
        <w:rPr>
          <w:rFonts w:ascii="仿宋" w:eastAsia="仿宋" w:hAnsi="仿宋" w:cs="宋体" w:hint="eastAsia"/>
          <w:bCs/>
          <w:sz w:val="32"/>
          <w:szCs w:val="32"/>
        </w:rPr>
        <w:t>2020年年初预算877.31万元，本年追加预算2275.98万元，年末决算3153.29万元。</w:t>
      </w:r>
      <w:r w:rsidRPr="002236E3">
        <w:rPr>
          <w:rFonts w:ascii="仿宋" w:eastAsia="仿宋" w:hAnsi="仿宋" w:cs="宋体" w:hint="eastAsia"/>
          <w:bCs/>
          <w:sz w:val="32"/>
          <w:szCs w:val="32"/>
        </w:rPr>
        <w:br/>
      </w:r>
      <w:r w:rsidR="00DA1B16">
        <w:rPr>
          <w:rFonts w:ascii="仿宋" w:eastAsia="仿宋" w:hAnsi="仿宋" w:cs="宋体" w:hint="eastAsia"/>
          <w:bCs/>
          <w:sz w:val="32"/>
          <w:szCs w:val="32"/>
        </w:rPr>
        <w:t xml:space="preserve">   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（三）</w:t>
      </w:r>
      <w:r w:rsidR="00381010"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预算管理方面 </w:t>
      </w:r>
      <w:r w:rsidR="00381010"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br/>
        <w:t xml:space="preserve">   管理制度健全性：严</w:t>
      </w:r>
      <w:bookmarkStart w:id="0" w:name="_GoBack"/>
      <w:bookmarkEnd w:id="0"/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格落实《魏家桥镇财务管理制度》及《魏家桥镇差旅费管理办法》等有关管理制度，规范财务审批程序，严格差旅费和接待费支出标准、范围和程序的审核。</w:t>
      </w:r>
      <w:r w:rsidR="00381010"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br/>
      </w:r>
      <w:r w:rsidR="00DA1B16">
        <w:rPr>
          <w:rFonts w:ascii="仿宋" w:eastAsia="仿宋" w:hAnsi="仿宋" w:cs="宋体" w:hint="eastAsia"/>
          <w:bCs/>
          <w:sz w:val="32"/>
          <w:szCs w:val="32"/>
        </w:rPr>
        <w:t xml:space="preserve">    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资金使用合规性：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 </w:t>
      </w:r>
      <w:r w:rsidR="00381010"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  <w:r w:rsidR="00DA1B16">
        <w:rPr>
          <w:rFonts w:ascii="仿宋" w:eastAsia="仿宋" w:hAnsi="仿宋" w:cs="宋体" w:hint="eastAsia"/>
          <w:bCs/>
          <w:sz w:val="32"/>
          <w:szCs w:val="32"/>
        </w:rPr>
        <w:br/>
        <w:t xml:space="preserve">    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预决算信息公开性：加快预算执行，真实准确编制单位部门预算和决算，按时上报基础数据资料。对上年度部门整体支出进行了绩效评价，对标找差距。按规定时限和规定内容公开部门预算、部门决算以及绩效自评报告。各项应向社会公开的信息及时、完整、真实，部门预决算信息透明度进一步提高。 </w:t>
      </w:r>
      <w:r w:rsidR="00381010"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br/>
      </w:r>
      <w:r w:rsidR="00381010">
        <w:rPr>
          <w:rFonts w:ascii="仿宋" w:eastAsia="仿宋" w:hAnsi="仿宋" w:cs="宋体" w:hint="eastAsia"/>
          <w:bCs/>
          <w:sz w:val="32"/>
          <w:szCs w:val="32"/>
        </w:rPr>
        <w:t xml:space="preserve">   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（四）</w:t>
      </w:r>
      <w:r w:rsidR="00381010"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职责履行和履职效益方面 </w:t>
      </w:r>
      <w:r w:rsidR="00381010"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  <w:r w:rsidR="00DA1B16">
        <w:rPr>
          <w:rFonts w:ascii="仿宋" w:eastAsia="仿宋" w:hAnsi="仿宋" w:cs="宋体" w:hint="eastAsia"/>
          <w:bCs/>
          <w:sz w:val="32"/>
          <w:szCs w:val="32"/>
        </w:rPr>
        <w:br/>
        <w:t xml:space="preserve">    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20</w:t>
      </w:r>
      <w:r w:rsidR="00381010">
        <w:rPr>
          <w:rFonts w:ascii="仿宋" w:eastAsia="仿宋" w:hAnsi="仿宋" w:cs="宋体" w:hint="eastAsia"/>
          <w:bCs/>
          <w:sz w:val="32"/>
          <w:szCs w:val="32"/>
        </w:rPr>
        <w:t>20</w:t>
      </w:r>
      <w:r w:rsidR="00381010" w:rsidRPr="00381010">
        <w:rPr>
          <w:rFonts w:ascii="仿宋" w:eastAsia="仿宋" w:hAnsi="仿宋" w:cs="宋体" w:hint="eastAsia"/>
          <w:bCs/>
          <w:sz w:val="32"/>
          <w:szCs w:val="32"/>
        </w:rPr>
        <w:t>年，我们认真履行职责，较好的完成了各项目标工作任务。</w:t>
      </w:r>
    </w:p>
    <w:p w:rsidR="00381010" w:rsidRPr="00381010" w:rsidRDefault="00381010" w:rsidP="003B4BFF">
      <w:pPr>
        <w:pStyle w:val="Default"/>
        <w:spacing w:line="360" w:lineRule="auto"/>
        <w:ind w:firstLineChars="150" w:firstLine="480"/>
        <w:rPr>
          <w:rFonts w:ascii="仿宋" w:eastAsia="仿宋" w:hAnsi="仿宋" w:cs="宋体"/>
          <w:bCs/>
          <w:sz w:val="32"/>
          <w:szCs w:val="32"/>
        </w:rPr>
      </w:pPr>
      <w:r w:rsidRPr="00381010">
        <w:rPr>
          <w:rFonts w:ascii="仿宋" w:eastAsia="仿宋" w:hAnsi="仿宋" w:cs="宋体" w:hint="eastAsia"/>
          <w:bCs/>
          <w:sz w:val="32"/>
          <w:szCs w:val="32"/>
        </w:rPr>
        <w:t>（五）、评价结果</w:t>
      </w:r>
      <w:r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  <w:r w:rsidRPr="00381010">
        <w:rPr>
          <w:rFonts w:ascii="仿宋" w:eastAsia="仿宋" w:hAnsi="仿宋" w:cs="宋体" w:hint="eastAsia"/>
          <w:bCs/>
          <w:sz w:val="32"/>
          <w:szCs w:val="32"/>
        </w:rPr>
        <w:br/>
      </w:r>
      <w:r w:rsidRPr="00381010">
        <w:rPr>
          <w:rFonts w:ascii="仿宋" w:eastAsia="仿宋" w:hAnsi="仿宋" w:cs="宋体" w:hint="eastAsia"/>
          <w:bCs/>
          <w:sz w:val="32"/>
          <w:szCs w:val="32"/>
        </w:rPr>
        <w:lastRenderedPageBreak/>
        <w:t xml:space="preserve">  </w:t>
      </w:r>
      <w:r w:rsidR="00DA1B16">
        <w:rPr>
          <w:rFonts w:ascii="仿宋" w:eastAsia="仿宋" w:hAnsi="仿宋" w:cs="宋体" w:hint="eastAsia"/>
          <w:bCs/>
          <w:sz w:val="32"/>
          <w:szCs w:val="32"/>
        </w:rPr>
        <w:t xml:space="preserve"> </w:t>
      </w:r>
      <w:r w:rsidRPr="00381010">
        <w:rPr>
          <w:rFonts w:ascii="仿宋" w:eastAsia="仿宋" w:hAnsi="仿宋" w:cs="宋体" w:hint="eastAsia"/>
          <w:bCs/>
          <w:sz w:val="32"/>
          <w:szCs w:val="32"/>
        </w:rPr>
        <w:t xml:space="preserve"> 我镇20</w:t>
      </w:r>
      <w:r w:rsidR="00DF23D0">
        <w:rPr>
          <w:rFonts w:ascii="仿宋" w:eastAsia="仿宋" w:hAnsi="仿宋" w:cs="宋体" w:hint="eastAsia"/>
          <w:bCs/>
          <w:sz w:val="32"/>
          <w:szCs w:val="32"/>
        </w:rPr>
        <w:t>20</w:t>
      </w:r>
      <w:r w:rsidRPr="00381010">
        <w:rPr>
          <w:rFonts w:ascii="仿宋" w:eastAsia="仿宋" w:hAnsi="仿宋" w:cs="宋体" w:hint="eastAsia"/>
          <w:bCs/>
          <w:sz w:val="32"/>
          <w:szCs w:val="32"/>
        </w:rPr>
        <w:t>年度部门整体支出与年初预期绩效目标一致，内部控制制度健全，预算管理、资产管理规范，有效的保障了各项工作的开展和完成，并取得了较好的成效。</w:t>
      </w:r>
    </w:p>
    <w:p w:rsidR="00600158" w:rsidRPr="00381010" w:rsidRDefault="00600158" w:rsidP="003B4BFF">
      <w:pPr>
        <w:spacing w:line="360" w:lineRule="auto"/>
        <w:ind w:firstLineChars="192" w:firstLine="614"/>
        <w:rPr>
          <w:rFonts w:ascii="黑体" w:eastAsia="黑体" w:hAnsi="黑体"/>
          <w:sz w:val="32"/>
          <w:szCs w:val="32"/>
        </w:rPr>
      </w:pPr>
      <w:r w:rsidRPr="00381010">
        <w:rPr>
          <w:rFonts w:ascii="黑体" w:eastAsia="黑体" w:hAnsi="黑体" w:hint="eastAsia"/>
          <w:sz w:val="32"/>
          <w:szCs w:val="32"/>
        </w:rPr>
        <w:t>三、存在的问题及原因</w:t>
      </w:r>
    </w:p>
    <w:p w:rsidR="00381010" w:rsidRPr="00381010" w:rsidRDefault="00381010" w:rsidP="00DF23D0">
      <w:pPr>
        <w:pStyle w:val="Default"/>
        <w:spacing w:line="276" w:lineRule="auto"/>
        <w:ind w:firstLineChars="200" w:firstLine="640"/>
        <w:rPr>
          <w:rFonts w:ascii="仿宋" w:eastAsia="仿宋" w:hAnsi="仿宋" w:cs="宋体" w:hint="eastAsia"/>
          <w:bCs/>
          <w:sz w:val="32"/>
          <w:szCs w:val="32"/>
        </w:rPr>
      </w:pPr>
      <w:r w:rsidRPr="00381010">
        <w:rPr>
          <w:rFonts w:ascii="仿宋" w:eastAsia="仿宋" w:hAnsi="仿宋" w:cs="宋体" w:hint="eastAsia"/>
          <w:bCs/>
          <w:sz w:val="32"/>
          <w:szCs w:val="32"/>
        </w:rPr>
        <w:t>年初预算准确度不高，与实际执行数有一定的差距，年中需要做预算调整。</w:t>
      </w:r>
      <w:r w:rsidRPr="00381010">
        <w:rPr>
          <w:rFonts w:ascii="宋体" w:eastAsia="仿宋" w:hAnsi="宋体" w:cs="宋体" w:hint="eastAsia"/>
          <w:bCs/>
          <w:sz w:val="32"/>
          <w:szCs w:val="32"/>
        </w:rPr>
        <w:t> </w:t>
      </w:r>
    </w:p>
    <w:p w:rsidR="00381010" w:rsidRDefault="00381010" w:rsidP="00DF23D0">
      <w:pPr>
        <w:pStyle w:val="Default"/>
        <w:spacing w:line="276" w:lineRule="auto"/>
        <w:rPr>
          <w:rFonts w:ascii="宋体" w:eastAsia="宋体" w:hAnsi="宋体" w:cs="宋体"/>
          <w:bCs/>
          <w:sz w:val="28"/>
          <w:szCs w:val="28"/>
        </w:rPr>
      </w:pPr>
    </w:p>
    <w:p w:rsidR="00600158" w:rsidRDefault="00600158" w:rsidP="00DF23D0">
      <w:pPr>
        <w:spacing w:line="276" w:lineRule="auto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四、提高财政资金绩效的措施与建议</w:t>
      </w:r>
    </w:p>
    <w:p w:rsidR="00381010" w:rsidRPr="00381010" w:rsidRDefault="00381010" w:rsidP="00DF23D0">
      <w:pPr>
        <w:pStyle w:val="Default"/>
        <w:spacing w:line="276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81010">
        <w:rPr>
          <w:rFonts w:ascii="仿宋" w:eastAsia="仿宋" w:hAnsi="仿宋" w:cs="宋体" w:hint="eastAsia"/>
          <w:bCs/>
          <w:sz w:val="32"/>
          <w:szCs w:val="32"/>
        </w:rPr>
        <w:t>为进一步规范和加强预算资金及资产管理，提高财政资金使用效益，我镇将继续坚持按下列要求规范自己：遵循先有预算、后有支出的原则，加强财务管理和内部控制监督。严禁超预算和无预算安排支出，严格开支范围和标准，严格支出报销审核，不报销任何超范围、超标准的费</w:t>
      </w:r>
      <w:r w:rsidRPr="00381010">
        <w:rPr>
          <w:rFonts w:ascii="仿宋" w:eastAsia="仿宋" w:hAnsi="仿宋" w:cs="宋体" w:hint="eastAsia"/>
          <w:color w:val="535353"/>
          <w:sz w:val="32"/>
          <w:szCs w:val="32"/>
          <w:shd w:val="clear" w:color="auto" w:fill="FFFFFF"/>
        </w:rPr>
        <w:t>用。</w:t>
      </w:r>
      <w:r w:rsidRPr="00381010">
        <w:rPr>
          <w:rFonts w:ascii="宋体" w:eastAsia="仿宋" w:hAnsi="宋体" w:cs="宋体" w:hint="eastAsia"/>
          <w:color w:val="535353"/>
          <w:sz w:val="32"/>
          <w:szCs w:val="32"/>
          <w:shd w:val="clear" w:color="auto" w:fill="FFFFFF"/>
        </w:rPr>
        <w:t> </w:t>
      </w:r>
    </w:p>
    <w:p w:rsidR="00600158" w:rsidRDefault="00600158" w:rsidP="00DF23D0">
      <w:pPr>
        <w:spacing w:line="276" w:lineRule="auto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五、附件（佐证依据）</w:t>
      </w:r>
    </w:p>
    <w:p w:rsidR="004358AB" w:rsidRPr="00600158" w:rsidRDefault="004358AB" w:rsidP="00D31D50">
      <w:pPr>
        <w:spacing w:line="220" w:lineRule="atLeast"/>
      </w:pPr>
    </w:p>
    <w:sectPr w:rsidR="004358AB" w:rsidRPr="006001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76" w:rsidRDefault="00145176" w:rsidP="00600158">
      <w:pPr>
        <w:spacing w:after="0"/>
      </w:pPr>
      <w:r>
        <w:separator/>
      </w:r>
    </w:p>
  </w:endnote>
  <w:endnote w:type="continuationSeparator" w:id="0">
    <w:p w:rsidR="00145176" w:rsidRDefault="00145176" w:rsidP="006001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76" w:rsidRDefault="00145176" w:rsidP="00600158">
      <w:pPr>
        <w:spacing w:after="0"/>
      </w:pPr>
      <w:r>
        <w:separator/>
      </w:r>
    </w:p>
  </w:footnote>
  <w:footnote w:type="continuationSeparator" w:id="0">
    <w:p w:rsidR="00145176" w:rsidRDefault="00145176" w:rsidP="006001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CF3"/>
    <w:multiLevelType w:val="hybridMultilevel"/>
    <w:tmpl w:val="3D26263C"/>
    <w:lvl w:ilvl="0" w:tplc="CEB69F48">
      <w:start w:val="1"/>
      <w:numFmt w:val="japaneseCounting"/>
      <w:lvlText w:val="%1、"/>
      <w:lvlJc w:val="left"/>
      <w:pPr>
        <w:ind w:left="133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633"/>
    <w:rsid w:val="0005317B"/>
    <w:rsid w:val="0007477C"/>
    <w:rsid w:val="000F123A"/>
    <w:rsid w:val="00127705"/>
    <w:rsid w:val="00145176"/>
    <w:rsid w:val="001B15DC"/>
    <w:rsid w:val="001F2BFD"/>
    <w:rsid w:val="002102CF"/>
    <w:rsid w:val="002236E3"/>
    <w:rsid w:val="0025229F"/>
    <w:rsid w:val="002C3AF0"/>
    <w:rsid w:val="00323B43"/>
    <w:rsid w:val="00381010"/>
    <w:rsid w:val="003B47BE"/>
    <w:rsid w:val="003B4BFF"/>
    <w:rsid w:val="003D37D8"/>
    <w:rsid w:val="00426133"/>
    <w:rsid w:val="004358AB"/>
    <w:rsid w:val="004A4F1A"/>
    <w:rsid w:val="00600158"/>
    <w:rsid w:val="00897036"/>
    <w:rsid w:val="008B7726"/>
    <w:rsid w:val="00B43F26"/>
    <w:rsid w:val="00C61CD0"/>
    <w:rsid w:val="00C9113B"/>
    <w:rsid w:val="00D31D50"/>
    <w:rsid w:val="00DA1B16"/>
    <w:rsid w:val="00DF23D0"/>
    <w:rsid w:val="00E5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1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1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15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00158"/>
    <w:pPr>
      <w:ind w:firstLineChars="200" w:firstLine="420"/>
    </w:pPr>
  </w:style>
  <w:style w:type="paragraph" w:customStyle="1" w:styleId="Default">
    <w:name w:val="Default"/>
    <w:uiPriority w:val="99"/>
    <w:qFormat/>
    <w:rsid w:val="002102CF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2021-08-07T09:17:00Z</cp:lastPrinted>
  <dcterms:created xsi:type="dcterms:W3CDTF">2008-09-11T17:20:00Z</dcterms:created>
  <dcterms:modified xsi:type="dcterms:W3CDTF">2021-08-07T09:28:00Z</dcterms:modified>
</cp:coreProperties>
</file>