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/>
          <w:sz w:val="36"/>
          <w:szCs w:val="36"/>
          <w:lang w:val="en-US" w:eastAsia="zh-CN"/>
        </w:rPr>
        <w:t>2019年度魏家桥镇政府整体支出绩效评价报告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一、部门概况</w:t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（一）主要职能</w:t>
      </w:r>
    </w:p>
    <w:p>
      <w:pPr>
        <w:jc w:val="left"/>
        <w:rPr>
          <w:rFonts w:ascii="仿宋_GB2312" w:hAnsi="宋体" w:eastAsia="仿宋_GB2312"/>
          <w:sz w:val="28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乡镇财政机构具体负责预算编制管理、乡镇居民补贴资金发放、财政性资金监督管理、国有资产和乡镇债权债务管理、组织协调收入征收以及乡镇单位财务管理等工作。</w:t>
      </w:r>
    </w:p>
    <w:p>
      <w:pPr>
        <w:widowControl/>
        <w:spacing w:line="600" w:lineRule="exact"/>
        <w:rPr>
          <w:rFonts w:ascii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（二）机构情况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本单位内设机构包括：</w:t>
      </w:r>
      <w:r>
        <w:rPr>
          <w:rFonts w:hint="eastAsia" w:ascii="宋体" w:hAnsi="宋体"/>
          <w:bCs/>
          <w:kern w:val="0"/>
          <w:sz w:val="32"/>
          <w:szCs w:val="32"/>
        </w:rPr>
        <w:t>魏家桥镇政府、魏家桥镇财政所、魏家桥镇退役军人服务站、魏家桥镇社会事务综合服务中心、魏家桥镇政务（便民）服务中心、魏家桥镇农业综合服务中心、魏家桥镇综合行政执法大队。</w:t>
      </w:r>
    </w:p>
    <w:p>
      <w:pPr>
        <w:widowControl/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(三)人员情况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 本单位年末实有总人数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81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人，其中行政编制3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人，事业编制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46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人。</w:t>
      </w:r>
    </w:p>
    <w:p>
      <w:pPr>
        <w:widowControl/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二、部门整体支出使用情况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（一）2019年部门预算情况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我镇2019年年初收入预算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752.2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万元，全部为一般公共预算财政拨款收入。年初支出总预算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752.2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万元，其中：基本支出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572.2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万元，项目支出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180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万元。 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（二）2019年部门决算情况 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2019年度决算总收入1877.44万元。2019年度决算总支出1877.44万元，其中：基本支出1089.63万元，占58.04%；项目支出787.81万元，占41.96%。 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（三）2019年支出分类情况 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1、基本支出   </w:t>
      </w:r>
    </w:p>
    <w:p>
      <w:pPr>
        <w:pStyle w:val="7"/>
        <w:ind w:firstLine="800" w:firstLineChars="25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2019年度财政拨款基本支出1007.39万元，其中：人员经费813.42万元，占基本支出的80.75%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主要包括基本工资、津贴补贴、奖金、伙食补助费、绩效工资、其他工资福利支出；公用经费193.97万元，占基本支出的19.25%，主要包括办公费、印刷费、咨询费、水费、电费、邮电费、差旅费、维修（护）费、租赁费、会议费、培训费、劳务费、委托业务费、工会经费、福利费、公务用车运行维护费、其他商品和服务支出。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2、项目支出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2019年度财政拨款项目支出870.05万元，占46.34%。主要支出项目有：信访维稳项目支出、环境卫生项目支出、民政资金项目支出、村级经费项目支出等。 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（三）“三公”经费使用情况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“三公”经费财政拨款支出预算为18.5万元，支出决算为6.86万元，完成预算的37.08%，其中：</w:t>
      </w:r>
    </w:p>
    <w:p>
      <w:pPr>
        <w:pStyle w:val="7"/>
        <w:ind w:firstLine="800" w:firstLineChars="25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因公出国（境）费支出预算为0万元，支出决算为0万元。</w:t>
      </w:r>
    </w:p>
    <w:p>
      <w:pPr>
        <w:pStyle w:val="7"/>
        <w:ind w:firstLine="800" w:firstLineChars="25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公务接待费支出预算为10.5万元，支出决算为1.66万元。</w:t>
      </w:r>
    </w:p>
    <w:p>
      <w:pPr>
        <w:pStyle w:val="7"/>
        <w:ind w:firstLine="800" w:firstLineChars="25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公务用车购置费及运行维护费支出预算为8万元，支出决算为5.2万元。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三、部门整体支出管理情况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我镇财务管理制度健全，执行制度严格合规，会计核算符合相关规定，资金专款专用，资金支付依据和开支标准合法合规，并建立了相关内部控制制度，对日常财务活动监督管理到位。 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四、部门整体支出绩效情况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对照文件规定的考核指标，我镇从预算配置、预算执行、预算管理、履职效益等方面对2019年部门整体支出绩效开展了评价，具体情况如下： 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（一）预算配置方面 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 “三公经费”变动率：三公经费本年预算数18.5万元，上年预算数18.5万元，“三公经费”变动率为0%，控制较好。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（二）预算执行方面 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2019年年初预算752.2万元，本年追加预算1935.99万元，年末决算2688.19万元。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（三）预算管理方面 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管理制度健全性：严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格落实《魏家桥镇财务管理制度》及《魏家桥镇差旅费管理办法》等有关管理制度，规范财务审批程序，严格差旅费和接待费支出标准、范围和程序的审核。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资金使用合规性：严格落实中央八项规定和有关公务支出标准，配合巡察等检查工作，及时整理制作和报送资料，对检查提出的问题认真整改，落实到位。加强经费合法合规性审核和预算控制，严格按制度政策办事，资金使用合法合规，支出手续齐全，程序到位。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预决算信息公开性：加快预算执行，真实准确编制单位部门预算和决算，按时上报基础数据资料。对上年度部门整体支出进行了绩效评价，对标找差距。按规定时限和规定内容公开部门预算、部门决算以及绩效自评报告。各项应向社会公开的信息及时、完整、真实，部门预决算信息透明度进一步提高。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（四）职责履行和履职效益方面 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2019年，我们认真履行职责，较好的完成了各项目标工作任务。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五、评价结果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我镇2019年度部门整体支出与年初预期绩效目标一致，内部控制制度健全，预算管理、资产管理规范，有效的保障了各项工作的开展和完成，并取得了较好的成效。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六、存在的主要问题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年初预算准确度不高，与实际执行数有一定的差距，年中需要做预算调整。 </w:t>
      </w:r>
    </w:p>
    <w:p>
      <w:pPr>
        <w:pStyle w:val="7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七、改进措施和有关建议 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    为进一步规范和加强预算资金及资产管理，提高财政资金使用效益，我镇将继续坚持按下列要求规范自己：遵循先有预算、后有支出的原则，加强财务管理和内部控制监督。严禁超预算和无预算安排支出，严格开支范围和标准，严格支出报销审核，不报销任何超范围、超标准的费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8"/>
          <w:szCs w:val="28"/>
          <w:shd w:val="clear" w:color="auto" w:fill="FFFFFF"/>
        </w:rPr>
        <w:t>用。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3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9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uiPriority w:val="0"/>
  </w:style>
  <w:style w:type="table" w:default="1" w:styleId="5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_6bc6c243-7e2b-429c-a867-f6c5abfe1450"/>
    <w:basedOn w:val="1"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2080</Words>
  <Characters>2251</Characters>
  <Lines>0</Lines>
  <Paragraphs>12</Paragraphs>
  <TotalTime>0</TotalTime>
  <ScaleCrop>false</ScaleCrop>
  <LinksUpToDate>false</LinksUpToDate>
  <CharactersWithSpaces>2408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2020-09-01T08:39:00Z</dcterms:created>
  <dc:creator>Administrator</dc:creator>
  <cp:lastModifiedBy>wjqzczs</cp:lastModifiedBy>
  <cp:lastPrinted>2020-09-17T00:51:00Z</cp:lastPrinted>
  <dcterms:modified xsi:type="dcterms:W3CDTF">2020-09-23T06:08:54Z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