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bCs/>
          <w:sz w:val="44"/>
          <w:szCs w:val="44"/>
        </w:rPr>
      </w:pPr>
      <w:r>
        <w:rPr>
          <w:rFonts w:hint="eastAsia" w:ascii="宋体" w:hAnsi="宋体"/>
          <w:b/>
          <w:bCs/>
          <w:sz w:val="44"/>
          <w:szCs w:val="44"/>
        </w:rPr>
        <w:t>邵东市文化市场综合行政执法大队</w:t>
      </w:r>
    </w:p>
    <w:p>
      <w:pPr>
        <w:spacing w:line="600" w:lineRule="exact"/>
        <w:jc w:val="center"/>
        <w:rPr>
          <w:rFonts w:ascii="宋体" w:hAnsi="宋体"/>
          <w:b/>
          <w:bCs/>
          <w:sz w:val="44"/>
          <w:szCs w:val="44"/>
        </w:rPr>
      </w:pPr>
      <w:r>
        <w:rPr>
          <w:rFonts w:hint="eastAsia" w:ascii="宋体" w:hAnsi="宋体"/>
          <w:b/>
          <w:bCs/>
          <w:sz w:val="44"/>
          <w:szCs w:val="44"/>
        </w:rPr>
        <w:t>整体支出绩效自评报告</w:t>
      </w:r>
    </w:p>
    <w:p>
      <w:pPr>
        <w:spacing w:line="600" w:lineRule="exact"/>
        <w:rPr>
          <w:rFonts w:ascii="仿宋_GB2312" w:hAnsi="仿宋_GB2312" w:eastAsia="仿宋_GB2312" w:cs="仿宋_GB2312"/>
          <w:sz w:val="28"/>
          <w:szCs w:val="28"/>
        </w:rPr>
      </w:pPr>
    </w:p>
    <w:p>
      <w:pPr>
        <w:spacing w:line="600" w:lineRule="exact"/>
        <w:rPr>
          <w:rFonts w:ascii="黑体" w:hAnsi="黑体" w:eastAsia="黑体"/>
          <w:sz w:val="32"/>
          <w:szCs w:val="32"/>
        </w:rPr>
      </w:pPr>
      <w:r>
        <w:rPr>
          <w:rFonts w:hint="eastAsia" w:ascii="黑体" w:hAnsi="黑体" w:eastAsia="黑体"/>
          <w:sz w:val="32"/>
          <w:szCs w:val="32"/>
        </w:rPr>
        <w:t>一、部门基本概况</w:t>
      </w:r>
    </w:p>
    <w:p>
      <w:pPr>
        <w:pStyle w:val="32"/>
        <w:ind w:firstLine="321" w:firstLineChars="100"/>
        <w:jc w:val="left"/>
        <w:rPr>
          <w:rFonts w:ascii="仿宋_GB2312" w:eastAsia="仿宋_GB2312"/>
          <w:b/>
          <w:sz w:val="32"/>
          <w:szCs w:val="32"/>
        </w:rPr>
      </w:pPr>
      <w:r>
        <w:rPr>
          <w:rFonts w:hint="eastAsia" w:ascii="仿宋_GB2312" w:eastAsia="仿宋_GB2312"/>
          <w:b/>
          <w:sz w:val="32"/>
          <w:szCs w:val="32"/>
        </w:rPr>
        <w:t>（一）工作职能</w:t>
      </w:r>
    </w:p>
    <w:p>
      <w:pPr>
        <w:pStyle w:val="32"/>
        <w:ind w:firstLine="640"/>
        <w:jc w:val="left"/>
        <w:rPr>
          <w:rFonts w:ascii="黑体" w:hAnsi="黑体" w:eastAsia="仿宋_GB2312"/>
          <w:sz w:val="32"/>
          <w:szCs w:val="32"/>
        </w:rPr>
      </w:pPr>
      <w:r>
        <w:rPr>
          <w:rFonts w:hint="eastAsia" w:ascii="仿宋_GB2312" w:eastAsia="仿宋_GB2312"/>
          <w:sz w:val="32"/>
          <w:szCs w:val="32"/>
        </w:rPr>
        <w:t>邵东市文化市场综合行政执法大队是市文化旅游广电体育局管理的参照公务员管理副科级事业单位。其主要职能是：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1、贯彻执行党和国家、省、邵阳市有关文化、文物、新闻出版、版权、广播电视、电影、体育、旅游等领域的法律法规和方针政策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拟定文化、文物、新闻出版、版权、广播电视、电影、体育、旅游等领域行政执法工作总体规划和年度计划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并组织实施。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2、依据有关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、规章和政策规定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使对文化、文物、新闻出版、版权、广播电视、电影、体育、旅游等领域的行政检查权、行政处罚权及相关执法职能；负责对乡镇（街道）文化市场综合执法进行指导、监督；负责行使对市辖区范围的文化市场综合执法领域的执法职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依法查处图书、音像制品、电子出版物等方面的违法出版活动和印刷、复制、出版物发行中的违法经营活动；查处非法出版单位和个人的违法出版活动；查处新闻媒体单位及新闻从业人员的违法违规活动；查处内部资料性出版物出版过程中的违法违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依法查处娱乐场所、电子游戏厅、互联网上网服务营业场所的违法违规行为；查处演出、艺术品经营及进出口等活动中的违法违规行为；查处文化艺术经营、展览展播活动中的违法违规行为；查处艺术培训、考级活动中的违法违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5、依法查处文物等方面的违法违规行为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依法查处文物经营单位和个人违反文物法律、法规和规章的行为。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6、依法查处侵犯复制权、放映权、信息网络传播权等著作权侵权行为。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依法查处除制作、播出、传输等机构外的企业、个人和社会组织从事广播电视活动中的违法违规行为；查处电影放映单位的违法违规行为；查处安装和设置卫星电视广播地面接收设施、传送境外卫星电视节目中的违法违规行为；配合查处生产销售、使用“伪基站”设备的违法违规行为；查处放映未取得《电影片公映许可证》的电影片和走私放映盗版影片等违法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8、依法查处网络电影、网络视听、网络出版、网络文化等网络领域的违法经营活动。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9、依法查处体育行业的经营活动、体育赛事、体育彩票销售、高危险性体育项目经营、体育类企业等体育领域的违法违规行为。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10、依法查处旅游市场的违法违规行为；负责监督、检查全市旅游市场秩序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组织指导执法检查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维护旅游者合法权益。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11、承担文化市场行政执法人员的业务培训、考核评比工作。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12、承担“扫黄打非”有关执法工作任务。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13、负责受理文化市场违法行为的举报、投诉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并查处相关违法行为。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14、承担市文化旅游广电体育局交办的其他工作。</w:t>
      </w:r>
    </w:p>
    <w:p>
      <w:pPr>
        <w:ind w:firstLine="320" w:firstLineChars="100"/>
        <w:rPr>
          <w:rFonts w:ascii="等线" w:hAnsi="等线" w:eastAsia="等线" w:cs="黑体"/>
          <w:b/>
          <w:sz w:val="32"/>
          <w:szCs w:val="32"/>
        </w:rPr>
      </w:pPr>
      <w:r>
        <w:rPr>
          <w:rFonts w:hint="eastAsia" w:ascii="等线" w:hAnsi="等线" w:eastAsia="等线" w:cs="黑体"/>
          <w:b/>
          <w:sz w:val="32"/>
          <w:szCs w:val="32"/>
        </w:rPr>
        <w:t>（二） 内设机构</w:t>
      </w:r>
    </w:p>
    <w:p>
      <w:pPr>
        <w:ind w:firstLine="640" w:firstLineChars="200"/>
        <w:rPr>
          <w:rFonts w:ascii="仿宋_GB2312" w:hAnsi="仿宋_GB2312" w:eastAsia="仿宋_GB2312" w:cs="仿宋_GB2312"/>
          <w:color w:val="333333"/>
          <w:sz w:val="32"/>
          <w:szCs w:val="32"/>
        </w:rPr>
      </w:pPr>
      <w:r>
        <w:rPr>
          <w:rFonts w:hint="eastAsia" w:ascii="仿宋_GB2312" w:eastAsia="仿宋_GB2312"/>
          <w:color w:val="000000"/>
          <w:sz w:val="32"/>
          <w:szCs w:val="32"/>
        </w:rPr>
        <w:t>文化市场综合执法行政大队现有编制23个，在职人员17人</w:t>
      </w:r>
      <w:r>
        <w:rPr>
          <w:rFonts w:hint="eastAsia" w:ascii="仿宋_GB2312" w:eastAsia="仿宋_GB2312"/>
          <w:color w:val="000000"/>
          <w:sz w:val="32"/>
          <w:szCs w:val="32"/>
          <w:lang w:eastAsia="zh-CN"/>
        </w:rPr>
        <w:t>，</w:t>
      </w:r>
      <w:r>
        <w:rPr>
          <w:rFonts w:hint="eastAsia" w:ascii="仿宋_GB2312" w:eastAsia="仿宋_GB2312"/>
          <w:color w:val="000000"/>
          <w:sz w:val="32"/>
          <w:szCs w:val="32"/>
        </w:rPr>
        <w:t>离退休人员3人。设大队长一名，副大队长二名，</w:t>
      </w:r>
      <w:r>
        <w:rPr>
          <w:rFonts w:hint="eastAsia" w:ascii="仿宋_GB2312" w:hAnsi="仿宋_GB2312" w:eastAsia="仿宋_GB2312" w:cs="仿宋_GB2312"/>
          <w:color w:val="333333"/>
          <w:sz w:val="32"/>
          <w:szCs w:val="32"/>
        </w:rPr>
        <w:t>内设股室7个：办公室、政策法规股、新闻出版（版权）中队、网络文化广播电视及电影执法中队，娱乐演艺执法中队，网吧执法中队，旅游体育文物执法中队。单位</w:t>
      </w:r>
      <w:r>
        <w:rPr>
          <w:rFonts w:hint="eastAsia" w:ascii="仿宋_GB2312" w:hAnsi="仿宋_GB2312" w:eastAsia="仿宋_GB2312" w:cs="仿宋_GB2312"/>
          <w:color w:val="000000"/>
          <w:sz w:val="32"/>
          <w:szCs w:val="32"/>
        </w:rPr>
        <w:t>无定编车辆，公务执法出行由公车平台派车。</w:t>
      </w:r>
    </w:p>
    <w:p>
      <w:pPr>
        <w:ind w:firstLine="320" w:firstLineChars="100"/>
        <w:rPr>
          <w:rFonts w:ascii="等线" w:hAnsi="等线" w:eastAsia="等线" w:cs="黑体"/>
          <w:b/>
          <w:sz w:val="32"/>
          <w:szCs w:val="32"/>
        </w:rPr>
      </w:pPr>
      <w:r>
        <w:rPr>
          <w:rFonts w:hint="eastAsia" w:ascii="等线" w:hAnsi="等线" w:eastAsia="等线" w:cs="黑体"/>
          <w:b/>
          <w:sz w:val="32"/>
          <w:szCs w:val="32"/>
        </w:rPr>
        <w:t>（三） 202</w:t>
      </w:r>
      <w:r>
        <w:rPr>
          <w:rFonts w:ascii="等线" w:hAnsi="等线" w:eastAsia="等线" w:cs="黑体"/>
          <w:b/>
          <w:sz w:val="32"/>
          <w:szCs w:val="32"/>
        </w:rPr>
        <w:t>2</w:t>
      </w:r>
      <w:r>
        <w:rPr>
          <w:rFonts w:hint="eastAsia" w:ascii="等线" w:hAnsi="等线" w:eastAsia="等线" w:cs="黑体"/>
          <w:b/>
          <w:sz w:val="32"/>
          <w:szCs w:val="32"/>
        </w:rPr>
        <w:t>年财政收支和年末固定资产状况</w:t>
      </w:r>
    </w:p>
    <w:p>
      <w:pPr>
        <w:ind w:firstLine="640" w:firstLineChars="200"/>
        <w:rPr>
          <w:rFonts w:ascii="仿宋" w:hAnsi="仿宋" w:eastAsia="仿宋" w:cs="黑体"/>
          <w:b/>
          <w:sz w:val="32"/>
          <w:szCs w:val="32"/>
        </w:rPr>
      </w:pPr>
      <w:r>
        <w:rPr>
          <w:rFonts w:hint="eastAsia" w:ascii="仿宋" w:hAnsi="仿宋" w:eastAsia="仿宋" w:cs="仿宋"/>
          <w:sz w:val="32"/>
          <w:szCs w:val="32"/>
        </w:rPr>
        <w:t>本年收入合计</w:t>
      </w:r>
      <w:r>
        <w:rPr>
          <w:rFonts w:ascii="仿宋" w:hAnsi="仿宋" w:eastAsia="仿宋" w:cs="仿宋"/>
          <w:sz w:val="32"/>
          <w:szCs w:val="32"/>
        </w:rPr>
        <w:t>271.22</w:t>
      </w:r>
      <w:r>
        <w:rPr>
          <w:rFonts w:hint="eastAsia" w:ascii="仿宋" w:hAnsi="仿宋" w:eastAsia="仿宋" w:cs="仿宋"/>
          <w:sz w:val="32"/>
          <w:szCs w:val="32"/>
        </w:rPr>
        <w:t>万元，其中：财政拨款收入</w:t>
      </w:r>
      <w:r>
        <w:rPr>
          <w:rFonts w:ascii="仿宋" w:hAnsi="仿宋" w:eastAsia="仿宋" w:cs="仿宋"/>
          <w:sz w:val="32"/>
          <w:szCs w:val="32"/>
        </w:rPr>
        <w:t>271.22</w:t>
      </w:r>
      <w:r>
        <w:rPr>
          <w:rFonts w:hint="eastAsia" w:ascii="仿宋" w:hAnsi="仿宋" w:eastAsia="仿宋" w:cs="仿宋"/>
          <w:sz w:val="32"/>
          <w:szCs w:val="32"/>
        </w:rPr>
        <w:t>万元，占100%；本年支出合计</w:t>
      </w:r>
      <w:r>
        <w:rPr>
          <w:rFonts w:ascii="仿宋" w:hAnsi="仿宋" w:eastAsia="仿宋" w:cs="仿宋"/>
          <w:sz w:val="32"/>
          <w:szCs w:val="32"/>
        </w:rPr>
        <w:t>271.22</w:t>
      </w:r>
      <w:r>
        <w:rPr>
          <w:rFonts w:hint="eastAsia" w:ascii="仿宋" w:hAnsi="仿宋" w:eastAsia="仿宋" w:cs="仿宋"/>
          <w:sz w:val="32"/>
          <w:szCs w:val="32"/>
        </w:rPr>
        <w:t>万元，其中：基本支出</w:t>
      </w:r>
      <w:r>
        <w:rPr>
          <w:rFonts w:ascii="仿宋" w:hAnsi="仿宋" w:eastAsia="仿宋" w:cs="仿宋"/>
          <w:sz w:val="32"/>
          <w:szCs w:val="32"/>
        </w:rPr>
        <w:t>175.95</w:t>
      </w:r>
      <w:r>
        <w:rPr>
          <w:rFonts w:hint="eastAsia" w:ascii="仿宋" w:hAnsi="仿宋" w:eastAsia="仿宋" w:cs="仿宋"/>
          <w:sz w:val="32"/>
          <w:szCs w:val="32"/>
        </w:rPr>
        <w:t>万元，占</w:t>
      </w:r>
      <w:r>
        <w:rPr>
          <w:rFonts w:ascii="仿宋" w:hAnsi="仿宋" w:eastAsia="仿宋" w:cs="仿宋"/>
          <w:sz w:val="32"/>
          <w:szCs w:val="32"/>
        </w:rPr>
        <w:t>64.87</w:t>
      </w:r>
      <w:r>
        <w:rPr>
          <w:rFonts w:hint="eastAsia" w:ascii="仿宋" w:hAnsi="仿宋" w:eastAsia="仿宋" w:cs="仿宋"/>
          <w:sz w:val="32"/>
          <w:szCs w:val="32"/>
        </w:rPr>
        <w:t>%；项目支出</w:t>
      </w:r>
      <w:r>
        <w:rPr>
          <w:rFonts w:ascii="仿宋" w:hAnsi="仿宋" w:eastAsia="仿宋" w:cs="仿宋"/>
          <w:sz w:val="32"/>
          <w:szCs w:val="32"/>
        </w:rPr>
        <w:t>95.27</w:t>
      </w:r>
      <w:r>
        <w:rPr>
          <w:rFonts w:hint="eastAsia" w:ascii="仿宋" w:hAnsi="仿宋" w:eastAsia="仿宋" w:cs="仿宋"/>
          <w:sz w:val="32"/>
          <w:szCs w:val="32"/>
        </w:rPr>
        <w:t>万元，占</w:t>
      </w:r>
      <w:r>
        <w:rPr>
          <w:rFonts w:ascii="仿宋" w:hAnsi="仿宋" w:eastAsia="仿宋" w:cs="仿宋"/>
          <w:sz w:val="32"/>
          <w:szCs w:val="32"/>
        </w:rPr>
        <w:t>35.13</w:t>
      </w:r>
      <w:r>
        <w:rPr>
          <w:rFonts w:hint="eastAsia" w:ascii="仿宋" w:hAnsi="仿宋" w:eastAsia="仿宋" w:cs="仿宋"/>
          <w:sz w:val="32"/>
          <w:szCs w:val="32"/>
        </w:rPr>
        <w:t>%；项目支出</w:t>
      </w:r>
      <w:r>
        <w:rPr>
          <w:rFonts w:hint="eastAsia" w:ascii="仿宋" w:hAnsi="仿宋" w:eastAsia="仿宋" w:cs="Arial"/>
          <w:sz w:val="32"/>
          <w:szCs w:val="32"/>
        </w:rPr>
        <w:t>主要用于文化市场专项整治支出、网吧监控平台维护开支、扫黄打非开支。</w:t>
      </w:r>
    </w:p>
    <w:p>
      <w:pPr>
        <w:pStyle w:val="33"/>
        <w:ind w:firstLine="640" w:firstLineChars="200"/>
        <w:rPr>
          <w:rFonts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2</w:t>
      </w:r>
      <w:r>
        <w:rPr>
          <w:rFonts w:hint="eastAsia" w:ascii="仿宋" w:hAnsi="仿宋" w:eastAsia="仿宋" w:cs="仿宋"/>
          <w:sz w:val="32"/>
          <w:szCs w:val="32"/>
        </w:rPr>
        <w:t>年末固定资产为6.59万元。</w:t>
      </w:r>
    </w:p>
    <w:p>
      <w:pPr>
        <w:ind w:firstLine="320" w:firstLineChars="100"/>
        <w:rPr>
          <w:rFonts w:ascii="仿宋_GB2312" w:hAnsi="Arial" w:eastAsia="仿宋_GB2312" w:cs="Arial"/>
          <w:b/>
          <w:bCs/>
          <w:color w:val="000000"/>
          <w:kern w:val="0"/>
          <w:sz w:val="32"/>
          <w:szCs w:val="32"/>
        </w:rPr>
      </w:pPr>
      <w:r>
        <w:rPr>
          <w:rFonts w:hint="eastAsia" w:ascii="等线" w:hAnsi="等线" w:eastAsia="等线" w:cs="黑体"/>
          <w:b/>
          <w:sz w:val="32"/>
          <w:szCs w:val="32"/>
        </w:rPr>
        <w:t>（四）</w:t>
      </w:r>
      <w:r>
        <w:rPr>
          <w:rFonts w:hint="eastAsia" w:ascii="仿宋_GB2312" w:hAnsi="Arial" w:eastAsia="仿宋_GB2312" w:cs="Arial"/>
          <w:b/>
          <w:bCs/>
          <w:color w:val="000000"/>
          <w:kern w:val="0"/>
          <w:sz w:val="32"/>
          <w:szCs w:val="32"/>
        </w:rPr>
        <w:t>财政财务管理制度及执行情况</w:t>
      </w:r>
    </w:p>
    <w:p>
      <w:pPr>
        <w:pStyle w:val="13"/>
        <w:ind w:left="0" w:leftChars="0" w:firstLine="640"/>
        <w:rPr>
          <w:rFonts w:ascii="仿宋" w:hAnsi="仿宋" w:eastAsia="仿宋" w:cs="仿宋"/>
          <w:sz w:val="32"/>
          <w:szCs w:val="32"/>
        </w:rPr>
      </w:pPr>
      <w:r>
        <w:rPr>
          <w:rFonts w:hint="eastAsia" w:ascii="仿宋" w:hAnsi="仿宋" w:eastAsia="仿宋" w:cs="仿宋"/>
          <w:sz w:val="32"/>
          <w:szCs w:val="32"/>
          <w:lang w:eastAsia="zh-CN"/>
        </w:rPr>
        <w:t>制定了</w:t>
      </w:r>
      <w:r>
        <w:rPr>
          <w:rFonts w:hint="eastAsia" w:ascii="仿宋" w:hAnsi="仿宋" w:eastAsia="仿宋" w:cs="仿宋"/>
          <w:sz w:val="32"/>
          <w:szCs w:val="32"/>
        </w:rPr>
        <w:t>《财务管理制度》，对资金使用范围，项目申报、审批、拨付等程序予以明确，成立了财务管理工作领导小组，按照“集体决策、先审批、后使用”的程序，对资金的使用进行全程监督，严格按照资金管理办法进行管理和使用。在项目的实施管理方面，对项目的目标任务、工作要求等作了明确的规定。</w:t>
      </w:r>
    </w:p>
    <w:p>
      <w:pPr>
        <w:pStyle w:val="13"/>
        <w:ind w:left="0" w:leftChars="0" w:firstLine="640"/>
        <w:rPr>
          <w:rFonts w:ascii="黑体" w:hAnsi="黑体" w:eastAsia="黑体"/>
          <w:sz w:val="32"/>
          <w:szCs w:val="32"/>
        </w:rPr>
      </w:pPr>
      <w:r>
        <w:rPr>
          <w:rFonts w:hint="eastAsia" w:ascii="黑体" w:hAnsi="黑体" w:eastAsia="黑体"/>
          <w:sz w:val="32"/>
          <w:szCs w:val="32"/>
        </w:rPr>
        <w:t>二、部门整体支出绩效状况</w:t>
      </w:r>
    </w:p>
    <w:p>
      <w:pPr>
        <w:pStyle w:val="11"/>
        <w:ind w:firstLine="640" w:firstLineChars="200"/>
        <w:rPr>
          <w:rFonts w:ascii="仿宋" w:hAnsi="仿宋" w:eastAsia="仿宋" w:cs="仿宋"/>
          <w:kern w:val="2"/>
          <w:sz w:val="32"/>
          <w:szCs w:val="32"/>
        </w:rPr>
      </w:pPr>
      <w:r>
        <w:rPr>
          <w:rFonts w:hint="eastAsia" w:ascii="仿宋" w:hAnsi="仿宋" w:eastAsia="仿宋" w:cs="仿宋"/>
          <w:kern w:val="2"/>
          <w:sz w:val="32"/>
          <w:szCs w:val="32"/>
        </w:rPr>
        <w:t>2022年，邵东市文化市场综合行政执法大队在市委、市政府的领导下、坚持“围绕中心、服务大局、依法行政、严明执法”的工作原则，坚持“一手抓繁荣，一手抓管理”的工作方针，积极探索，大胆创新，狠抓市场管理和队伍建设，建立健全的管理规章制度，努力打造市场新环境，牢牢掌握意识形态领域主动权，大队工作逐步实现从“行政监督管理”向“创新服务”的转型，切实维护了我市文化市场和意识形态领域的安全。</w:t>
      </w:r>
    </w:p>
    <w:p>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 w:hAnsi="仿宋" w:eastAsia="仿宋" w:cs="仿宋"/>
          <w:kern w:val="0"/>
          <w:sz w:val="32"/>
          <w:szCs w:val="32"/>
        </w:rPr>
      </w:pPr>
      <w:r>
        <w:rPr>
          <w:rFonts w:hint="eastAsia" w:ascii="仿宋" w:hAnsi="仿宋" w:eastAsia="仿宋" w:cs="仿宋"/>
          <w:b/>
          <w:kern w:val="0"/>
          <w:sz w:val="32"/>
          <w:szCs w:val="32"/>
        </w:rPr>
        <w:t>一是加强网吧管理，净化网络环境。</w:t>
      </w:r>
      <w:r>
        <w:rPr>
          <w:rFonts w:hint="eastAsia" w:ascii="仿宋" w:hAnsi="仿宋" w:eastAsia="仿宋" w:cs="仿宋"/>
          <w:kern w:val="0"/>
          <w:sz w:val="32"/>
          <w:szCs w:val="32"/>
        </w:rPr>
        <w:t>认真贯彻落实《中华人民共和国未成年人保护法》和《互联网上网服务营业场所管理条例》等法律法规要求，认真开展2022年邵东市“护航邵蕾共筑未来”未成年人关爱保护专项整治行动。加强重点场所、重点时段的检查频次，采取突击检查与日常检查相结合的方式，对校园周边、城区主干道等重点地域的网吧进行巡查，在中午、下午中小学校学生放学时段，节假日尤其是暑假等重点时段对网吧进行错时巡查，并结合“文网卫士”监管系统，严查未成年人进入上网服务营业场所。对接纳未成年人上网、未实名登记违规的网吧，一律从严从重处罚。采取分级管理模式，结合市民举报投诉以及日常检查情况，将平时违规次数多、落实实名登记管理不到位的互联网上网服务营业场所，一律视为违规风险大的场所，列入重点整治对象，实行高频率检查和错时检查。一年来，共检查网吧1630家次，出动执法检查人员3025余（人）次，限期整改19家。真正做到天天查网吧，天天有记录，有效防范了未成年人进入网吧经营场所的情况发生。</w:t>
      </w:r>
    </w:p>
    <w:p>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kern w:val="0"/>
          <w:sz w:val="32"/>
          <w:szCs w:val="32"/>
        </w:rPr>
        <w:t>二是规范歌舞娱乐场所，维持经营秩序。</w:t>
      </w:r>
      <w:r>
        <w:rPr>
          <w:rFonts w:hint="eastAsia" w:ascii="仿宋" w:hAnsi="仿宋" w:eastAsia="仿宋" w:cs="仿宋"/>
          <w:kern w:val="0"/>
          <w:sz w:val="32"/>
          <w:szCs w:val="32"/>
        </w:rPr>
        <w:t>结合全市安全生产中心工作，开展专项整治活动。按照《中华人民共和国未成年人保护法</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娱乐场所管理条例》结合邵东市文旅广体系统及行业自建房安全隐患专项整治暨百日攻坚行动方案等相关规定，依法对歌舞娱乐场所接纳未成年人进入、酒吧未经审批进行演出特别是</w:t>
      </w:r>
      <w:r>
        <w:rPr>
          <w:rFonts w:hint="eastAsia" w:ascii="仿宋" w:hAnsi="仿宋" w:eastAsia="仿宋" w:cs="仿宋"/>
          <w:kern w:val="0"/>
          <w:sz w:val="32"/>
          <w:szCs w:val="32"/>
          <w:lang w:eastAsia="zh-CN"/>
        </w:rPr>
        <w:t>未成年人</w:t>
      </w:r>
      <w:r>
        <w:rPr>
          <w:rFonts w:hint="eastAsia" w:ascii="仿宋" w:hAnsi="仿宋" w:eastAsia="仿宋" w:cs="仿宋"/>
          <w:kern w:val="0"/>
          <w:sz w:val="32"/>
          <w:szCs w:val="32"/>
        </w:rPr>
        <w:t>参与演出的违法行为开展专项整治。对检查中发现管理不到位的娱乐场所提出意见责令整改，情节严重的给予停业整顿。认真开展娱乐场所安全生产隐患排查</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督促歌舞娱乐场所严格控制噪音</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严格落实未成年人强制上报制度和从业人员入职查询制度，牢固树立守法经营观念，切实落实对消费人员身份信息的登记查询，把好进入关，坚决杜绝未成年人进入歌舞娱乐场所工作以及消费娱乐。严查陪侍服务、消防设施不达标等违规经营行为。在检查中，发现歌舞娱乐场所存在陪侍行为的，及时向公安和市“扫黑除恶”办上报情况。在公安等部门的大力配合整治下，歌厅陪侍现象已有效遏制。一年来依法取缔关闭场所4家、警告10家、限期整改12家，并要求其立即整改，消除安全隐患。通过专项整治行动，使经营业主和从业人员掌握了安全生产经营知识，强化了安全意识，为构建和谐平安的文化市场奠定了良好的基础。</w:t>
      </w:r>
    </w:p>
    <w:p>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 w:hAnsi="仿宋" w:eastAsia="仿宋" w:cs="仿宋"/>
          <w:kern w:val="0"/>
          <w:sz w:val="32"/>
          <w:szCs w:val="32"/>
        </w:rPr>
      </w:pPr>
      <w:r>
        <w:rPr>
          <w:rFonts w:hint="eastAsia" w:ascii="仿宋" w:hAnsi="仿宋" w:eastAsia="仿宋" w:cs="仿宋"/>
          <w:b/>
          <w:kern w:val="0"/>
          <w:sz w:val="32"/>
          <w:szCs w:val="32"/>
        </w:rPr>
        <w:t>三是加强市场监管，持续推进扫黄打非专项行动。</w:t>
      </w:r>
      <w:r>
        <w:rPr>
          <w:rFonts w:hint="eastAsia" w:ascii="仿宋" w:hAnsi="仿宋" w:eastAsia="仿宋" w:cs="仿宋"/>
          <w:kern w:val="0"/>
          <w:sz w:val="32"/>
          <w:szCs w:val="32"/>
        </w:rPr>
        <w:t>严格按照“扫黄打非”办两大行动要求加强行动监管。在扫黄打非“新风”行动中，文化执法大队以“净网2022”“秋风2022”“护苗2022”等专项行动为契机，严厉打击网络淫秽色情信息，非法有害少儿出版物及信息，新闻假记者，侵权盗版等行为。在扫黄打非“正道”行动中，大队以开展“清源2022”“固边2022”等专项行动为平台，聚焦网上网下，严厉打击涉政治性、民族宗教类有害信息和出版物，切实维护政治安全、意识形态安全和文化安全。查缴非法出版物654余册，对违规行为及时制止并要求改正12家，停业整改3家，对经营业主进行了批评教育，宣讲了相关的</w:t>
      </w:r>
      <w:r>
        <w:rPr>
          <w:rFonts w:hint="eastAsia" w:ascii="仿宋" w:hAnsi="仿宋" w:eastAsia="仿宋" w:cs="仿宋"/>
          <w:kern w:val="0"/>
          <w:sz w:val="32"/>
          <w:szCs w:val="32"/>
          <w:lang w:eastAsia="zh-CN"/>
        </w:rPr>
        <w:t>法律法规</w:t>
      </w:r>
      <w:r>
        <w:rPr>
          <w:rFonts w:hint="eastAsia" w:ascii="仿宋" w:hAnsi="仿宋" w:eastAsia="仿宋" w:cs="仿宋"/>
          <w:kern w:val="0"/>
          <w:sz w:val="32"/>
          <w:szCs w:val="32"/>
        </w:rPr>
        <w:t>，督促其依法经营。查处8家书店违规销售出版物和销售非法出版物，对其中6家网络销售出版物不能提供进销货手续和2家实体书店进行了行政处罚，查处7家印刷企业的违规印刷经营行为进行了行政处罚。</w:t>
      </w:r>
    </w:p>
    <w:p>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 w:hAnsi="仿宋" w:eastAsia="仿宋" w:cs="仿宋"/>
          <w:kern w:val="0"/>
          <w:sz w:val="32"/>
          <w:szCs w:val="32"/>
        </w:rPr>
      </w:pPr>
      <w:r>
        <w:rPr>
          <w:rFonts w:hint="eastAsia" w:ascii="仿宋" w:hAnsi="仿宋" w:eastAsia="仿宋" w:cs="仿宋"/>
          <w:b/>
          <w:kern w:val="0"/>
          <w:sz w:val="32"/>
          <w:szCs w:val="32"/>
        </w:rPr>
        <w:t>四是聚焦新事物，网络直播监管有突破。</w:t>
      </w:r>
      <w:r>
        <w:rPr>
          <w:rFonts w:hint="eastAsia" w:ascii="仿宋" w:hAnsi="仿宋" w:eastAsia="仿宋" w:cs="仿宋"/>
          <w:kern w:val="0"/>
          <w:sz w:val="32"/>
          <w:szCs w:val="32"/>
        </w:rPr>
        <w:t>面对网络直播在网上日渐猖獗，大队一方面安排工作人员</w:t>
      </w:r>
      <w:r>
        <w:rPr>
          <w:rFonts w:hint="eastAsia" w:ascii="仿宋" w:hAnsi="仿宋" w:eastAsia="仿宋" w:cs="仿宋"/>
          <w:kern w:val="0"/>
          <w:sz w:val="32"/>
          <w:szCs w:val="32"/>
          <w:lang w:eastAsia="zh-CN"/>
        </w:rPr>
        <w:t>加大</w:t>
      </w:r>
      <w:r>
        <w:rPr>
          <w:rFonts w:hint="eastAsia" w:ascii="仿宋" w:hAnsi="仿宋" w:eastAsia="仿宋" w:cs="仿宋"/>
          <w:kern w:val="0"/>
          <w:sz w:val="32"/>
          <w:szCs w:val="32"/>
        </w:rPr>
        <w:t>网络监管执法业务学习力度，一方面会同邵东市公安局网监大队联合执法。共进行网络巡查60余次。</w:t>
      </w:r>
    </w:p>
    <w:p>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 w:hAnsi="仿宋" w:eastAsia="仿宋" w:cs="仿宋"/>
          <w:kern w:val="0"/>
          <w:sz w:val="32"/>
          <w:szCs w:val="32"/>
        </w:rPr>
      </w:pPr>
      <w:r>
        <w:rPr>
          <w:rFonts w:hint="eastAsia" w:ascii="仿宋" w:hAnsi="仿宋" w:eastAsia="仿宋" w:cs="仿宋"/>
          <w:b/>
          <w:kern w:val="0"/>
          <w:sz w:val="32"/>
          <w:szCs w:val="32"/>
        </w:rPr>
        <w:t>五是为二十大保驾护航，开展亮剑专项执法检查行动。</w:t>
      </w:r>
      <w:r>
        <w:rPr>
          <w:rFonts w:hint="eastAsia" w:ascii="仿宋" w:hAnsi="仿宋" w:eastAsia="仿宋" w:cs="仿宋"/>
          <w:kern w:val="0"/>
          <w:sz w:val="32"/>
          <w:szCs w:val="32"/>
        </w:rPr>
        <w:t>为切实保障党的二十大召开期间全市文化市场安全稳定，大队全力筑牢疫情防控和安全生产防护屏障，预防和消除各类安全隐患，遏制含有禁止内容的文化产品及服务进入文化市场，确保党的二十大召开期间我市文化市场健康繁荣、安全有序。此次专项行动以落实文旅市场安全生产和疫情防控工作为重点，采取“不打招呼、直奔现场”的形式，重点加强了对影院、歌舞娱乐场所、网吧、行业人员密集场所的疫情防控和安全生产等措施落实情况的督查督导。对在检查中发现的个别经营场所存在的消费者未佩戴口罩、未按要求落实48小时核酸检测等问题，执法人员当即责令该场所停业整顿三天，整改完成后方可营业，并督促经营场所严格落实疫情防控主体责任，强化场所内部巡查，确保疫情防控各项措施落到实处。</w:t>
      </w:r>
    </w:p>
    <w:p>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 w:hAnsi="仿宋" w:eastAsia="仿宋" w:cs="仿宋"/>
          <w:kern w:val="0"/>
          <w:sz w:val="32"/>
          <w:szCs w:val="32"/>
        </w:rPr>
      </w:pPr>
      <w:r>
        <w:rPr>
          <w:rFonts w:hint="eastAsia" w:ascii="仿宋" w:hAnsi="仿宋" w:eastAsia="仿宋" w:cs="仿宋"/>
          <w:b/>
          <w:kern w:val="0"/>
          <w:sz w:val="32"/>
          <w:szCs w:val="32"/>
        </w:rPr>
        <w:t>六是案件办理情况。</w:t>
      </w:r>
      <w:r>
        <w:rPr>
          <w:rFonts w:hint="eastAsia" w:ascii="仿宋" w:hAnsi="仿宋" w:eastAsia="仿宋" w:cs="仿宋"/>
          <w:kern w:val="0"/>
          <w:sz w:val="32"/>
          <w:szCs w:val="32"/>
        </w:rPr>
        <w:t>全年共办理案件43件，罚款46万余元。其中互联网上网服务营业场所案件19起，主要涉及接纳未成年人、营业期间违规封堵消防通道、未悬挂《网络文化经营许可证》等；印刷书刊经营场所案件16起，主要涉及网络销售非法出版物、违法安全生产法、未经许可擅自从事包装装潢印刷经营活动、生产经营场所占用疏散通道、未能提供出版物发行进销货清单等；娱乐经营场所案件7起，主要涉及接纳未成年人进入、未经许可擅自从事营业性演出经营活动、虚报瞒报漏报票房、营业期间锁闭疏散安全通道、不符合经营条件仍经营体育项目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ascii="黑体" w:hAnsi="黑体" w:eastAsia="黑体"/>
          <w:sz w:val="32"/>
          <w:szCs w:val="32"/>
        </w:rPr>
      </w:pPr>
      <w:r>
        <w:rPr>
          <w:rFonts w:hint="eastAsia" w:ascii="黑体" w:hAnsi="黑体" w:eastAsia="黑体"/>
          <w:sz w:val="32"/>
          <w:szCs w:val="32"/>
        </w:rPr>
        <w:t>三、存在的问题及原因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150"/>
        <w:rPr>
          <w:rFonts w:ascii="仿宋_GB2312" w:hAnsi="仿宋_GB2312" w:eastAsia="仿宋_GB2312" w:cs="仿宋_GB2312"/>
          <w:sz w:val="32"/>
          <w:szCs w:val="32"/>
        </w:rPr>
      </w:pPr>
      <w:r>
        <w:rPr>
          <w:rFonts w:hint="eastAsia" w:ascii="仿宋_GB2312" w:hAnsi="Arial" w:eastAsia="仿宋_GB2312" w:cs="Arial"/>
          <w:color w:val="000000"/>
          <w:sz w:val="32"/>
          <w:szCs w:val="32"/>
        </w:rPr>
        <w:t>（一）</w:t>
      </w:r>
      <w:r>
        <w:rPr>
          <w:rFonts w:hint="eastAsia" w:ascii="仿宋_GB2312" w:hAnsi="仿宋_GB2312" w:eastAsia="仿宋_GB2312" w:cs="仿宋_GB2312"/>
          <w:sz w:val="32"/>
          <w:szCs w:val="32"/>
        </w:rPr>
        <w:t>单位面临机构改革，执法人员编制太少，行政执法难度大，执法人员老化、短缺，断代的现象比较严重，网络技术监管人才空白。</w:t>
      </w:r>
    </w:p>
    <w:p>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（二）由于单位人手少，无法安排专职会计、出纳，财务人员是兼职的，监督管理机制有待加强。财务人员业务水平不太专业，有待提高。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14" w:firstLineChars="192"/>
        <w:rPr>
          <w:rFonts w:ascii="仿宋_GB2312" w:hAnsi="Arial" w:eastAsia="仿宋_GB2312" w:cs="Arial"/>
          <w:color w:val="000000"/>
          <w:sz w:val="32"/>
          <w:szCs w:val="32"/>
        </w:rPr>
      </w:pPr>
      <w:r>
        <w:rPr>
          <w:rFonts w:hint="eastAsia" w:ascii="仿宋_GB2312" w:hAnsi="Arial" w:eastAsia="仿宋_GB2312" w:cs="Arial"/>
          <w:color w:val="000000"/>
          <w:sz w:val="32"/>
          <w:szCs w:val="32"/>
        </w:rPr>
        <w:t>（三）会计基础工作还需不断完善。</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14" w:firstLineChars="192"/>
        <w:rPr>
          <w:rFonts w:ascii="仿宋_GB2312" w:eastAsia="仿宋_GB2312"/>
          <w:sz w:val="32"/>
          <w:szCs w:val="32"/>
        </w:rPr>
      </w:pPr>
      <w:r>
        <w:rPr>
          <w:rFonts w:hint="eastAsia" w:ascii="仿宋_GB2312" w:hAnsi="Arial" w:eastAsia="仿宋_GB2312" w:cs="Arial"/>
          <w:color w:val="000000"/>
          <w:sz w:val="32"/>
          <w:szCs w:val="32"/>
        </w:rPr>
        <w:t>（四）</w:t>
      </w:r>
      <w:r>
        <w:rPr>
          <w:rFonts w:hint="eastAsia" w:ascii="仿宋_GB2312" w:eastAsia="仿宋_GB2312"/>
          <w:sz w:val="32"/>
          <w:szCs w:val="32"/>
        </w:rPr>
        <w:t>在文化市场整治过程中，由于公车改革，我单位原有的公务用车取消，由于文化市场点多面广，在实际市场执法过程中，公务平台调车保证不了用车需求，文化执法专项经费差旅开支大幅度增强。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150"/>
        <w:rPr>
          <w:rFonts w:ascii="仿宋_GB2312" w:eastAsia="仿宋_GB2312"/>
          <w:sz w:val="32"/>
          <w:szCs w:val="32"/>
        </w:rPr>
      </w:pPr>
      <w:r>
        <w:rPr>
          <w:rFonts w:hint="eastAsia" w:ascii="仿宋_GB2312" w:eastAsia="仿宋_GB2312"/>
          <w:sz w:val="32"/>
          <w:szCs w:val="32"/>
        </w:rPr>
        <w:t>（五）</w:t>
      </w:r>
      <w:r>
        <w:rPr>
          <w:rFonts w:hint="eastAsia" w:ascii="仿宋_GB2312" w:hAnsi="仿宋_GB2312" w:eastAsia="仿宋_GB2312" w:cs="仿宋_GB2312"/>
          <w:sz w:val="32"/>
          <w:szCs w:val="32"/>
        </w:rPr>
        <w:t>按照相关文件要求，不能以罚代管，加之乡镇属地管理，很难完成所定的罚没任务。</w:t>
      </w:r>
    </w:p>
    <w:p>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640" w:firstLineChars="200"/>
        <w:jc w:val="both"/>
        <w:rPr>
          <w:rFonts w:ascii="仿宋_GB2312" w:eastAsia="仿宋_GB2312"/>
          <w:sz w:val="32"/>
          <w:szCs w:val="32"/>
        </w:rPr>
      </w:pPr>
      <w:r>
        <w:rPr>
          <w:rFonts w:hint="eastAsia" w:ascii="仿宋_GB2312" w:eastAsia="仿宋_GB2312"/>
          <w:sz w:val="32"/>
          <w:szCs w:val="32"/>
        </w:rPr>
        <w:t>（六）我单位在职人员17人，公用经费少，但驻村扶贫要有专门人员负责扶贫，占用了大量人力物力，开支巨大。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14" w:firstLineChars="192"/>
        <w:rPr>
          <w:rFonts w:ascii="黑体" w:hAnsi="黑体" w:eastAsia="黑体"/>
          <w:sz w:val="32"/>
          <w:szCs w:val="32"/>
        </w:rPr>
      </w:pPr>
      <w:r>
        <w:rPr>
          <w:rFonts w:hint="eastAsia" w:ascii="黑体" w:hAnsi="黑体" w:eastAsia="黑体"/>
          <w:sz w:val="32"/>
          <w:szCs w:val="32"/>
        </w:rPr>
        <w:t>四、提高财政资金绩效的措施与建议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1" w:firstLineChars="100"/>
        <w:rPr>
          <w:rFonts w:ascii="仿宋" w:hAnsi="仿宋" w:eastAsia="仿宋" w:cs="仿宋"/>
          <w:b/>
          <w:bCs/>
          <w:sz w:val="32"/>
          <w:szCs w:val="32"/>
        </w:rPr>
      </w:pPr>
      <w:r>
        <w:rPr>
          <w:rFonts w:hint="eastAsia" w:ascii="仿宋" w:hAnsi="仿宋" w:eastAsia="仿宋" w:cs="仿宋"/>
          <w:b/>
          <w:bCs/>
          <w:sz w:val="32"/>
          <w:szCs w:val="32"/>
        </w:rPr>
        <w:t>（一）措施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rPr>
          <w:rFonts w:ascii="仿宋" w:hAnsi="仿宋" w:eastAsia="仿宋"/>
          <w:sz w:val="32"/>
          <w:szCs w:val="32"/>
        </w:rPr>
      </w:pPr>
      <w:r>
        <w:rPr>
          <w:rFonts w:hint="eastAsia" w:ascii="仿宋" w:hAnsi="仿宋" w:eastAsia="仿宋" w:cs="仿宋"/>
          <w:sz w:val="32"/>
          <w:szCs w:val="32"/>
        </w:rPr>
        <w:t>1、</w:t>
      </w:r>
      <w:r>
        <w:rPr>
          <w:rFonts w:hint="eastAsia" w:ascii="仿宋" w:hAnsi="仿宋" w:eastAsia="仿宋"/>
          <w:sz w:val="32"/>
          <w:szCs w:val="32"/>
        </w:rPr>
        <w:t>建立健全各项行政执法管理制度，进一步完善机构内部管理机制，明确职责，提升执法效能。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仿宋"/>
          <w:sz w:val="32"/>
          <w:szCs w:val="32"/>
        </w:rPr>
        <w:t>加强领导，增强思想意识，努力强化队伍建设，提高队员整体素质。认真学习并熟练掌握文化市场的</w:t>
      </w:r>
      <w:r>
        <w:rPr>
          <w:rFonts w:hint="eastAsia" w:ascii="仿宋" w:hAnsi="仿宋" w:eastAsia="仿宋" w:cs="仿宋"/>
          <w:sz w:val="32"/>
          <w:szCs w:val="32"/>
          <w:lang w:eastAsia="zh-CN"/>
        </w:rPr>
        <w:t>法律法规</w:t>
      </w:r>
      <w:r>
        <w:rPr>
          <w:rFonts w:hint="eastAsia" w:ascii="仿宋" w:hAnsi="仿宋" w:eastAsia="仿宋" w:cs="仿宋"/>
          <w:sz w:val="32"/>
          <w:szCs w:val="32"/>
        </w:rPr>
        <w:t>、条例及行政许可法，严格按照执法程序办案。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rPr>
          <w:rFonts w:ascii="仿宋" w:hAnsi="仿宋" w:eastAsia="仿宋"/>
          <w:sz w:val="32"/>
          <w:szCs w:val="32"/>
        </w:rPr>
      </w:pPr>
      <w:r>
        <w:rPr>
          <w:rFonts w:hint="eastAsia" w:ascii="仿宋" w:hAnsi="仿宋" w:eastAsia="仿宋"/>
          <w:sz w:val="32"/>
          <w:szCs w:val="32"/>
        </w:rPr>
        <w:t>3、服务市场发展，打造企业典型，进一步提升行业转型升级示范效应。严格市场监管，实现办案提量增质，进一步确保行业总体规范稳定安全健康发展。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rPr>
          <w:rFonts w:ascii="仿宋" w:hAnsi="仿宋" w:eastAsia="仿宋"/>
          <w:sz w:val="32"/>
          <w:szCs w:val="32"/>
        </w:rPr>
      </w:pPr>
      <w:r>
        <w:rPr>
          <w:rFonts w:hint="eastAsia" w:ascii="仿宋" w:hAnsi="仿宋" w:eastAsia="仿宋"/>
          <w:sz w:val="32"/>
          <w:szCs w:val="32"/>
        </w:rPr>
        <w:t>4、提高政治站位，深入开展扫黄打非工作持续高压态势，绷紧“扫黄打非”弦，加大网络书店违法经营的查处力度，巩固扫黄打非成果，进一步完善工作机制。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36" w:firstLineChars="199"/>
        <w:rPr>
          <w:rFonts w:ascii="仿宋" w:hAnsi="仿宋" w:eastAsia="仿宋" w:cs="仿宋"/>
          <w:sz w:val="32"/>
          <w:szCs w:val="32"/>
        </w:rPr>
      </w:pPr>
      <w:r>
        <w:rPr>
          <w:rFonts w:hint="eastAsia" w:ascii="仿宋" w:hAnsi="仿宋" w:eastAsia="仿宋" w:cs="仿宋"/>
          <w:sz w:val="32"/>
          <w:szCs w:val="32"/>
        </w:rPr>
        <w:t>5、加大公共娱乐场所的安全检查，及时排除安全隐患，严厉查处违规接纳未成年人进入网吧和歌舞娱乐场所。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1" w:firstLineChars="100"/>
        <w:rPr>
          <w:rFonts w:ascii="仿宋_GB2312" w:eastAsia="仿宋_GB2312"/>
          <w:b/>
          <w:bCs/>
          <w:sz w:val="32"/>
          <w:szCs w:val="32"/>
        </w:rPr>
      </w:pPr>
      <w:r>
        <w:rPr>
          <w:rFonts w:hint="eastAsia" w:ascii="仿宋_GB2312" w:eastAsia="仿宋_GB2312"/>
          <w:b/>
          <w:bCs/>
          <w:sz w:val="32"/>
          <w:szCs w:val="32"/>
        </w:rPr>
        <w:t>（二）建议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14" w:firstLineChars="192"/>
        <w:rPr>
          <w:rFonts w:ascii="仿宋_GB2312" w:eastAsia="仿宋_GB2312"/>
          <w:sz w:val="32"/>
          <w:szCs w:val="32"/>
        </w:rPr>
      </w:pPr>
      <w:r>
        <w:rPr>
          <w:rFonts w:hint="eastAsia" w:ascii="仿宋_GB2312" w:eastAsia="仿宋_GB2312"/>
          <w:sz w:val="32"/>
          <w:szCs w:val="32"/>
        </w:rPr>
        <w:t>1、完善预算管理制度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14" w:firstLineChars="192"/>
        <w:rPr>
          <w:rFonts w:ascii="仿宋_GB2312" w:eastAsia="仿宋_GB2312"/>
          <w:sz w:val="32"/>
          <w:szCs w:val="32"/>
        </w:rPr>
      </w:pPr>
      <w:r>
        <w:rPr>
          <w:rFonts w:hint="eastAsia" w:ascii="仿宋_GB2312" w:eastAsia="仿宋_GB2312"/>
          <w:sz w:val="32"/>
          <w:szCs w:val="32"/>
        </w:rPr>
        <w:t>财政资金预算绩效管理是预算管理和绩效评价的结合，在目前财政资金使用单位绩效评价机制普遍不健全的情况下，要想实现预算绩效管理制度，首先要完善绩效评价机制。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14" w:firstLineChars="192"/>
        <w:rPr>
          <w:rFonts w:ascii="仿宋_GB2312" w:eastAsia="仿宋_GB2312"/>
          <w:sz w:val="32"/>
          <w:szCs w:val="32"/>
        </w:rPr>
      </w:pPr>
      <w:r>
        <w:rPr>
          <w:rFonts w:hint="eastAsia" w:ascii="仿宋_GB2312" w:eastAsia="仿宋_GB2312"/>
          <w:sz w:val="32"/>
          <w:szCs w:val="32"/>
        </w:rPr>
        <w:t>2、引进人才、制定科学制度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14" w:firstLineChars="192"/>
      </w:pPr>
      <w:r>
        <w:rPr>
          <w:rFonts w:hint="eastAsia" w:ascii="仿宋_GB2312" w:eastAsia="仿宋_GB2312"/>
          <w:sz w:val="32"/>
          <w:szCs w:val="32"/>
        </w:rPr>
        <w:t>要着重对预算管理和绩效管理人才的引进，重视培养与培训，增强业务技能。在制度和流程设计上，多参考成功经验，设计一套科学</w:t>
      </w:r>
      <w:r>
        <w:rPr>
          <w:rFonts w:hint="eastAsia" w:ascii="仿宋_GB2312" w:eastAsia="仿宋_GB2312"/>
          <w:sz w:val="32"/>
          <w:szCs w:val="32"/>
          <w:lang w:eastAsia="zh-CN"/>
        </w:rPr>
        <w:t>地</w:t>
      </w:r>
      <w:r>
        <w:rPr>
          <w:rFonts w:hint="eastAsia" w:ascii="仿宋_GB2312" w:eastAsia="仿宋_GB2312"/>
          <w:sz w:val="32"/>
          <w:szCs w:val="32"/>
        </w:rPr>
        <w:t>可执行的制度体系。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14" w:firstLineChars="192"/>
        <w:rPr>
          <w:rFonts w:ascii="仿宋_GB2312"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MDFiYWUxNGFjMzRiNmZmMDhlMjllZmUxNmE2MWEifQ=="/>
  </w:docVars>
  <w:rsids>
    <w:rsidRoot w:val="00E41E0B"/>
    <w:rsid w:val="00057E45"/>
    <w:rsid w:val="000809D6"/>
    <w:rsid w:val="00086CF8"/>
    <w:rsid w:val="000C215A"/>
    <w:rsid w:val="00142250"/>
    <w:rsid w:val="001719FB"/>
    <w:rsid w:val="001C24EF"/>
    <w:rsid w:val="001E7C94"/>
    <w:rsid w:val="002B0B28"/>
    <w:rsid w:val="002B19A3"/>
    <w:rsid w:val="0030190B"/>
    <w:rsid w:val="0031143C"/>
    <w:rsid w:val="00315FA7"/>
    <w:rsid w:val="00336255"/>
    <w:rsid w:val="00372C90"/>
    <w:rsid w:val="00383434"/>
    <w:rsid w:val="00384FA5"/>
    <w:rsid w:val="003B3579"/>
    <w:rsid w:val="003B5880"/>
    <w:rsid w:val="003C0F6A"/>
    <w:rsid w:val="003C42C8"/>
    <w:rsid w:val="003D71FD"/>
    <w:rsid w:val="00432557"/>
    <w:rsid w:val="0044738E"/>
    <w:rsid w:val="0046192F"/>
    <w:rsid w:val="004E2D70"/>
    <w:rsid w:val="00514D37"/>
    <w:rsid w:val="005542F3"/>
    <w:rsid w:val="005953DC"/>
    <w:rsid w:val="005A7F29"/>
    <w:rsid w:val="005D54D6"/>
    <w:rsid w:val="005F0628"/>
    <w:rsid w:val="006326AF"/>
    <w:rsid w:val="0064491B"/>
    <w:rsid w:val="006E026A"/>
    <w:rsid w:val="006E5043"/>
    <w:rsid w:val="00721CD5"/>
    <w:rsid w:val="00724F92"/>
    <w:rsid w:val="0076545D"/>
    <w:rsid w:val="00766488"/>
    <w:rsid w:val="007C049B"/>
    <w:rsid w:val="008226E2"/>
    <w:rsid w:val="00822F3C"/>
    <w:rsid w:val="00827D9F"/>
    <w:rsid w:val="008304F4"/>
    <w:rsid w:val="0087103D"/>
    <w:rsid w:val="0088342F"/>
    <w:rsid w:val="00897D2C"/>
    <w:rsid w:val="008A7462"/>
    <w:rsid w:val="008C0A7A"/>
    <w:rsid w:val="008D1479"/>
    <w:rsid w:val="0097367F"/>
    <w:rsid w:val="009F102B"/>
    <w:rsid w:val="00A7566F"/>
    <w:rsid w:val="00AE2290"/>
    <w:rsid w:val="00BB1B16"/>
    <w:rsid w:val="00BD11D0"/>
    <w:rsid w:val="00C1286F"/>
    <w:rsid w:val="00C35774"/>
    <w:rsid w:val="00C3669F"/>
    <w:rsid w:val="00C45648"/>
    <w:rsid w:val="00C61871"/>
    <w:rsid w:val="00CB6423"/>
    <w:rsid w:val="00CC5A6D"/>
    <w:rsid w:val="00CE5CCE"/>
    <w:rsid w:val="00D2033B"/>
    <w:rsid w:val="00D42128"/>
    <w:rsid w:val="00D470C3"/>
    <w:rsid w:val="00D707C5"/>
    <w:rsid w:val="00D954BE"/>
    <w:rsid w:val="00DA1966"/>
    <w:rsid w:val="00E036DE"/>
    <w:rsid w:val="00E0402A"/>
    <w:rsid w:val="00E04EA2"/>
    <w:rsid w:val="00E2453F"/>
    <w:rsid w:val="00E25AB5"/>
    <w:rsid w:val="00E338CD"/>
    <w:rsid w:val="00E40927"/>
    <w:rsid w:val="00E41E0B"/>
    <w:rsid w:val="00EC08DD"/>
    <w:rsid w:val="00EF0603"/>
    <w:rsid w:val="00F01360"/>
    <w:rsid w:val="00F154AD"/>
    <w:rsid w:val="00F841FD"/>
    <w:rsid w:val="00F95E5C"/>
    <w:rsid w:val="00FA3FAA"/>
    <w:rsid w:val="00FA7119"/>
    <w:rsid w:val="00FF279F"/>
    <w:rsid w:val="2EF443EE"/>
    <w:rsid w:val="361C2353"/>
    <w:rsid w:val="3977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9"/>
    <w:semiHidden/>
    <w:unhideWhenUsed/>
    <w:qFormat/>
    <w:uiPriority w:val="0"/>
    <w:pPr>
      <w:widowControl/>
      <w:spacing w:before="100" w:beforeAutospacing="1" w:after="100" w:afterAutospacing="1"/>
      <w:jc w:val="left"/>
      <w:outlineLvl w:val="1"/>
    </w:pPr>
    <w:rPr>
      <w:rFonts w:ascii="宋体" w:hAnsi="宋体"/>
      <w:b/>
      <w:bCs/>
      <w:kern w:val="0"/>
      <w:sz w:val="24"/>
    </w:rPr>
  </w:style>
  <w:style w:type="paragraph" w:styleId="4">
    <w:name w:val="heading 3"/>
    <w:basedOn w:val="1"/>
    <w:next w:val="1"/>
    <w:link w:val="20"/>
    <w:semiHidden/>
    <w:unhideWhenUsed/>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25"/>
    <w:semiHidden/>
    <w:unhideWhenUsed/>
    <w:qFormat/>
    <w:uiPriority w:val="99"/>
    <w:pPr>
      <w:ind w:left="420"/>
    </w:pPr>
    <w:rPr>
      <w:rFonts w:ascii="楷体_GB2312" w:eastAsia="楷体_GB2312"/>
      <w:sz w:val="32"/>
    </w:rPr>
  </w:style>
  <w:style w:type="paragraph" w:styleId="6">
    <w:name w:val="Date"/>
    <w:basedOn w:val="1"/>
    <w:next w:val="1"/>
    <w:link w:val="27"/>
    <w:semiHidden/>
    <w:unhideWhenUsed/>
    <w:qFormat/>
    <w:uiPriority w:val="99"/>
    <w:pPr>
      <w:ind w:left="100" w:leftChars="2500"/>
    </w:pPr>
  </w:style>
  <w:style w:type="paragraph" w:styleId="7">
    <w:name w:val="Balloon Text"/>
    <w:basedOn w:val="1"/>
    <w:link w:val="29"/>
    <w:semiHidden/>
    <w:unhideWhenUsed/>
    <w:qFormat/>
    <w:uiPriority w:val="99"/>
    <w:rPr>
      <w:sz w:val="18"/>
      <w:szCs w:val="18"/>
    </w:rPr>
  </w:style>
  <w:style w:type="paragraph" w:styleId="8">
    <w:name w:val="footer"/>
    <w:basedOn w:val="1"/>
    <w:link w:val="24"/>
    <w:semiHidden/>
    <w:unhideWhenUsed/>
    <w:qFormat/>
    <w:uiPriority w:val="99"/>
    <w:pPr>
      <w:tabs>
        <w:tab w:val="center" w:pos="4153"/>
        <w:tab w:val="right" w:pos="8306"/>
      </w:tabs>
      <w:snapToGrid w:val="0"/>
      <w:jc w:val="left"/>
    </w:pPr>
    <w:rPr>
      <w:sz w:val="18"/>
      <w:szCs w:val="18"/>
    </w:rPr>
  </w:style>
  <w:style w:type="paragraph" w:styleId="9">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6"/>
    <w:qFormat/>
    <w:uiPriority w:val="99"/>
    <w:pPr>
      <w:ind w:firstLine="200" w:firstLineChars="200"/>
      <w:jc w:val="left"/>
      <w:outlineLvl w:val="2"/>
    </w:pPr>
    <w:rPr>
      <w:rFonts w:ascii="Cambria" w:hAnsi="Cambria" w:eastAsia="黑体"/>
      <w:bCs/>
      <w:kern w:val="28"/>
      <w:sz w:val="28"/>
      <w:szCs w:val="32"/>
    </w:rPr>
  </w:style>
  <w:style w:type="paragraph" w:styleId="11">
    <w:name w:val="HTML Preformatted"/>
    <w:basedOn w:val="1"/>
    <w:link w:val="21"/>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2"/>
    <w:basedOn w:val="5"/>
    <w:link w:val="28"/>
    <w:semiHidden/>
    <w:unhideWhenUsed/>
    <w:qFormat/>
    <w:uiPriority w:val="99"/>
    <w:pPr>
      <w:spacing w:after="120"/>
      <w:ind w:left="200" w:leftChars="200" w:firstLine="420" w:firstLineChars="200"/>
    </w:pPr>
    <w:rPr>
      <w:rFonts w:ascii="Times New Roman" w:eastAsia="宋体"/>
      <w:sz w:val="21"/>
    </w:rPr>
  </w:style>
  <w:style w:type="character" w:styleId="16">
    <w:name w:val="FollowedHyperlink"/>
    <w:basedOn w:val="15"/>
    <w:semiHidden/>
    <w:unhideWhenUsed/>
    <w:qFormat/>
    <w:uiPriority w:val="99"/>
    <w:rPr>
      <w:color w:val="954F72" w:themeColor="followedHyperlink"/>
      <w:u w:val="single"/>
      <w14:textFill>
        <w14:solidFill>
          <w14:schemeClr w14:val="folHlink"/>
        </w14:solidFill>
      </w14:textFill>
    </w:rPr>
  </w:style>
  <w:style w:type="character" w:styleId="17">
    <w:name w:val="Hyperlink"/>
    <w:semiHidden/>
    <w:unhideWhenUsed/>
    <w:qFormat/>
    <w:uiPriority w:val="0"/>
    <w:rPr>
      <w:color w:val="0000FF"/>
      <w:u w:val="single"/>
    </w:rPr>
  </w:style>
  <w:style w:type="character" w:customStyle="1" w:styleId="18">
    <w:name w:val="标题 1 字符"/>
    <w:basedOn w:val="15"/>
    <w:link w:val="2"/>
    <w:qFormat/>
    <w:uiPriority w:val="0"/>
    <w:rPr>
      <w:rFonts w:ascii="Times New Roman" w:hAnsi="Times New Roman" w:eastAsia="宋体" w:cs="Times New Roman"/>
      <w:b/>
      <w:bCs/>
      <w:kern w:val="44"/>
      <w:sz w:val="44"/>
      <w:szCs w:val="44"/>
    </w:rPr>
  </w:style>
  <w:style w:type="character" w:customStyle="1" w:styleId="19">
    <w:name w:val="标题 2 字符"/>
    <w:basedOn w:val="15"/>
    <w:link w:val="3"/>
    <w:semiHidden/>
    <w:qFormat/>
    <w:uiPriority w:val="0"/>
    <w:rPr>
      <w:rFonts w:ascii="宋体" w:hAnsi="宋体" w:eastAsia="宋体" w:cs="Times New Roman"/>
      <w:b/>
      <w:bCs/>
      <w:kern w:val="0"/>
      <w:sz w:val="24"/>
      <w:szCs w:val="24"/>
    </w:rPr>
  </w:style>
  <w:style w:type="character" w:customStyle="1" w:styleId="20">
    <w:name w:val="标题 3 字符"/>
    <w:basedOn w:val="15"/>
    <w:link w:val="4"/>
    <w:semiHidden/>
    <w:qFormat/>
    <w:uiPriority w:val="0"/>
    <w:rPr>
      <w:rFonts w:ascii="Times New Roman" w:hAnsi="Times New Roman" w:eastAsia="宋体" w:cs="Times New Roman"/>
      <w:b/>
      <w:bCs/>
      <w:sz w:val="32"/>
      <w:szCs w:val="32"/>
    </w:rPr>
  </w:style>
  <w:style w:type="character" w:customStyle="1" w:styleId="21">
    <w:name w:val="HTML 预设格式 字符"/>
    <w:basedOn w:val="15"/>
    <w:link w:val="11"/>
    <w:semiHidden/>
    <w:qFormat/>
    <w:uiPriority w:val="0"/>
    <w:rPr>
      <w:rFonts w:ascii="宋体" w:hAnsi="宋体" w:eastAsia="宋体" w:cs="Times New Roman"/>
      <w:kern w:val="0"/>
      <w:sz w:val="24"/>
      <w:szCs w:val="24"/>
    </w:rPr>
  </w:style>
  <w:style w:type="paragraph" w:customStyle="1" w:styleId="22">
    <w:name w:val="msonormal"/>
    <w:basedOn w:val="1"/>
    <w:qFormat/>
    <w:uiPriority w:val="99"/>
    <w:pPr>
      <w:widowControl/>
      <w:spacing w:before="100" w:beforeAutospacing="1" w:after="100" w:afterAutospacing="1"/>
      <w:jc w:val="left"/>
    </w:pPr>
    <w:rPr>
      <w:rFonts w:ascii="宋体" w:hAnsi="宋体" w:cs="宋体"/>
      <w:kern w:val="0"/>
      <w:sz w:val="24"/>
    </w:rPr>
  </w:style>
  <w:style w:type="character" w:customStyle="1" w:styleId="23">
    <w:name w:val="页眉 字符"/>
    <w:basedOn w:val="15"/>
    <w:link w:val="9"/>
    <w:semiHidden/>
    <w:qFormat/>
    <w:uiPriority w:val="99"/>
    <w:rPr>
      <w:rFonts w:ascii="Times New Roman" w:hAnsi="Times New Roman" w:eastAsia="宋体" w:cs="Times New Roman"/>
      <w:sz w:val="18"/>
      <w:szCs w:val="18"/>
    </w:rPr>
  </w:style>
  <w:style w:type="character" w:customStyle="1" w:styleId="24">
    <w:name w:val="页脚 字符"/>
    <w:basedOn w:val="15"/>
    <w:link w:val="8"/>
    <w:semiHidden/>
    <w:qFormat/>
    <w:uiPriority w:val="99"/>
    <w:rPr>
      <w:rFonts w:ascii="Times New Roman" w:hAnsi="Times New Roman" w:eastAsia="宋体" w:cs="Times New Roman"/>
      <w:sz w:val="18"/>
      <w:szCs w:val="18"/>
    </w:rPr>
  </w:style>
  <w:style w:type="character" w:customStyle="1" w:styleId="25">
    <w:name w:val="正文文本缩进 字符"/>
    <w:basedOn w:val="15"/>
    <w:link w:val="5"/>
    <w:semiHidden/>
    <w:qFormat/>
    <w:uiPriority w:val="99"/>
    <w:rPr>
      <w:rFonts w:ascii="楷体_GB2312" w:hAnsi="Times New Roman" w:eastAsia="楷体_GB2312" w:cs="Times New Roman"/>
      <w:sz w:val="32"/>
      <w:szCs w:val="24"/>
    </w:rPr>
  </w:style>
  <w:style w:type="character" w:customStyle="1" w:styleId="26">
    <w:name w:val="副标题 字符"/>
    <w:basedOn w:val="15"/>
    <w:link w:val="10"/>
    <w:qFormat/>
    <w:uiPriority w:val="99"/>
    <w:rPr>
      <w:rFonts w:ascii="Cambria" w:hAnsi="Cambria" w:eastAsia="黑体" w:cs="Times New Roman"/>
      <w:bCs/>
      <w:kern w:val="28"/>
      <w:sz w:val="28"/>
      <w:szCs w:val="32"/>
    </w:rPr>
  </w:style>
  <w:style w:type="character" w:customStyle="1" w:styleId="27">
    <w:name w:val="日期 字符"/>
    <w:basedOn w:val="15"/>
    <w:link w:val="6"/>
    <w:semiHidden/>
    <w:qFormat/>
    <w:uiPriority w:val="99"/>
    <w:rPr>
      <w:rFonts w:ascii="Times New Roman" w:hAnsi="Times New Roman" w:eastAsia="宋体" w:cs="Times New Roman"/>
      <w:szCs w:val="24"/>
    </w:rPr>
  </w:style>
  <w:style w:type="character" w:customStyle="1" w:styleId="28">
    <w:name w:val="正文首行缩进 2 字符"/>
    <w:basedOn w:val="25"/>
    <w:link w:val="13"/>
    <w:semiHidden/>
    <w:qFormat/>
    <w:uiPriority w:val="99"/>
    <w:rPr>
      <w:rFonts w:ascii="Times New Roman" w:hAnsi="Times New Roman" w:eastAsia="宋体" w:cs="Times New Roman"/>
      <w:sz w:val="32"/>
      <w:szCs w:val="24"/>
    </w:rPr>
  </w:style>
  <w:style w:type="character" w:customStyle="1" w:styleId="29">
    <w:name w:val="批注框文本 字符"/>
    <w:basedOn w:val="15"/>
    <w:link w:val="7"/>
    <w:semiHidden/>
    <w:qFormat/>
    <w:uiPriority w:val="99"/>
    <w:rPr>
      <w:rFonts w:ascii="Times New Roman" w:hAnsi="Times New Roman" w:eastAsia="宋体" w:cs="Times New Roman"/>
      <w:sz w:val="18"/>
      <w:szCs w:val="18"/>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2">
    <w:name w:val="列出段落1"/>
    <w:basedOn w:val="1"/>
    <w:qFormat/>
    <w:uiPriority w:val="99"/>
    <w:pPr>
      <w:ind w:firstLine="420" w:firstLineChars="200"/>
    </w:pPr>
  </w:style>
  <w:style w:type="paragraph" w:customStyle="1" w:styleId="33">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34">
    <w:name w:val="font81"/>
    <w:qFormat/>
    <w:uiPriority w:val="0"/>
    <w:rPr>
      <w:rFonts w:hint="eastAsia" w:ascii="仿宋_GB2312" w:eastAsia="仿宋_GB2312" w:cs="仿宋_GB2312"/>
      <w:color w:val="000000"/>
      <w:sz w:val="22"/>
      <w:szCs w:val="22"/>
      <w:u w:val="none"/>
    </w:rPr>
  </w:style>
  <w:style w:type="character" w:customStyle="1" w:styleId="35">
    <w:name w:val="font01"/>
    <w:qFormat/>
    <w:uiPriority w:val="0"/>
    <w:rPr>
      <w:rFonts w:hint="eastAsia" w:ascii="仿宋_GB2312" w:eastAsia="仿宋_GB2312" w:cs="仿宋_GB2312"/>
      <w:color w:val="000000"/>
      <w:sz w:val="24"/>
      <w:szCs w:val="24"/>
      <w:u w:val="single"/>
    </w:rPr>
  </w:style>
  <w:style w:type="character" w:customStyle="1" w:styleId="36">
    <w:name w:val="font11"/>
    <w:qFormat/>
    <w:uiPriority w:val="0"/>
    <w:rPr>
      <w:rFonts w:hint="eastAsia" w:ascii="仿宋_GB2312" w:eastAsia="仿宋_GB2312" w:cs="仿宋_GB2312"/>
      <w:color w:val="000000"/>
      <w:sz w:val="24"/>
      <w:szCs w:val="24"/>
      <w:u w:val="none"/>
    </w:rPr>
  </w:style>
  <w:style w:type="character" w:customStyle="1" w:styleId="37">
    <w:name w:val="font4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098566F-685B-4C0F-B9A6-FA2204B7598B}">
  <ds:schemaRefs/>
</ds:datastoreItem>
</file>

<file path=docProps/app.xml><?xml version="1.0" encoding="utf-8"?>
<Properties xmlns="http://schemas.openxmlformats.org/officeDocument/2006/extended-properties" xmlns:vt="http://schemas.openxmlformats.org/officeDocument/2006/docPropsVTypes">
  <Template>Normal</Template>
  <Pages>1</Pages>
  <Words>700</Words>
  <Characters>3992</Characters>
  <Lines>33</Lines>
  <Paragraphs>9</Paragraphs>
  <TotalTime>28</TotalTime>
  <ScaleCrop>false</ScaleCrop>
  <LinksUpToDate>false</LinksUpToDate>
  <CharactersWithSpaces>4683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2023-08-23T08:27:00Z</dcterms:created>
  <dc:creator>Administrator</dc:creator>
  <cp:lastModifiedBy>Administrator</cp:lastModifiedBy>
  <cp:lastPrinted>2023-08-25T07:34:00Z</cp:lastPrinted>
  <dcterms:modified xsi:type="dcterms:W3CDTF">2023-12-21T09:21:15Z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FC3335D1EF1D42D09A673562B1395C73_13</vt:lpwstr>
  </property>
</Properties>
</file>