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微软雅黑" w:hAnsi="微软雅黑" w:eastAsia="微软雅黑" w:cs="微软雅黑"/>
          <w:i w:val="0"/>
          <w:caps w:val="0"/>
          <w:color w:val="535353"/>
          <w:spacing w:val="0"/>
          <w:sz w:val="22"/>
          <w:szCs w:val="22"/>
          <w:u w:val="none"/>
        </w:rPr>
      </w:pPr>
      <w:r>
        <w:rPr>
          <w:rFonts w:hint="eastAsia" w:ascii="黑体" w:hAnsi="宋体" w:eastAsia="黑体" w:cs="黑体"/>
          <w:i w:val="0"/>
          <w:caps w:val="0"/>
          <w:color w:val="535353"/>
          <w:spacing w:val="0"/>
          <w:kern w:val="0"/>
          <w:sz w:val="40"/>
          <w:szCs w:val="40"/>
          <w:u w:val="none"/>
          <w:shd w:val="clear" w:fill="FFFFFF"/>
          <w:lang w:val="en-US" w:eastAsia="zh-CN" w:bidi="ar"/>
        </w:rPr>
        <w:t>邵东市</w:t>
      </w:r>
      <w:r>
        <w:rPr>
          <w:rFonts w:ascii="黑体" w:hAnsi="宋体" w:eastAsia="黑体" w:cs="黑体"/>
          <w:i w:val="0"/>
          <w:caps w:val="0"/>
          <w:color w:val="535353"/>
          <w:spacing w:val="0"/>
          <w:kern w:val="0"/>
          <w:sz w:val="40"/>
          <w:szCs w:val="40"/>
          <w:u w:val="none"/>
          <w:shd w:val="clear" w:fill="FFFFFF"/>
          <w:lang w:val="en-US" w:eastAsia="zh-CN" w:bidi="ar"/>
        </w:rPr>
        <w:t>文化馆</w:t>
      </w:r>
      <w:r>
        <w:rPr>
          <w:rFonts w:hint="eastAsia" w:ascii="黑体" w:hAnsi="宋体" w:eastAsia="黑体" w:cs="黑体"/>
          <w:i w:val="0"/>
          <w:caps w:val="0"/>
          <w:color w:val="535353"/>
          <w:spacing w:val="0"/>
          <w:kern w:val="0"/>
          <w:sz w:val="40"/>
          <w:szCs w:val="40"/>
          <w:u w:val="none"/>
          <w:shd w:val="clear" w:fill="FFFFFF"/>
          <w:lang w:val="en-US" w:eastAsia="zh-CN" w:bidi="ar"/>
        </w:rPr>
        <w:t>2019年度整体支出绩效评价报告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535353"/>
          <w:spacing w:val="0"/>
          <w:sz w:val="22"/>
          <w:szCs w:val="22"/>
          <w:u w:val="none"/>
        </w:rPr>
      </w:pPr>
      <w:r>
        <w:rPr>
          <w:rFonts w:hint="eastAsia" w:ascii="黑体" w:hAnsi="宋体" w:eastAsia="黑体" w:cs="黑体"/>
          <w:i w:val="0"/>
          <w:caps w:val="0"/>
          <w:color w:val="53535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Arial" w:hAnsi="Arial" w:eastAsia="微软雅黑" w:cs="Arial"/>
          <w:i w:val="0"/>
          <w:caps w:val="0"/>
          <w:color w:val="535353"/>
          <w:spacing w:val="0"/>
          <w:kern w:val="0"/>
          <w:sz w:val="32"/>
          <w:szCs w:val="32"/>
          <w:u w:val="none"/>
          <w:shd w:val="clear" w:fill="FFFFFF"/>
          <w:lang w:val="en-US" w:eastAsia="zh-CN" w:bidi="ar"/>
        </w:rPr>
      </w:pPr>
      <w:r>
        <w:rPr>
          <w:rFonts w:ascii="Arial" w:hAnsi="Arial" w:eastAsia="微软雅黑" w:cs="Arial"/>
          <w:i w:val="0"/>
          <w:caps w:val="0"/>
          <w:color w:val="535353"/>
          <w:spacing w:val="0"/>
          <w:kern w:val="0"/>
          <w:sz w:val="32"/>
          <w:szCs w:val="32"/>
          <w:u w:val="none"/>
          <w:shd w:val="clear" w:fill="FFFFFF"/>
          <w:lang w:val="en-US" w:eastAsia="zh-CN" w:bidi="ar"/>
        </w:rPr>
        <w:t>根据《中共中央国务院关于全面实施预算绩效管理的意见》和《</w:t>
      </w:r>
      <w:r>
        <w:rPr>
          <w:rFonts w:hint="eastAsia" w:ascii="Arial" w:hAnsi="Arial" w:eastAsia="微软雅黑" w:cs="Arial"/>
          <w:i w:val="0"/>
          <w:caps w:val="0"/>
          <w:color w:val="535353"/>
          <w:spacing w:val="0"/>
          <w:kern w:val="0"/>
          <w:sz w:val="32"/>
          <w:szCs w:val="32"/>
          <w:u w:val="none"/>
          <w:shd w:val="clear" w:fill="FFFFFF"/>
          <w:lang w:val="en-US" w:eastAsia="zh-CN" w:bidi="ar"/>
        </w:rPr>
        <w:t>邵东市财政局关于做好</w:t>
      </w:r>
      <w:r>
        <w:rPr>
          <w:rFonts w:hint="default" w:ascii="Arial" w:hAnsi="Arial" w:eastAsia="微软雅黑" w:cs="Arial"/>
          <w:i w:val="0"/>
          <w:caps w:val="0"/>
          <w:color w:val="535353"/>
          <w:spacing w:val="0"/>
          <w:kern w:val="0"/>
          <w:sz w:val="32"/>
          <w:szCs w:val="32"/>
          <w:u w:val="none"/>
          <w:shd w:val="clear" w:fill="FFFFFF"/>
          <w:lang w:val="en-US" w:eastAsia="zh-CN" w:bidi="ar"/>
        </w:rPr>
        <w:t>2019</w:t>
      </w:r>
      <w:r>
        <w:rPr>
          <w:rFonts w:hint="eastAsia" w:ascii="Arial" w:hAnsi="Arial" w:eastAsia="微软雅黑" w:cs="Arial"/>
          <w:i w:val="0"/>
          <w:caps w:val="0"/>
          <w:color w:val="535353"/>
          <w:spacing w:val="0"/>
          <w:kern w:val="0"/>
          <w:sz w:val="32"/>
          <w:szCs w:val="32"/>
          <w:u w:val="none"/>
          <w:shd w:val="clear" w:fill="FFFFFF"/>
          <w:lang w:val="en-US" w:eastAsia="zh-CN" w:bidi="ar"/>
        </w:rPr>
        <w:t>年度预算绩效评价工作的通知</w:t>
      </w:r>
      <w:r>
        <w:rPr>
          <w:rFonts w:hint="default" w:ascii="Arial" w:hAnsi="Arial" w:eastAsia="微软雅黑" w:cs="Arial"/>
          <w:i w:val="0"/>
          <w:caps w:val="0"/>
          <w:color w:val="535353"/>
          <w:spacing w:val="0"/>
          <w:kern w:val="0"/>
          <w:sz w:val="32"/>
          <w:szCs w:val="32"/>
          <w:u w:val="none"/>
          <w:shd w:val="clear" w:fill="FFFFFF"/>
          <w:lang w:val="en-US" w:eastAsia="zh-CN" w:bidi="ar"/>
        </w:rPr>
        <w:t>》，我</w:t>
      </w:r>
      <w:r>
        <w:rPr>
          <w:rFonts w:hint="eastAsia" w:ascii="Arial" w:hAnsi="Arial" w:eastAsia="微软雅黑" w:cs="Arial"/>
          <w:i w:val="0"/>
          <w:caps w:val="0"/>
          <w:color w:val="535353"/>
          <w:spacing w:val="0"/>
          <w:kern w:val="0"/>
          <w:sz w:val="32"/>
          <w:szCs w:val="32"/>
          <w:u w:val="none"/>
          <w:shd w:val="clear" w:fill="FFFFFF"/>
          <w:lang w:val="en-US" w:eastAsia="zh-CN" w:bidi="ar"/>
        </w:rPr>
        <w:t>馆</w:t>
      </w:r>
      <w:r>
        <w:rPr>
          <w:rFonts w:hint="default" w:ascii="Arial" w:hAnsi="Arial" w:eastAsia="微软雅黑" w:cs="Arial"/>
          <w:i w:val="0"/>
          <w:caps w:val="0"/>
          <w:color w:val="535353"/>
          <w:spacing w:val="0"/>
          <w:kern w:val="0"/>
          <w:sz w:val="32"/>
          <w:szCs w:val="32"/>
          <w:u w:val="none"/>
          <w:shd w:val="clear" w:fill="FFFFFF"/>
          <w:lang w:val="en-US" w:eastAsia="zh-CN" w:bidi="ar"/>
        </w:rPr>
        <w:t>对部门整体支出进行了绩效评价，现报告如下：</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535353"/>
          <w:spacing w:val="0"/>
          <w:sz w:val="22"/>
          <w:szCs w:val="22"/>
          <w:u w:val="none"/>
        </w:rPr>
      </w:pPr>
      <w:r>
        <w:rPr>
          <w:rFonts w:hint="eastAsia" w:ascii="黑体" w:hAnsi="宋体" w:eastAsia="黑体" w:cs="黑体"/>
          <w:i w:val="0"/>
          <w:caps w:val="0"/>
          <w:color w:val="535353"/>
          <w:spacing w:val="0"/>
          <w:kern w:val="0"/>
          <w:sz w:val="32"/>
          <w:szCs w:val="32"/>
          <w:u w:val="none"/>
          <w:shd w:val="clear" w:fill="FFFFFF"/>
          <w:lang w:val="en-US" w:eastAsia="zh-CN" w:bidi="ar"/>
        </w:rPr>
        <w:t>一、部门概况：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b/>
          <w:i w:val="0"/>
          <w:caps w:val="0"/>
          <w:color w:val="535353"/>
          <w:spacing w:val="0"/>
          <w:kern w:val="0"/>
          <w:sz w:val="32"/>
          <w:szCs w:val="32"/>
          <w:u w:val="none"/>
          <w:shd w:val="clear" w:fill="FFFFFF"/>
          <w:lang w:val="en-US" w:eastAsia="zh-CN" w:bidi="ar"/>
        </w:rPr>
        <w:t>（一）文化馆的职能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b w:val="0"/>
          <w:i w:val="0"/>
          <w:caps w:val="0"/>
          <w:color w:val="535353"/>
          <w:spacing w:val="0"/>
          <w:kern w:val="0"/>
          <w:sz w:val="32"/>
          <w:szCs w:val="32"/>
          <w:u w:val="none"/>
          <w:shd w:val="clear" w:fill="FFFFFF"/>
          <w:lang w:val="en-US" w:eastAsia="zh-CN" w:bidi="ar"/>
        </w:rPr>
        <w:t>全民艺术普及、文艺作品生产、群众文化活动组织、艺术辅导培训、免费开放、非遗保护等。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b/>
          <w:i w:val="0"/>
          <w:caps w:val="0"/>
          <w:color w:val="535353"/>
          <w:spacing w:val="0"/>
          <w:kern w:val="0"/>
          <w:sz w:val="32"/>
          <w:szCs w:val="32"/>
          <w:u w:val="none"/>
          <w:shd w:val="clear" w:fill="FFFFFF"/>
          <w:lang w:val="en-US" w:eastAsia="zh-CN" w:bidi="ar"/>
        </w:rPr>
        <w:t>（二）机构设置情况。</w:t>
      </w:r>
    </w:p>
    <w:p>
      <w:pPr>
        <w:pStyle w:val="2"/>
        <w:shd w:val="clear" w:color="auto" w:fill="FFFFFF"/>
        <w:spacing w:line="480" w:lineRule="auto"/>
        <w:ind w:firstLine="320" w:firstLineChars="100"/>
        <w:rPr>
          <w:kern w:val="2"/>
          <w:sz w:val="32"/>
          <w:szCs w:val="32"/>
        </w:rPr>
      </w:pPr>
      <w:r>
        <w:rPr>
          <w:rFonts w:hint="eastAsia"/>
          <w:color w:val="333333"/>
          <w:sz w:val="32"/>
          <w:szCs w:val="32"/>
        </w:rPr>
        <w:t>行政办公室、活动部</w:t>
      </w:r>
      <w:r>
        <w:rPr>
          <w:rFonts w:hint="eastAsia"/>
          <w:kern w:val="2"/>
          <w:sz w:val="32"/>
          <w:szCs w:val="32"/>
        </w:rPr>
        <w:t>、财务部、文化馆老年大学、非遗办保护中心、党建活动中心。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caps w:val="0"/>
          <w:color w:val="535353"/>
          <w:spacing w:val="0"/>
          <w:sz w:val="22"/>
          <w:szCs w:val="22"/>
          <w:u w:val="none"/>
        </w:rPr>
      </w:pPr>
      <w:r>
        <w:rPr>
          <w:rFonts w:hint="eastAsia" w:ascii="黑体" w:hAnsi="宋体" w:eastAsia="黑体" w:cs="黑体"/>
          <w:i w:val="0"/>
          <w:caps w:val="0"/>
          <w:color w:val="535353"/>
          <w:spacing w:val="0"/>
          <w:sz w:val="32"/>
          <w:szCs w:val="32"/>
          <w:u w:val="none"/>
          <w:shd w:val="clear" w:fill="FFFFFF"/>
        </w:rPr>
        <w:t>　　三、部门整体支出绩效指标评价情况 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caps w:val="0"/>
          <w:color w:val="535353"/>
          <w:spacing w:val="0"/>
          <w:sz w:val="22"/>
          <w:szCs w:val="22"/>
          <w:u w:val="none"/>
        </w:rPr>
      </w:pPr>
      <w:r>
        <w:rPr>
          <w:rFonts w:hint="default" w:ascii="Arial" w:hAnsi="Arial" w:eastAsia="微软雅黑" w:cs="Arial"/>
          <w:i w:val="0"/>
          <w:caps w:val="0"/>
          <w:color w:val="535353"/>
          <w:spacing w:val="0"/>
          <w:sz w:val="32"/>
          <w:szCs w:val="32"/>
          <w:u w:val="none"/>
          <w:shd w:val="clear" w:fill="FFFFFF"/>
        </w:rPr>
        <w:t>　　对照</w:t>
      </w:r>
      <w:r>
        <w:rPr>
          <w:rFonts w:hint="eastAsia" w:ascii="宋体" w:hAnsi="宋体" w:eastAsia="宋体" w:cs="宋体"/>
          <w:i w:val="0"/>
          <w:caps w:val="0"/>
          <w:color w:val="535353"/>
          <w:spacing w:val="0"/>
          <w:sz w:val="32"/>
          <w:szCs w:val="32"/>
          <w:u w:val="none"/>
          <w:shd w:val="clear" w:fill="FFFFFF"/>
          <w:lang w:eastAsia="zh-CN"/>
        </w:rPr>
        <w:t>相关</w:t>
      </w:r>
      <w:r>
        <w:rPr>
          <w:rFonts w:hint="default" w:ascii="Arial" w:hAnsi="Arial" w:eastAsia="微软雅黑" w:cs="Arial"/>
          <w:i w:val="0"/>
          <w:caps w:val="0"/>
          <w:color w:val="535353"/>
          <w:spacing w:val="0"/>
          <w:sz w:val="32"/>
          <w:szCs w:val="32"/>
          <w:u w:val="none"/>
          <w:shd w:val="clear" w:fill="FFFFFF"/>
        </w:rPr>
        <w:t>文件规定的考核指标，我</w:t>
      </w:r>
      <w:r>
        <w:rPr>
          <w:rFonts w:hint="eastAsia" w:ascii="宋体" w:hAnsi="宋体" w:eastAsia="宋体" w:cs="宋体"/>
          <w:i w:val="0"/>
          <w:caps w:val="0"/>
          <w:color w:val="535353"/>
          <w:spacing w:val="0"/>
          <w:sz w:val="32"/>
          <w:szCs w:val="32"/>
          <w:u w:val="none"/>
          <w:shd w:val="clear" w:fill="FFFFFF"/>
        </w:rPr>
        <w:t>馆</w:t>
      </w:r>
      <w:r>
        <w:rPr>
          <w:rFonts w:hint="default" w:ascii="Arial" w:hAnsi="Arial" w:eastAsia="微软雅黑" w:cs="Arial"/>
          <w:i w:val="0"/>
          <w:caps w:val="0"/>
          <w:color w:val="535353"/>
          <w:spacing w:val="0"/>
          <w:sz w:val="32"/>
          <w:szCs w:val="32"/>
          <w:u w:val="none"/>
          <w:shd w:val="clear" w:fill="FFFFFF"/>
        </w:rPr>
        <w:t>从预算配置、预算执行、预算管理、履职效益等方面对2019</w:t>
      </w:r>
      <w:r>
        <w:rPr>
          <w:rFonts w:hint="eastAsia" w:ascii="宋体" w:hAnsi="宋体" w:eastAsia="宋体" w:cs="宋体"/>
          <w:i w:val="0"/>
          <w:caps w:val="0"/>
          <w:color w:val="535353"/>
          <w:spacing w:val="0"/>
          <w:sz w:val="32"/>
          <w:szCs w:val="32"/>
          <w:u w:val="none"/>
          <w:shd w:val="clear" w:fill="FFFFFF"/>
        </w:rPr>
        <w:t>年部门整体支出绩效开展了评价，</w:t>
      </w:r>
      <w:r>
        <w:rPr>
          <w:rFonts w:hint="default" w:ascii="Arial" w:hAnsi="Arial" w:eastAsia="微软雅黑" w:cs="Arial"/>
          <w:i w:val="0"/>
          <w:caps w:val="0"/>
          <w:color w:val="535353"/>
          <w:spacing w:val="0"/>
          <w:sz w:val="32"/>
          <w:szCs w:val="32"/>
          <w:u w:val="none"/>
          <w:shd w:val="clear" w:fill="FFFFFF"/>
        </w:rPr>
        <w:t>具体情况如下： 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caps w:val="0"/>
          <w:color w:val="535353"/>
          <w:spacing w:val="0"/>
          <w:sz w:val="22"/>
          <w:szCs w:val="22"/>
          <w:u w:val="none"/>
        </w:rPr>
      </w:pPr>
      <w:r>
        <w:rPr>
          <w:rFonts w:hint="default" w:ascii="Arial" w:hAnsi="Arial" w:eastAsia="微软雅黑" w:cs="Arial"/>
          <w:b/>
          <w:i w:val="0"/>
          <w:caps w:val="0"/>
          <w:color w:val="535353"/>
          <w:spacing w:val="0"/>
          <w:sz w:val="32"/>
          <w:szCs w:val="32"/>
          <w:u w:val="none"/>
          <w:shd w:val="clear" w:fill="FFFFFF"/>
        </w:rPr>
        <w:t>（一）预算配置方面 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caps w:val="0"/>
          <w:color w:val="535353"/>
          <w:spacing w:val="0"/>
          <w:sz w:val="22"/>
          <w:szCs w:val="22"/>
          <w:u w:val="none"/>
        </w:rPr>
      </w:pPr>
      <w:r>
        <w:rPr>
          <w:rFonts w:hint="default" w:ascii="Arial" w:hAnsi="Arial" w:eastAsia="微软雅黑" w:cs="Arial"/>
          <w:i w:val="0"/>
          <w:caps w:val="0"/>
          <w:color w:val="535353"/>
          <w:spacing w:val="0"/>
          <w:sz w:val="32"/>
          <w:szCs w:val="32"/>
          <w:u w:val="none"/>
          <w:shd w:val="clear" w:fill="FFFFFF"/>
        </w:rPr>
        <w:t>　</w:t>
      </w:r>
      <w:r>
        <w:rPr>
          <w:rFonts w:hint="eastAsia" w:ascii="宋体" w:hAnsi="宋体" w:eastAsia="宋体" w:cs="宋体"/>
          <w:i w:val="0"/>
          <w:caps w:val="0"/>
          <w:color w:val="535353"/>
          <w:spacing w:val="0"/>
          <w:sz w:val="32"/>
          <w:szCs w:val="32"/>
          <w:u w:val="none"/>
          <w:shd w:val="clear" w:fill="FFFFFF"/>
        </w:rPr>
        <w:t> </w:t>
      </w:r>
      <w:r>
        <w:rPr>
          <w:rFonts w:hint="default" w:ascii="Arial" w:hAnsi="Arial" w:eastAsia="微软雅黑" w:cs="Arial"/>
          <w:i w:val="0"/>
          <w:caps w:val="0"/>
          <w:color w:val="535353"/>
          <w:spacing w:val="0"/>
          <w:sz w:val="32"/>
          <w:szCs w:val="32"/>
          <w:u w:val="none"/>
          <w:shd w:val="clear" w:fill="FFFFFF"/>
        </w:rPr>
        <w:t>　在职人员控制率：编制数</w:t>
      </w:r>
      <w:r>
        <w:rPr>
          <w:rFonts w:hint="eastAsia" w:ascii="Arial" w:hAnsi="Arial" w:eastAsia="微软雅黑" w:cs="Arial"/>
          <w:i w:val="0"/>
          <w:caps w:val="0"/>
          <w:color w:val="535353"/>
          <w:spacing w:val="0"/>
          <w:sz w:val="32"/>
          <w:szCs w:val="32"/>
          <w:u w:val="none"/>
          <w:shd w:val="clear" w:fill="FFFFFF"/>
          <w:lang w:val="en-US" w:eastAsia="zh-CN"/>
        </w:rPr>
        <w:t>22</w:t>
      </w:r>
      <w:r>
        <w:rPr>
          <w:rFonts w:hint="default" w:ascii="Arial" w:hAnsi="Arial" w:eastAsia="微软雅黑" w:cs="Arial"/>
          <w:i w:val="0"/>
          <w:caps w:val="0"/>
          <w:color w:val="535353"/>
          <w:spacing w:val="0"/>
          <w:sz w:val="32"/>
          <w:szCs w:val="32"/>
          <w:u w:val="none"/>
          <w:shd w:val="clear" w:fill="FFFFFF"/>
        </w:rPr>
        <w:t>人，在职人员</w:t>
      </w:r>
      <w:r>
        <w:rPr>
          <w:rFonts w:hint="eastAsia" w:ascii="Arial" w:hAnsi="Arial" w:eastAsia="微软雅黑" w:cs="Arial"/>
          <w:i w:val="0"/>
          <w:caps w:val="0"/>
          <w:color w:val="535353"/>
          <w:spacing w:val="0"/>
          <w:sz w:val="32"/>
          <w:szCs w:val="32"/>
          <w:u w:val="none"/>
          <w:shd w:val="clear" w:fill="FFFFFF"/>
          <w:lang w:val="en-US" w:eastAsia="zh-CN"/>
        </w:rPr>
        <w:t>12</w:t>
      </w:r>
      <w:r>
        <w:rPr>
          <w:rFonts w:hint="default" w:ascii="Arial" w:hAnsi="Arial" w:eastAsia="微软雅黑" w:cs="Arial"/>
          <w:i w:val="0"/>
          <w:caps w:val="0"/>
          <w:color w:val="535353"/>
          <w:spacing w:val="0"/>
          <w:sz w:val="32"/>
          <w:szCs w:val="32"/>
          <w:u w:val="none"/>
          <w:shd w:val="clear" w:fill="FFFFFF"/>
        </w:rPr>
        <w:t>人，在编制控制范围内，在职人员控制率</w:t>
      </w:r>
      <w:r>
        <w:rPr>
          <w:rFonts w:hint="default" w:ascii="Arial" w:hAnsi="Arial" w:eastAsia="微软雅黑" w:cs="Arial"/>
          <w:b w:val="0"/>
          <w:bCs w:val="0"/>
          <w:i w:val="0"/>
          <w:caps w:val="0"/>
          <w:color w:val="535353"/>
          <w:spacing w:val="0"/>
          <w:sz w:val="32"/>
          <w:szCs w:val="32"/>
          <w:u w:val="none"/>
          <w:shd w:val="clear" w:fill="FFFFFF"/>
        </w:rPr>
        <w:t>为</w:t>
      </w:r>
      <w:r>
        <w:rPr>
          <w:rFonts w:hint="default" w:ascii="Arial" w:hAnsi="Arial" w:eastAsia="微软雅黑" w:cs="Arial"/>
          <w:b/>
          <w:bCs/>
          <w:i w:val="0"/>
          <w:caps w:val="0"/>
          <w:color w:val="535353"/>
          <w:spacing w:val="0"/>
          <w:sz w:val="32"/>
          <w:szCs w:val="32"/>
          <w:u w:val="none"/>
          <w:shd w:val="clear" w:fill="FFFFFF"/>
        </w:rPr>
        <w:t>9</w:t>
      </w:r>
      <w:r>
        <w:rPr>
          <w:rFonts w:hint="eastAsia" w:ascii="Arial" w:hAnsi="Arial" w:eastAsia="微软雅黑" w:cs="Arial"/>
          <w:b/>
          <w:bCs/>
          <w:i w:val="0"/>
          <w:caps w:val="0"/>
          <w:color w:val="535353"/>
          <w:spacing w:val="0"/>
          <w:sz w:val="32"/>
          <w:szCs w:val="32"/>
          <w:u w:val="none"/>
          <w:shd w:val="clear" w:fill="FFFFFF"/>
        </w:rPr>
        <w:t>3.3</w:t>
      </w:r>
      <w:r>
        <w:rPr>
          <w:rFonts w:hint="default" w:ascii="Arial" w:hAnsi="Arial" w:eastAsia="微软雅黑" w:cs="Arial"/>
          <w:b/>
          <w:bCs/>
          <w:i w:val="0"/>
          <w:caps w:val="0"/>
          <w:color w:val="535353"/>
          <w:spacing w:val="0"/>
          <w:sz w:val="32"/>
          <w:szCs w:val="32"/>
          <w:u w:val="none"/>
          <w:shd w:val="clear" w:fill="FFFFFF"/>
        </w:rPr>
        <w:t>%</w:t>
      </w:r>
      <w:r>
        <w:rPr>
          <w:rFonts w:hint="eastAsia" w:ascii="Arial" w:hAnsi="Arial" w:eastAsia="微软雅黑" w:cs="Arial"/>
          <w:b/>
          <w:bCs/>
          <w:i w:val="0"/>
          <w:caps w:val="0"/>
          <w:color w:val="535353"/>
          <w:spacing w:val="0"/>
          <w:sz w:val="32"/>
          <w:szCs w:val="32"/>
          <w:u w:val="none"/>
          <w:shd w:val="clear" w:fill="FFFFFF"/>
        </w:rPr>
        <w:t>。</w:t>
      </w:r>
      <w:r>
        <w:rPr>
          <w:rFonts w:hint="default" w:ascii="Arial" w:hAnsi="Arial" w:eastAsia="微软雅黑" w:cs="Arial"/>
          <w:i w:val="0"/>
          <w:caps w:val="0"/>
          <w:color w:val="535353"/>
          <w:spacing w:val="0"/>
          <w:sz w:val="32"/>
          <w:szCs w:val="32"/>
          <w:u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caps w:val="0"/>
          <w:color w:val="535353"/>
          <w:spacing w:val="0"/>
          <w:sz w:val="22"/>
          <w:szCs w:val="22"/>
          <w:u w:val="none"/>
        </w:rPr>
      </w:pPr>
      <w:r>
        <w:rPr>
          <w:rFonts w:hint="default" w:ascii="Arial" w:hAnsi="Arial" w:eastAsia="微软雅黑" w:cs="Arial"/>
          <w:i w:val="0"/>
          <w:caps w:val="0"/>
          <w:color w:val="535353"/>
          <w:spacing w:val="0"/>
          <w:sz w:val="32"/>
          <w:szCs w:val="32"/>
          <w:u w:val="none"/>
          <w:shd w:val="clear" w:fill="FFFFFF"/>
        </w:rPr>
        <w:t>　　“</w:t>
      </w:r>
      <w:r>
        <w:rPr>
          <w:rFonts w:hint="eastAsia" w:ascii="宋体" w:hAnsi="宋体" w:eastAsia="宋体" w:cs="宋体"/>
          <w:i w:val="0"/>
          <w:caps w:val="0"/>
          <w:color w:val="535353"/>
          <w:spacing w:val="0"/>
          <w:sz w:val="32"/>
          <w:szCs w:val="32"/>
          <w:u w:val="none"/>
          <w:shd w:val="clear" w:fill="FFFFFF"/>
        </w:rPr>
        <w:t>三公经费</w:t>
      </w:r>
      <w:r>
        <w:rPr>
          <w:rFonts w:hint="default" w:ascii="Arial" w:hAnsi="Arial" w:eastAsia="微软雅黑" w:cs="Arial"/>
          <w:i w:val="0"/>
          <w:caps w:val="0"/>
          <w:color w:val="535353"/>
          <w:spacing w:val="0"/>
          <w:sz w:val="32"/>
          <w:szCs w:val="32"/>
          <w:u w:val="none"/>
          <w:shd w:val="clear" w:fill="FFFFFF"/>
        </w:rPr>
        <w:t>”</w:t>
      </w:r>
      <w:r>
        <w:rPr>
          <w:rFonts w:hint="eastAsia" w:ascii="宋体" w:hAnsi="宋体" w:eastAsia="宋体" w:cs="宋体"/>
          <w:i w:val="0"/>
          <w:caps w:val="0"/>
          <w:color w:val="535353"/>
          <w:spacing w:val="0"/>
          <w:sz w:val="32"/>
          <w:szCs w:val="32"/>
          <w:u w:val="none"/>
          <w:shd w:val="clear" w:fill="FFFFFF"/>
        </w:rPr>
        <w:t>变动率控制较好。</w:t>
      </w:r>
      <w:r>
        <w:rPr>
          <w:rFonts w:hint="default" w:ascii="Arial" w:hAnsi="Arial" w:eastAsia="微软雅黑" w:cs="Arial"/>
          <w:i w:val="0"/>
          <w:caps w:val="0"/>
          <w:color w:val="535353"/>
          <w:spacing w:val="0"/>
          <w:sz w:val="32"/>
          <w:szCs w:val="32"/>
          <w:u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caps w:val="0"/>
          <w:color w:val="535353"/>
          <w:spacing w:val="0"/>
          <w:sz w:val="22"/>
          <w:szCs w:val="22"/>
          <w:u w:val="none"/>
        </w:rPr>
      </w:pPr>
      <w:r>
        <w:rPr>
          <w:rFonts w:hint="default" w:ascii="Arial" w:hAnsi="Arial" w:eastAsia="微软雅黑" w:cs="Arial"/>
          <w:b/>
          <w:i w:val="0"/>
          <w:caps w:val="0"/>
          <w:color w:val="535353"/>
          <w:spacing w:val="0"/>
          <w:sz w:val="32"/>
          <w:szCs w:val="32"/>
          <w:u w:val="none"/>
          <w:shd w:val="clear" w:fill="FFFFFF"/>
        </w:rPr>
        <w:t>　　（二）预算执行方面 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caps w:val="0"/>
          <w:color w:val="535353"/>
          <w:spacing w:val="0"/>
          <w:sz w:val="22"/>
          <w:szCs w:val="22"/>
          <w:u w:val="none"/>
        </w:rPr>
      </w:pPr>
      <w:r>
        <w:rPr>
          <w:rFonts w:hint="default" w:ascii="Arial" w:hAnsi="Arial" w:eastAsia="微软雅黑" w:cs="Arial"/>
          <w:i w:val="0"/>
          <w:caps w:val="0"/>
          <w:color w:val="535353"/>
          <w:spacing w:val="0"/>
          <w:sz w:val="32"/>
          <w:szCs w:val="32"/>
          <w:u w:val="none"/>
          <w:shd w:val="clear" w:fill="FFFFFF"/>
        </w:rPr>
        <w:t>　　预算完成率：</w:t>
      </w:r>
      <w:r>
        <w:rPr>
          <w:rFonts w:hint="eastAsia" w:ascii="宋体" w:hAnsi="宋体" w:eastAsia="宋体" w:cs="宋体"/>
          <w:i w:val="0"/>
          <w:caps w:val="0"/>
          <w:color w:val="535353"/>
          <w:spacing w:val="0"/>
          <w:sz w:val="32"/>
          <w:szCs w:val="32"/>
          <w:u w:val="none"/>
          <w:shd w:val="clear" w:fill="FFFFFF"/>
        </w:rPr>
        <w:t>预算控制率</w:t>
      </w:r>
      <w:r>
        <w:rPr>
          <w:rFonts w:hint="default" w:ascii="Arial" w:hAnsi="Arial" w:eastAsia="微软雅黑" w:cs="Arial"/>
          <w:i w:val="0"/>
          <w:caps w:val="0"/>
          <w:color w:val="535353"/>
          <w:spacing w:val="0"/>
          <w:sz w:val="32"/>
          <w:szCs w:val="32"/>
          <w:u w:val="none"/>
          <w:shd w:val="clear" w:fill="FFFFFF"/>
        </w:rPr>
        <w:t>100%</w:t>
      </w:r>
      <w:r>
        <w:rPr>
          <w:rFonts w:hint="eastAsia" w:ascii="宋体" w:hAnsi="宋体" w:eastAsia="宋体" w:cs="宋体"/>
          <w:i w:val="0"/>
          <w:caps w:val="0"/>
          <w:color w:val="535353"/>
          <w:spacing w:val="0"/>
          <w:sz w:val="32"/>
          <w:szCs w:val="32"/>
          <w:u w:val="none"/>
          <w:shd w:val="clear" w:fill="FFFFFF"/>
        </w:rPr>
        <w:t>。</w:t>
      </w:r>
      <w:r>
        <w:rPr>
          <w:rFonts w:hint="default" w:ascii="Arial" w:hAnsi="Arial" w:eastAsia="微软雅黑" w:cs="Arial"/>
          <w:i w:val="0"/>
          <w:caps w:val="0"/>
          <w:color w:val="535353"/>
          <w:spacing w:val="0"/>
          <w:sz w:val="32"/>
          <w:szCs w:val="32"/>
          <w:u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caps w:val="0"/>
          <w:color w:val="535353"/>
          <w:spacing w:val="0"/>
          <w:sz w:val="22"/>
          <w:szCs w:val="22"/>
          <w:u w:val="none"/>
        </w:rPr>
      </w:pPr>
      <w:r>
        <w:rPr>
          <w:rFonts w:hint="default" w:ascii="Arial" w:hAnsi="Arial" w:eastAsia="微软雅黑" w:cs="Arial"/>
          <w:i w:val="0"/>
          <w:caps w:val="0"/>
          <w:color w:val="535353"/>
          <w:spacing w:val="0"/>
          <w:sz w:val="32"/>
          <w:szCs w:val="32"/>
          <w:u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caps w:val="0"/>
          <w:color w:val="535353"/>
          <w:spacing w:val="0"/>
          <w:sz w:val="22"/>
          <w:szCs w:val="22"/>
          <w:u w:val="none"/>
        </w:rPr>
      </w:pPr>
      <w:r>
        <w:rPr>
          <w:rFonts w:hint="default" w:ascii="Arial" w:hAnsi="Arial" w:eastAsia="微软雅黑" w:cs="Arial"/>
          <w:b/>
          <w:i w:val="0"/>
          <w:caps w:val="0"/>
          <w:color w:val="535353"/>
          <w:spacing w:val="0"/>
          <w:sz w:val="32"/>
          <w:szCs w:val="32"/>
          <w:u w:val="none"/>
          <w:shd w:val="clear" w:fill="FFFFFF"/>
        </w:rPr>
        <w:t>　　（三）预算管理方面 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caps w:val="0"/>
          <w:color w:val="535353"/>
          <w:spacing w:val="0"/>
          <w:sz w:val="22"/>
          <w:szCs w:val="22"/>
          <w:u w:val="none"/>
        </w:rPr>
      </w:pPr>
      <w:r>
        <w:rPr>
          <w:rFonts w:hint="default" w:ascii="Arial" w:hAnsi="Arial" w:eastAsia="微软雅黑" w:cs="Arial"/>
          <w:i w:val="0"/>
          <w:caps w:val="0"/>
          <w:color w:val="535353"/>
          <w:spacing w:val="0"/>
          <w:sz w:val="32"/>
          <w:szCs w:val="32"/>
          <w:u w:val="none"/>
          <w:shd w:val="clear" w:fill="FFFFFF"/>
        </w:rPr>
        <w:t>　　公用经费控制率：2019</w:t>
      </w:r>
      <w:r>
        <w:rPr>
          <w:rFonts w:hint="eastAsia" w:ascii="宋体" w:hAnsi="宋体" w:eastAsia="宋体" w:cs="宋体"/>
          <w:i w:val="0"/>
          <w:caps w:val="0"/>
          <w:color w:val="535353"/>
          <w:spacing w:val="0"/>
          <w:sz w:val="32"/>
          <w:szCs w:val="32"/>
          <w:u w:val="none"/>
          <w:shd w:val="clear" w:fill="FFFFFF"/>
        </w:rPr>
        <w:t>年我馆</w:t>
      </w:r>
      <w:r>
        <w:rPr>
          <w:rFonts w:hint="default" w:ascii="Arial" w:hAnsi="Arial" w:eastAsia="微软雅黑" w:cs="Arial"/>
          <w:i w:val="0"/>
          <w:caps w:val="0"/>
          <w:color w:val="535353"/>
          <w:spacing w:val="0"/>
          <w:sz w:val="32"/>
          <w:szCs w:val="32"/>
          <w:u w:val="none"/>
          <w:shd w:val="clear" w:fill="FFFFFF"/>
        </w:rPr>
        <w:t>预算管理各项指标控制较好。 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caps w:val="0"/>
          <w:color w:val="535353"/>
          <w:spacing w:val="0"/>
          <w:sz w:val="22"/>
          <w:szCs w:val="22"/>
          <w:u w:val="none"/>
        </w:rPr>
      </w:pPr>
      <w:r>
        <w:rPr>
          <w:rFonts w:hint="default" w:ascii="Arial" w:hAnsi="Arial" w:eastAsia="微软雅黑" w:cs="Arial"/>
          <w:i w:val="0"/>
          <w:caps w:val="0"/>
          <w:color w:val="535353"/>
          <w:spacing w:val="0"/>
          <w:sz w:val="32"/>
          <w:szCs w:val="32"/>
          <w:u w:val="none"/>
          <w:shd w:val="clear" w:fill="FFFFFF"/>
        </w:rPr>
        <w:t>　　政府采购执行率：政府采购预算数0</w:t>
      </w:r>
      <w:r>
        <w:rPr>
          <w:rFonts w:hint="eastAsia" w:ascii="宋体" w:hAnsi="宋体" w:eastAsia="宋体" w:cs="宋体"/>
          <w:i w:val="0"/>
          <w:caps w:val="0"/>
          <w:color w:val="535353"/>
          <w:spacing w:val="0"/>
          <w:sz w:val="32"/>
          <w:szCs w:val="32"/>
          <w:u w:val="none"/>
          <w:shd w:val="clear" w:fill="FFFFFF"/>
        </w:rPr>
        <w:t>万元，实际政府采购金额</w:t>
      </w:r>
      <w:r>
        <w:rPr>
          <w:rFonts w:hint="default" w:ascii="Arial" w:hAnsi="Arial" w:eastAsia="微软雅黑" w:cs="Arial"/>
          <w:i w:val="0"/>
          <w:caps w:val="0"/>
          <w:color w:val="535353"/>
          <w:spacing w:val="0"/>
          <w:sz w:val="32"/>
          <w:szCs w:val="32"/>
          <w:u w:val="none"/>
          <w:shd w:val="clear" w:fill="FFFFFF"/>
        </w:rPr>
        <w:t>0</w:t>
      </w:r>
      <w:r>
        <w:rPr>
          <w:rFonts w:hint="eastAsia" w:ascii="宋体" w:hAnsi="宋体" w:eastAsia="宋体" w:cs="宋体"/>
          <w:i w:val="0"/>
          <w:caps w:val="0"/>
          <w:color w:val="535353"/>
          <w:spacing w:val="0"/>
          <w:sz w:val="32"/>
          <w:szCs w:val="32"/>
          <w:u w:val="none"/>
          <w:shd w:val="clear" w:fill="FFFFFF"/>
        </w:rPr>
        <w:t>万元。</w:t>
      </w:r>
      <w:r>
        <w:rPr>
          <w:rFonts w:hint="default" w:ascii="Arial" w:hAnsi="Arial" w:eastAsia="微软雅黑" w:cs="Arial"/>
          <w:i w:val="0"/>
          <w:caps w:val="0"/>
          <w:color w:val="535353"/>
          <w:spacing w:val="0"/>
          <w:sz w:val="32"/>
          <w:szCs w:val="32"/>
          <w:u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caps w:val="0"/>
          <w:color w:val="535353"/>
          <w:spacing w:val="0"/>
          <w:sz w:val="22"/>
          <w:szCs w:val="22"/>
          <w:u w:val="none"/>
        </w:rPr>
      </w:pPr>
      <w:r>
        <w:rPr>
          <w:rFonts w:hint="default" w:ascii="Arial" w:hAnsi="Arial" w:eastAsia="微软雅黑" w:cs="Arial"/>
          <w:i w:val="0"/>
          <w:caps w:val="0"/>
          <w:color w:val="535353"/>
          <w:spacing w:val="0"/>
          <w:sz w:val="32"/>
          <w:szCs w:val="32"/>
          <w:u w:val="none"/>
          <w:shd w:val="clear" w:fill="FFFFFF"/>
        </w:rPr>
        <w:t>　　管理制度健全性：严格落实《湖南省财政厅机关财务管理办法》等有关管理制度，规范财务审批程序，推行公务卡结算，严格差旅费和接待费支出标准、范围和程序的审核。 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caps w:val="0"/>
          <w:color w:val="535353"/>
          <w:spacing w:val="0"/>
          <w:sz w:val="22"/>
          <w:szCs w:val="22"/>
          <w:u w:val="none"/>
        </w:rPr>
      </w:pPr>
      <w:r>
        <w:rPr>
          <w:rFonts w:hint="default" w:ascii="Arial" w:hAnsi="Arial" w:eastAsia="微软雅黑" w:cs="Arial"/>
          <w:i w:val="0"/>
          <w:caps w:val="0"/>
          <w:color w:val="535353"/>
          <w:spacing w:val="0"/>
          <w:sz w:val="32"/>
          <w:szCs w:val="32"/>
          <w:u w:val="none"/>
          <w:shd w:val="clear" w:fill="FFFFFF"/>
        </w:rPr>
        <w:t>　　资金使用合规性：严格落实中央八项规定和有关公务支出标准。加强经费合法合规性审核和预算控制，严格按制度政策办事，资金使用合法合规，支出手续齐全，程序到位。 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caps w:val="0"/>
          <w:color w:val="535353"/>
          <w:spacing w:val="0"/>
          <w:sz w:val="22"/>
          <w:szCs w:val="22"/>
          <w:u w:val="none"/>
        </w:rPr>
      </w:pPr>
      <w:r>
        <w:rPr>
          <w:rFonts w:hint="default" w:ascii="Arial" w:hAnsi="Arial" w:eastAsia="微软雅黑" w:cs="Arial"/>
          <w:i w:val="0"/>
          <w:caps w:val="0"/>
          <w:color w:val="535353"/>
          <w:spacing w:val="0"/>
          <w:sz w:val="32"/>
          <w:szCs w:val="32"/>
          <w:u w:val="none"/>
          <w:shd w:val="clear" w:fill="FFFFFF"/>
        </w:rPr>
        <w:t>　　预决算信息公开性：加快预算执行，盘活存量资金，减少追加资金。真实准确编制</w:t>
      </w:r>
      <w:r>
        <w:rPr>
          <w:rFonts w:hint="eastAsia" w:ascii="宋体" w:hAnsi="宋体" w:eastAsia="宋体" w:cs="宋体"/>
          <w:i w:val="0"/>
          <w:caps w:val="0"/>
          <w:color w:val="535353"/>
          <w:spacing w:val="0"/>
          <w:sz w:val="32"/>
          <w:szCs w:val="32"/>
          <w:u w:val="none"/>
          <w:shd w:val="clear" w:fill="FFFFFF"/>
        </w:rPr>
        <w:t>我馆</w:t>
      </w:r>
      <w:r>
        <w:rPr>
          <w:rFonts w:hint="default" w:ascii="Arial" w:hAnsi="Arial" w:eastAsia="微软雅黑" w:cs="Arial"/>
          <w:i w:val="0"/>
          <w:caps w:val="0"/>
          <w:color w:val="535353"/>
          <w:spacing w:val="0"/>
          <w:sz w:val="32"/>
          <w:szCs w:val="32"/>
          <w:u w:val="none"/>
          <w:shd w:val="clear" w:fill="FFFFFF"/>
        </w:rPr>
        <w:t>预算和决算，按时上报基础数据资料。对上年度部门整体支出进行了绩效评价，对标找差距。按规定时限和规定内容公开部门预算、部门决算以及绩效自评报告。各项应向社会公开的信息及时、完整、真实，更加细化，部门预决算信息透明度进一步提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caps w:val="0"/>
          <w:color w:val="535353"/>
          <w:spacing w:val="0"/>
          <w:sz w:val="22"/>
          <w:szCs w:val="22"/>
          <w:u w:val="none"/>
        </w:rPr>
      </w:pPr>
      <w:r>
        <w:rPr>
          <w:rFonts w:hint="default" w:ascii="Arial" w:hAnsi="Arial" w:eastAsia="微软雅黑" w:cs="Arial"/>
          <w:b/>
          <w:i w:val="0"/>
          <w:caps w:val="0"/>
          <w:color w:val="535353"/>
          <w:spacing w:val="0"/>
          <w:sz w:val="32"/>
          <w:szCs w:val="32"/>
          <w:u w:val="none"/>
          <w:shd w:val="clear" w:fill="FFFFFF"/>
        </w:rPr>
        <w:t>　　（四）职责履行和履职效益方面 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640" w:right="0" w:firstLine="0"/>
        <w:jc w:val="left"/>
        <w:rPr>
          <w:rFonts w:hint="default" w:ascii="微软雅黑" w:hAnsi="微软雅黑" w:eastAsia="微软雅黑" w:cs="微软雅黑"/>
          <w:i w:val="0"/>
          <w:caps w:val="0"/>
          <w:color w:val="535353"/>
          <w:spacing w:val="0"/>
          <w:sz w:val="22"/>
          <w:szCs w:val="22"/>
          <w:u w:val="none"/>
          <w:lang w:val="en-US"/>
        </w:rPr>
      </w:pPr>
      <w:r>
        <w:rPr>
          <w:rFonts w:hint="eastAsia" w:ascii="宋体" w:hAnsi="宋体" w:eastAsia="宋体" w:cs="宋体"/>
          <w:b/>
          <w:i w:val="0"/>
          <w:caps w:val="0"/>
          <w:color w:val="535353"/>
          <w:spacing w:val="0"/>
          <w:kern w:val="0"/>
          <w:sz w:val="32"/>
          <w:szCs w:val="32"/>
          <w:u w:val="none"/>
          <w:shd w:val="clear" w:fill="FFFFFF"/>
          <w:lang w:val="en-US" w:eastAsia="zh-CN" w:bidi="ar"/>
        </w:rPr>
        <w:t>1、组织开展各类群众文化活动8场次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left"/>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b/>
          <w:i w:val="0"/>
          <w:caps w:val="0"/>
          <w:color w:val="535353"/>
          <w:spacing w:val="0"/>
          <w:kern w:val="0"/>
          <w:sz w:val="32"/>
          <w:szCs w:val="32"/>
          <w:u w:val="none"/>
          <w:shd w:val="clear" w:fill="FFFFFF"/>
          <w:lang w:val="en-US" w:eastAsia="zh-CN" w:bidi="ar"/>
        </w:rPr>
        <w:t>    2、生产文艺作品，积极参加各类比赛推选活动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b/>
          <w:i w:val="0"/>
          <w:caps w:val="0"/>
          <w:color w:val="535353"/>
          <w:spacing w:val="0"/>
          <w:kern w:val="0"/>
          <w:sz w:val="32"/>
          <w:szCs w:val="32"/>
          <w:u w:val="none"/>
          <w:shd w:val="clear" w:fill="FFFFFF"/>
          <w:lang w:val="en-US" w:eastAsia="zh-CN" w:bidi="ar"/>
        </w:rPr>
        <w:t>3、免费开放和辅导培训工作常态化开展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i w:val="0"/>
          <w:caps w:val="0"/>
          <w:color w:val="535353"/>
          <w:spacing w:val="0"/>
          <w:kern w:val="0"/>
          <w:sz w:val="32"/>
          <w:szCs w:val="32"/>
          <w:u w:val="none"/>
          <w:shd w:val="clear" w:fill="FFFFFF"/>
          <w:lang w:val="en-US" w:eastAsia="zh-CN" w:bidi="ar"/>
        </w:rPr>
        <w:t>①开展了“文艺培训”积极培育业余文艺骨干。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i w:val="0"/>
          <w:caps w:val="0"/>
          <w:color w:val="535353"/>
          <w:spacing w:val="0"/>
          <w:kern w:val="0"/>
          <w:sz w:val="32"/>
          <w:szCs w:val="32"/>
          <w:u w:val="none"/>
          <w:shd w:val="clear" w:fill="FFFFFF"/>
          <w:lang w:val="en-US" w:eastAsia="zh-CN" w:bidi="ar"/>
        </w:rPr>
        <w:t>②免费开放常态性开展，馆内全年接纳、服务群众30000余人次。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i w:val="0"/>
          <w:caps w:val="0"/>
          <w:color w:val="535353"/>
          <w:spacing w:val="0"/>
          <w:kern w:val="0"/>
          <w:sz w:val="32"/>
          <w:szCs w:val="32"/>
          <w:u w:val="none"/>
          <w:shd w:val="clear" w:fill="FFFFFF"/>
          <w:lang w:val="en-US" w:eastAsia="zh-CN" w:bidi="ar"/>
        </w:rPr>
        <w:t>③组织业务人员为社区文艺团体辅导20余次。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i w:val="0"/>
          <w:caps w:val="0"/>
          <w:color w:val="535353"/>
          <w:spacing w:val="0"/>
          <w:kern w:val="0"/>
          <w:sz w:val="32"/>
          <w:szCs w:val="32"/>
          <w:u w:val="none"/>
          <w:shd w:val="clear" w:fill="FFFFFF"/>
          <w:lang w:val="en-US" w:eastAsia="zh-CN" w:bidi="ar"/>
        </w:rPr>
        <w:t>⑤举办了下乡惠民免费广场舞培训4期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b/>
          <w:i w:val="0"/>
          <w:caps w:val="0"/>
          <w:color w:val="535353"/>
          <w:spacing w:val="0"/>
          <w:kern w:val="0"/>
          <w:sz w:val="32"/>
          <w:szCs w:val="32"/>
          <w:u w:val="none"/>
          <w:shd w:val="clear" w:fill="FFFFFF"/>
          <w:lang w:val="en-US" w:eastAsia="zh-CN" w:bidi="ar"/>
        </w:rPr>
        <w:t>4、非物质文化遗产保护工作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i w:val="0"/>
          <w:caps w:val="0"/>
          <w:color w:val="535353"/>
          <w:spacing w:val="0"/>
          <w:kern w:val="0"/>
          <w:sz w:val="32"/>
          <w:szCs w:val="32"/>
          <w:u w:val="none"/>
          <w:shd w:val="clear" w:fill="FFFFFF"/>
          <w:lang w:val="en-US" w:eastAsia="zh-CN" w:bidi="ar"/>
        </w:rPr>
        <w:t>①举办木偶戏传习班2期。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i w:val="0"/>
          <w:caps w:val="0"/>
          <w:color w:val="535353"/>
          <w:spacing w:val="0"/>
          <w:kern w:val="0"/>
          <w:sz w:val="32"/>
          <w:szCs w:val="32"/>
          <w:u w:val="none"/>
          <w:shd w:val="clear" w:fill="FFFFFF"/>
          <w:lang w:val="en-US" w:eastAsia="zh-CN" w:bidi="ar"/>
        </w:rPr>
        <w:t>②开展非遗进社区活动2次，开展非遗进乡村展演2次。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i w:val="0"/>
          <w:caps w:val="0"/>
          <w:color w:val="535353"/>
          <w:spacing w:val="0"/>
          <w:kern w:val="0"/>
          <w:sz w:val="32"/>
          <w:szCs w:val="32"/>
          <w:u w:val="none"/>
          <w:shd w:val="clear" w:fill="FFFFFF"/>
          <w:lang w:val="en-US" w:eastAsia="zh-CN" w:bidi="ar"/>
        </w:rPr>
        <w:t>③6月8日，举办全国“文化和自然遗产日”展览活动。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left"/>
        <w:rPr>
          <w:rFonts w:hint="eastAsia" w:ascii="宋体" w:hAnsi="宋体" w:eastAsia="宋体" w:cs="宋体"/>
          <w:i w:val="0"/>
          <w:caps w:val="0"/>
          <w:color w:val="535353"/>
          <w:spacing w:val="0"/>
          <w:kern w:val="0"/>
          <w:sz w:val="32"/>
          <w:szCs w:val="32"/>
          <w:u w:val="none"/>
          <w:shd w:val="clear" w:fill="FFFFFF"/>
          <w:lang w:val="en-US" w:eastAsia="zh-CN" w:bidi="ar"/>
        </w:rPr>
      </w:pPr>
      <w:r>
        <w:rPr>
          <w:rFonts w:hint="eastAsia" w:ascii="宋体" w:hAnsi="宋体" w:eastAsia="宋体" w:cs="宋体"/>
          <w:i w:val="0"/>
          <w:caps w:val="0"/>
          <w:color w:val="535353"/>
          <w:spacing w:val="0"/>
          <w:kern w:val="0"/>
          <w:sz w:val="32"/>
          <w:szCs w:val="32"/>
          <w:u w:val="none"/>
          <w:shd w:val="clear" w:fill="FFFFFF"/>
          <w:lang w:val="en-US" w:eastAsia="zh-CN" w:bidi="ar"/>
        </w:rPr>
        <w:t>    ④木偶戏复排了两个剧目：《三打白骨精》，《定军山》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left"/>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i w:val="0"/>
          <w:caps w:val="0"/>
          <w:color w:val="53535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535353"/>
          <w:spacing w:val="0"/>
          <w:sz w:val="22"/>
          <w:szCs w:val="22"/>
          <w:u w:val="none"/>
        </w:rPr>
      </w:pPr>
      <w:r>
        <w:rPr>
          <w:rFonts w:hint="eastAsia" w:ascii="黑体" w:hAnsi="宋体" w:eastAsia="黑体" w:cs="黑体"/>
          <w:i w:val="0"/>
          <w:caps w:val="0"/>
          <w:color w:val="535353"/>
          <w:spacing w:val="0"/>
          <w:kern w:val="0"/>
          <w:sz w:val="32"/>
          <w:szCs w:val="32"/>
          <w:u w:val="none"/>
          <w:shd w:val="clear" w:fill="FFFFFF"/>
          <w:lang w:val="en-US" w:eastAsia="zh-CN" w:bidi="ar"/>
        </w:rPr>
        <w:t>四、存在问题与建议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i w:val="0"/>
          <w:caps w:val="0"/>
          <w:color w:val="535353"/>
          <w:spacing w:val="0"/>
          <w:kern w:val="0"/>
          <w:sz w:val="32"/>
          <w:szCs w:val="32"/>
          <w:u w:val="none"/>
          <w:shd w:val="clear" w:fill="FFFFFF"/>
          <w:lang w:val="en-US" w:eastAsia="zh-CN" w:bidi="ar"/>
        </w:rPr>
        <w:t>1、支付进度率有待加强。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i w:val="0"/>
          <w:caps w:val="0"/>
          <w:color w:val="535353"/>
          <w:spacing w:val="0"/>
          <w:kern w:val="0"/>
          <w:sz w:val="32"/>
          <w:szCs w:val="32"/>
          <w:u w:val="none"/>
          <w:shd w:val="clear" w:fill="FFFFFF"/>
          <w:lang w:val="en-US" w:eastAsia="zh-CN" w:bidi="ar"/>
        </w:rPr>
        <w:t>2、相关管理制度还有待进一步完善。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535353"/>
          <w:spacing w:val="0"/>
          <w:kern w:val="0"/>
          <w:sz w:val="32"/>
          <w:szCs w:val="32"/>
          <w:u w:val="none"/>
          <w:shd w:val="clear" w:fill="FFFFFF"/>
          <w:lang w:val="en-US" w:eastAsia="zh-CN" w:bidi="ar"/>
        </w:rPr>
      </w:pPr>
      <w:r>
        <w:rPr>
          <w:rFonts w:hint="eastAsia" w:ascii="宋体" w:hAnsi="宋体" w:eastAsia="宋体" w:cs="宋体"/>
          <w:i w:val="0"/>
          <w:caps w:val="0"/>
          <w:color w:val="535353"/>
          <w:spacing w:val="0"/>
          <w:kern w:val="0"/>
          <w:sz w:val="32"/>
          <w:szCs w:val="32"/>
          <w:u w:val="none"/>
          <w:shd w:val="clear" w:fill="FFFFFF"/>
          <w:lang w:val="en-US" w:eastAsia="zh-CN" w:bidi="ar"/>
        </w:rPr>
        <w:t>3、进一步加强单位各类效益的提高。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default" w:ascii="宋体" w:hAnsi="宋体" w:eastAsia="宋体" w:cs="宋体"/>
          <w:i w:val="0"/>
          <w:caps w:val="0"/>
          <w:color w:val="535353"/>
          <w:spacing w:val="0"/>
          <w:kern w:val="0"/>
          <w:sz w:val="32"/>
          <w:szCs w:val="32"/>
          <w:u w:val="none"/>
          <w:shd w:val="clear" w:fill="FFFFFF"/>
          <w:lang w:val="en-US" w:eastAsia="zh-CN" w:bidi="ar"/>
        </w:rPr>
      </w:pPr>
      <w:r>
        <w:rPr>
          <w:rFonts w:hint="eastAsia" w:ascii="宋体" w:hAnsi="宋体" w:eastAsia="宋体" w:cs="宋体"/>
          <w:i w:val="0"/>
          <w:caps w:val="0"/>
          <w:color w:val="535353"/>
          <w:spacing w:val="0"/>
          <w:kern w:val="0"/>
          <w:sz w:val="32"/>
          <w:szCs w:val="32"/>
          <w:u w:val="none"/>
          <w:shd w:val="clear" w:fill="FFFFFF"/>
          <w:lang w:val="en-US" w:eastAsia="zh-CN" w:bidi="ar"/>
        </w:rPr>
        <w:t>4、增加创作经费，支持精品文艺创作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535353"/>
          <w:spacing w:val="0"/>
          <w:sz w:val="22"/>
          <w:szCs w:val="22"/>
          <w:u w:val="none"/>
        </w:rPr>
      </w:pPr>
      <w:r>
        <w:rPr>
          <w:rFonts w:hint="eastAsia" w:ascii="黑体" w:hAnsi="宋体" w:eastAsia="黑体" w:cs="黑体"/>
          <w:i w:val="0"/>
          <w:caps w:val="0"/>
          <w:color w:val="535353"/>
          <w:spacing w:val="0"/>
          <w:kern w:val="0"/>
          <w:sz w:val="32"/>
          <w:szCs w:val="32"/>
          <w:u w:val="none"/>
          <w:shd w:val="clear" w:fill="FFFFFF"/>
          <w:lang w:val="en-US" w:eastAsia="zh-CN" w:bidi="ar"/>
        </w:rPr>
        <w:t>五、改进措施和相关建议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i w:val="0"/>
          <w:caps w:val="0"/>
          <w:color w:val="535353"/>
          <w:spacing w:val="0"/>
          <w:kern w:val="0"/>
          <w:sz w:val="32"/>
          <w:szCs w:val="32"/>
          <w:u w:val="none"/>
          <w:shd w:val="clear" w:fill="FFFFFF"/>
          <w:lang w:val="en-US" w:eastAsia="zh-CN" w:bidi="ar"/>
        </w:rPr>
        <w:t>建议加强队伍建设，抓好绩效评价管理部门的队伍建设和业务指导，培养部门的绩效管理队伍，建立绩效评价的长期机制。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640" w:firstLine="640"/>
        <w:jc w:val="right"/>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i w:val="0"/>
          <w:caps w:val="0"/>
          <w:color w:val="535353"/>
          <w:spacing w:val="0"/>
          <w:kern w:val="0"/>
          <w:sz w:val="32"/>
          <w:szCs w:val="32"/>
          <w:u w:val="none"/>
          <w:shd w:val="clear" w:fill="FFFFFF"/>
          <w:lang w:val="en-US" w:eastAsia="zh-CN" w:bidi="ar"/>
        </w:rPr>
        <w:t>邵东市文化馆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right"/>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i w:val="0"/>
          <w:caps w:val="0"/>
          <w:color w:val="535353"/>
          <w:spacing w:val="0"/>
          <w:kern w:val="0"/>
          <w:sz w:val="32"/>
          <w:szCs w:val="32"/>
          <w:u w:val="none"/>
          <w:shd w:val="clear" w:fill="FFFFFF"/>
          <w:lang w:val="en-US" w:eastAsia="zh-CN" w:bidi="ar"/>
        </w:rPr>
        <w:t>2</w:t>
      </w:r>
      <w:r>
        <w:rPr>
          <w:rFonts w:hint="default" w:ascii="Arial" w:hAnsi="Arial" w:eastAsia="微软雅黑" w:cs="Arial"/>
          <w:i w:val="0"/>
          <w:caps w:val="0"/>
          <w:color w:val="535353"/>
          <w:spacing w:val="0"/>
          <w:kern w:val="0"/>
          <w:sz w:val="32"/>
          <w:szCs w:val="32"/>
          <w:u w:val="none"/>
          <w:shd w:val="clear" w:fill="FFFFFF"/>
          <w:lang w:val="en-US" w:eastAsia="zh-CN" w:bidi="ar"/>
        </w:rPr>
        <w:t>020</w:t>
      </w:r>
      <w:r>
        <w:rPr>
          <w:rFonts w:hint="eastAsia" w:ascii="宋体" w:hAnsi="宋体" w:eastAsia="宋体" w:cs="宋体"/>
          <w:i w:val="0"/>
          <w:caps w:val="0"/>
          <w:color w:val="535353"/>
          <w:spacing w:val="0"/>
          <w:kern w:val="0"/>
          <w:sz w:val="32"/>
          <w:szCs w:val="32"/>
          <w:u w:val="none"/>
          <w:shd w:val="clear" w:fill="FFFFFF"/>
          <w:lang w:val="en-US" w:eastAsia="zh-CN" w:bidi="ar"/>
        </w:rPr>
        <w:t>年</w:t>
      </w:r>
      <w:r>
        <w:rPr>
          <w:rFonts w:hint="eastAsia" w:ascii="Arial" w:hAnsi="Arial" w:eastAsia="宋体" w:cs="Arial"/>
          <w:i w:val="0"/>
          <w:caps w:val="0"/>
          <w:color w:val="535353"/>
          <w:spacing w:val="0"/>
          <w:kern w:val="0"/>
          <w:sz w:val="32"/>
          <w:szCs w:val="32"/>
          <w:u w:val="none"/>
          <w:shd w:val="clear" w:fill="FFFFFF"/>
          <w:lang w:val="en-US" w:eastAsia="zh-CN" w:bidi="ar"/>
        </w:rPr>
        <w:t>9</w:t>
      </w:r>
      <w:r>
        <w:rPr>
          <w:rFonts w:hint="eastAsia" w:ascii="宋体" w:hAnsi="宋体" w:eastAsia="宋体" w:cs="宋体"/>
          <w:i w:val="0"/>
          <w:caps w:val="0"/>
          <w:color w:val="535353"/>
          <w:spacing w:val="0"/>
          <w:kern w:val="0"/>
          <w:sz w:val="32"/>
          <w:szCs w:val="32"/>
          <w:u w:val="none"/>
          <w:shd w:val="clear" w:fill="FFFFFF"/>
          <w:lang w:val="en-US" w:eastAsia="zh-CN" w:bidi="ar"/>
        </w:rPr>
        <w:t>月</w:t>
      </w:r>
      <w:r>
        <w:rPr>
          <w:rFonts w:hint="eastAsia" w:ascii="Arial" w:hAnsi="Arial" w:eastAsia="宋体" w:cs="Arial"/>
          <w:i w:val="0"/>
          <w:caps w:val="0"/>
          <w:color w:val="535353"/>
          <w:spacing w:val="0"/>
          <w:kern w:val="0"/>
          <w:sz w:val="32"/>
          <w:szCs w:val="32"/>
          <w:u w:val="none"/>
          <w:shd w:val="clear" w:fill="FFFFFF"/>
          <w:lang w:val="en-US" w:eastAsia="zh-CN" w:bidi="ar"/>
        </w:rPr>
        <w:t>10</w:t>
      </w:r>
      <w:r>
        <w:rPr>
          <w:rFonts w:hint="eastAsia" w:ascii="宋体" w:hAnsi="宋体" w:eastAsia="宋体" w:cs="宋体"/>
          <w:i w:val="0"/>
          <w:caps w:val="0"/>
          <w:color w:val="535353"/>
          <w:spacing w:val="0"/>
          <w:kern w:val="0"/>
          <w:sz w:val="32"/>
          <w:szCs w:val="32"/>
          <w:u w:val="none"/>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right"/>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i w:val="0"/>
          <w:caps w:val="0"/>
          <w:color w:val="53535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right"/>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i w:val="0"/>
          <w:caps w:val="0"/>
          <w:color w:val="53535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right"/>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i w:val="0"/>
          <w:caps w:val="0"/>
          <w:color w:val="53535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480" w:firstLine="643"/>
        <w:jc w:val="center"/>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b/>
          <w:i w:val="0"/>
          <w:caps w:val="0"/>
          <w:color w:val="535353"/>
          <w:spacing w:val="0"/>
          <w:kern w:val="0"/>
          <w:sz w:val="32"/>
          <w:szCs w:val="32"/>
          <w:u w:val="none"/>
          <w:shd w:val="clear" w:fill="FFFFFF"/>
          <w:lang w:val="en-US" w:eastAsia="zh-CN" w:bidi="ar"/>
        </w:rPr>
        <w:t>2019年邵东市文化馆整体支出绩效评价指标表</w:t>
      </w:r>
    </w:p>
    <w:tbl>
      <w:tblPr>
        <w:tblStyle w:val="3"/>
        <w:tblpPr w:leftFromText="180" w:rightFromText="180" w:vertAnchor="text" w:horzAnchor="page" w:tblpX="575" w:tblpY="288"/>
        <w:tblOverlap w:val="never"/>
        <w:tblW w:w="110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41"/>
        <w:gridCol w:w="636"/>
        <w:gridCol w:w="636"/>
        <w:gridCol w:w="4626"/>
        <w:gridCol w:w="3154"/>
        <w:gridCol w:w="636"/>
        <w:gridCol w:w="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0" w:hRule="atLeast"/>
        </w:trPr>
        <w:tc>
          <w:tcPr>
            <w:tcW w:w="74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一级指标</w:t>
            </w:r>
          </w:p>
        </w:tc>
        <w:tc>
          <w:tcPr>
            <w:tcW w:w="63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二级指标</w:t>
            </w:r>
          </w:p>
        </w:tc>
        <w:tc>
          <w:tcPr>
            <w:tcW w:w="63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三级指标</w:t>
            </w:r>
          </w:p>
        </w:tc>
        <w:tc>
          <w:tcPr>
            <w:tcW w:w="462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评价标准</w:t>
            </w:r>
          </w:p>
        </w:tc>
        <w:tc>
          <w:tcPr>
            <w:tcW w:w="315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备注</w:t>
            </w:r>
          </w:p>
        </w:tc>
        <w:tc>
          <w:tcPr>
            <w:tcW w:w="63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得分</w:t>
            </w:r>
          </w:p>
        </w:tc>
        <w:tc>
          <w:tcPr>
            <w:tcW w:w="63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20" w:hRule="atLeast"/>
        </w:trPr>
        <w:tc>
          <w:tcPr>
            <w:tcW w:w="741" w:type="dxa"/>
            <w:vMerge w:val="restart"/>
            <w:tcBorders>
              <w:top w:val="nil"/>
              <w:left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投    入</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目标设定（8分）</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绩效目标设定（8分）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531" w:right="0" w:firstLine="558"/>
              <w:jc w:val="center"/>
              <w:rPr>
                <w:u w:val="none"/>
              </w:rPr>
            </w:pPr>
            <w:r>
              <w:rPr>
                <w:rFonts w:hint="eastAsia" w:ascii="宋体" w:hAnsi="宋体" w:eastAsia="宋体" w:cs="宋体"/>
                <w:i w:val="0"/>
                <w:caps w:val="0"/>
                <w:color w:val="535353"/>
                <w:spacing w:val="0"/>
                <w:kern w:val="0"/>
                <w:sz w:val="21"/>
                <w:szCs w:val="21"/>
                <w:u w:val="none"/>
                <w:lang w:val="en-US" w:eastAsia="zh-CN" w:bidi="ar"/>
              </w:rPr>
              <w:t>整体支出绩效目标设立是否符合国家法律法规和社会发展总的规划计4分；与部门“三定方案”和中远期发展相符计4分。</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360" w:right="-107" w:hanging="360"/>
              <w:jc w:val="left"/>
              <w:rPr>
                <w:u w:val="none"/>
              </w:rPr>
            </w:pPr>
            <w:r>
              <w:rPr>
                <w:rFonts w:hint="eastAsia" w:ascii="微软雅黑" w:hAnsi="微软雅黑" w:eastAsia="微软雅黑" w:cs="微软雅黑"/>
                <w:i w:val="0"/>
                <w:caps w:val="0"/>
                <w:color w:val="535353"/>
                <w:spacing w:val="0"/>
                <w:kern w:val="0"/>
                <w:sz w:val="21"/>
                <w:szCs w:val="21"/>
                <w:u w:val="none"/>
                <w:lang w:val="en-US" w:eastAsia="zh-CN" w:bidi="ar"/>
              </w:rPr>
              <w:t>1. </w:t>
            </w:r>
            <w:r>
              <w:rPr>
                <w:rFonts w:hint="eastAsia" w:ascii="宋体" w:hAnsi="宋体" w:eastAsia="宋体" w:cs="宋体"/>
                <w:i w:val="0"/>
                <w:caps w:val="0"/>
                <w:color w:val="535353"/>
                <w:spacing w:val="0"/>
                <w:kern w:val="0"/>
                <w:sz w:val="21"/>
                <w:szCs w:val="21"/>
                <w:u w:val="none"/>
                <w:lang w:val="en-US" w:eastAsia="zh-CN" w:bidi="ar"/>
              </w:rPr>
              <w:t>按要求进行了绩效目标编制；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360" w:right="-107" w:hanging="360"/>
              <w:jc w:val="left"/>
              <w:rPr>
                <w:u w:val="none"/>
              </w:rPr>
            </w:pPr>
            <w:r>
              <w:rPr>
                <w:rFonts w:hint="eastAsia" w:ascii="微软雅黑" w:hAnsi="微软雅黑" w:eastAsia="微软雅黑" w:cs="微软雅黑"/>
                <w:i w:val="0"/>
                <w:caps w:val="0"/>
                <w:color w:val="535353"/>
                <w:spacing w:val="0"/>
                <w:kern w:val="0"/>
                <w:sz w:val="21"/>
                <w:szCs w:val="21"/>
                <w:u w:val="none"/>
                <w:lang w:val="en-US" w:eastAsia="zh-CN" w:bidi="ar"/>
              </w:rPr>
              <w:t>2. </w:t>
            </w:r>
            <w:r>
              <w:rPr>
                <w:rFonts w:hint="eastAsia" w:ascii="宋体" w:hAnsi="宋体" w:eastAsia="宋体" w:cs="宋体"/>
                <w:i w:val="0"/>
                <w:caps w:val="0"/>
                <w:color w:val="535353"/>
                <w:spacing w:val="0"/>
                <w:kern w:val="0"/>
                <w:sz w:val="21"/>
                <w:szCs w:val="21"/>
                <w:u w:val="none"/>
                <w:lang w:val="en-US" w:eastAsia="zh-CN" w:bidi="ar"/>
              </w:rPr>
              <w:t>按“三定”方案确定职责；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360" w:right="-107" w:hanging="360"/>
              <w:jc w:val="left"/>
              <w:rPr>
                <w:u w:val="none"/>
              </w:rPr>
            </w:pPr>
            <w:r>
              <w:rPr>
                <w:rFonts w:hint="eastAsia" w:ascii="微软雅黑" w:hAnsi="微软雅黑" w:eastAsia="微软雅黑" w:cs="微软雅黑"/>
                <w:i w:val="0"/>
                <w:caps w:val="0"/>
                <w:color w:val="535353"/>
                <w:spacing w:val="0"/>
                <w:kern w:val="0"/>
                <w:sz w:val="21"/>
                <w:szCs w:val="21"/>
                <w:u w:val="none"/>
                <w:lang w:val="en-US" w:eastAsia="zh-CN" w:bidi="ar"/>
              </w:rPr>
              <w:t>3. </w:t>
            </w:r>
            <w:r>
              <w:rPr>
                <w:rFonts w:hint="eastAsia" w:ascii="宋体" w:hAnsi="宋体" w:eastAsia="宋体" w:cs="宋体"/>
                <w:i w:val="0"/>
                <w:caps w:val="0"/>
                <w:color w:val="535353"/>
                <w:spacing w:val="0"/>
                <w:kern w:val="0"/>
                <w:sz w:val="21"/>
                <w:szCs w:val="21"/>
                <w:u w:val="none"/>
                <w:lang w:val="en-US" w:eastAsia="zh-CN" w:bidi="ar"/>
              </w:rPr>
              <w:t>制定了部门中远期发展规划。</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8</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20" w:hRule="atLeast"/>
        </w:trPr>
        <w:tc>
          <w:tcPr>
            <w:tcW w:w="741" w:type="dxa"/>
            <w:vMerge w:val="continue"/>
            <w:tcBorders>
              <w:top w:val="nil"/>
              <w:left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预算配置(12分)</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财政供养人员控制率（3分）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531" w:right="0" w:firstLine="558"/>
              <w:jc w:val="left"/>
              <w:rPr>
                <w:u w:val="none"/>
              </w:rPr>
            </w:pPr>
            <w:r>
              <w:rPr>
                <w:rFonts w:hint="eastAsia" w:ascii="宋体" w:hAnsi="宋体" w:eastAsia="宋体" w:cs="宋体"/>
                <w:i w:val="0"/>
                <w:caps w:val="0"/>
                <w:color w:val="535353"/>
                <w:spacing w:val="0"/>
                <w:kern w:val="0"/>
                <w:sz w:val="21"/>
                <w:szCs w:val="21"/>
                <w:u w:val="none"/>
                <w:lang w:val="en-US" w:eastAsia="zh-CN" w:bidi="ar"/>
              </w:rPr>
              <w:t>以100%为标准。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531" w:right="0" w:firstLine="558"/>
              <w:jc w:val="left"/>
              <w:rPr>
                <w:u w:val="none"/>
              </w:rPr>
            </w:pPr>
            <w:r>
              <w:rPr>
                <w:rFonts w:hint="eastAsia" w:ascii="宋体" w:hAnsi="宋体" w:eastAsia="宋体" w:cs="宋体"/>
                <w:i w:val="0"/>
                <w:caps w:val="0"/>
                <w:color w:val="535353"/>
                <w:spacing w:val="0"/>
                <w:kern w:val="0"/>
                <w:sz w:val="21"/>
                <w:szCs w:val="21"/>
                <w:u w:val="none"/>
                <w:lang w:val="en-US" w:eastAsia="zh-CN" w:bidi="ar"/>
              </w:rPr>
              <w:t>在职人员控制率≦  100%，计3分；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531" w:right="0" w:firstLine="558"/>
              <w:jc w:val="center"/>
              <w:rPr>
                <w:u w:val="none"/>
              </w:rPr>
            </w:pPr>
            <w:r>
              <w:rPr>
                <w:rFonts w:hint="eastAsia" w:ascii="宋体" w:hAnsi="宋体" w:eastAsia="宋体" w:cs="宋体"/>
                <w:i w:val="0"/>
                <w:caps w:val="0"/>
                <w:color w:val="535353"/>
                <w:spacing w:val="0"/>
                <w:kern w:val="0"/>
                <w:sz w:val="21"/>
                <w:szCs w:val="21"/>
                <w:u w:val="none"/>
                <w:lang w:val="en-US" w:eastAsia="zh-CN" w:bidi="ar"/>
              </w:rPr>
              <w:t>每超过一个百分点扣0.5分，扣完为止。</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210" w:right="-107" w:hanging="210"/>
              <w:jc w:val="left"/>
              <w:rPr>
                <w:u w:val="none"/>
              </w:rPr>
            </w:pPr>
            <w:r>
              <w:rPr>
                <w:rFonts w:hint="eastAsia" w:ascii="宋体" w:hAnsi="宋体" w:eastAsia="宋体" w:cs="宋体"/>
                <w:i w:val="0"/>
                <w:caps w:val="0"/>
                <w:color w:val="535353"/>
                <w:spacing w:val="0"/>
                <w:kern w:val="0"/>
                <w:sz w:val="21"/>
                <w:szCs w:val="21"/>
                <w:u w:val="none"/>
                <w:lang w:val="en-US" w:eastAsia="zh-CN" w:bidi="ar"/>
              </w:rPr>
              <w:t>财政预算 14人，实际在职14 人，在职控制率= 14 / 15  *100%= 93.3 %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3</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741" w:type="dxa"/>
            <w:vMerge w:val="continue"/>
            <w:tcBorders>
              <w:top w:val="nil"/>
              <w:left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“三公经费”变动率（4分）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“三公经费”变动率≦0 ，计4分；“三公经费”＞0，每超过一个百分点扣0.6分，扣完为止。</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上年度三公经费支出公务用车运行维护费 0万元，接待费 1.2万元，出国出境费 0 万元，共计1.2 万元。本年公车运行维护费 0  万元，招待费 0.2万元，共计0.2 万元。三公经费变动率=（本年-上年度）/上年度=-83%</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4</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160" w:hRule="atLeast"/>
        </w:trPr>
        <w:tc>
          <w:tcPr>
            <w:tcW w:w="741" w:type="dxa"/>
            <w:vMerge w:val="continue"/>
            <w:tcBorders>
              <w:top w:val="nil"/>
              <w:left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重点支出安排率（5分）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重点支出安排率≥90%，计5分；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80%（含）-90%，计4分；                           70%（含）-80%，计3分；                           60%（含）-70%，计2分；                            低于60%不得分。</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5</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41" w:hRule="atLeast"/>
        </w:trPr>
        <w:tc>
          <w:tcPr>
            <w:tcW w:w="741"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过    程</w:t>
            </w:r>
          </w:p>
        </w:tc>
        <w:tc>
          <w:tcPr>
            <w:tcW w:w="63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预算执行（20分）</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预算调整率（5分）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预算调整率=0，计5分；                       0-10%（含），计4分；                          10-20%（含），计3分；                                     20-30%（含），计2分；                             大于30%不得分。</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预算调整率为=调整数/2019年预算执行数*100%=0%</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5</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80"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支出进度（4分）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每年春节前下达全部专项资金的50%；9月底前所有专项资金指标全部下达完。 每出现一个专项未按进度完成资金下达扣0.5分，扣完为止。</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4</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16"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资金结余（5分）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无结余，5分；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有结余，但不超过上年结转，4分；                       结余超过上年结转，不得分。</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5</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“三公经费”控制率（6分）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以100%为标准。三公经费控制率≦100%，计6分；每超过一个百分点扣1分，扣完为止。</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6</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20" w:hRule="atLeast"/>
        </w:trPr>
        <w:tc>
          <w:tcPr>
            <w:tcW w:w="741"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过      程</w:t>
            </w:r>
          </w:p>
        </w:tc>
        <w:tc>
          <w:tcPr>
            <w:tcW w:w="63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预算管理（21分）</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管理制度健全性（6分）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1、制定或具有预算资金管理办法，内部财务管理制度、会计核算制度等管理制度，2分； 2、相关管理制度合法、合规、完整，2分； 3、相关管理制度得到有效执行，2分。</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6</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16"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资金使用合规性（10分）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1、支出符合国家财经法规和财务管理制度规定以及有关专项资金管理办法的规定；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2、资金拨付有完整的审批程序和手续；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3、项目支出按规定经过评估论证；                      4、支出按照部门预算批复的用途使用；                      5、资金使用无截留、挤占、挪用、虚列支出等情况。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6、按《采购法》实行政府采购；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7、按照《湖南省非税收入管理条例》规范收费的。 以上情况每出现一例不符合要求的扣1分，扣完为止。</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10</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0"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预决算信息公开性和完善性（5分）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1、按规定内容公开预决算信息，1分； 2、按规定时限公开预决算信息，1分；3、基础数据信息和会计信息资料真实，1分；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4、基础数据信息和会计信息资料完整，1分；                            5、基础数据信息和汇集信息资料准确，1分。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5</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05"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资产管理（10分）</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管理制度健全性（3分）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1、已制定资产管理制度1分；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 2、相关资产管理制度合法、合规、完整，2分；                        3、相关资产管理制度得到有效执行，1分。</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3</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33"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资产管理安全性（5分）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1、资产保存完整和资产信息系统建立、运用；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2、资产配置合理；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3、资产处置规范；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4、资产账务管理合规，帐实相符；                      5、国有资产有偿使用收入和处置收入及时足额上缴；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以上情况每出现一例不符合有关要求的扣1分，扣完为止。</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5</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95"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固定资产利用率（2分）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每低于100%一个百分点扣0.2分，扣完为止。</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0.6</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16" w:hRule="atLeast"/>
        </w:trPr>
        <w:tc>
          <w:tcPr>
            <w:tcW w:w="741"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产   出</w:t>
            </w:r>
          </w:p>
        </w:tc>
        <w:tc>
          <w:tcPr>
            <w:tcW w:w="63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职责履行（12分）</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工作实际完成率（6分）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根据评价部门制定的计划工作任务及内容考核实际完成情况及质量。该项得分=（实际完成情况/计划工作内容）*6</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6</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80"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重点工作质量达标率（6分）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质量达标率达到100%，计6分；每低于100%一个百分点扣0.5分，扣完为止。</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6</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741"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效  果</w:t>
            </w:r>
          </w:p>
        </w:tc>
        <w:tc>
          <w:tcPr>
            <w:tcW w:w="63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履职效益（17分）</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经济效益（4分）</w:t>
            </w:r>
          </w:p>
        </w:tc>
        <w:tc>
          <w:tcPr>
            <w:tcW w:w="462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360" w:right="0"/>
              <w:jc w:val="left"/>
              <w:rPr>
                <w:u w:val="none"/>
              </w:rPr>
            </w:pPr>
            <w:r>
              <w:rPr>
                <w:rFonts w:hint="eastAsia" w:ascii="宋体" w:hAnsi="宋体" w:eastAsia="宋体" w:cs="宋体"/>
                <w:i w:val="0"/>
                <w:caps w:val="0"/>
                <w:color w:val="535353"/>
                <w:spacing w:val="0"/>
                <w:kern w:val="0"/>
                <w:sz w:val="21"/>
                <w:szCs w:val="21"/>
                <w:u w:val="none"/>
                <w:lang w:val="en-US" w:eastAsia="zh-CN" w:bidi="ar"/>
              </w:rPr>
              <w:t>此条单位若没产生“经济效益”和“生态效益” ,社会效益从以下5个方面评价:1.在中央、省、政府考核中评为良以上；2.在部门考核中被评良以上；3.在市政府绩效评估中考核为优秀的；4.全年无违反党的“八项规定”的；5.无违反财政法规等行为的；</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07"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社会效益（4分)</w:t>
            </w:r>
          </w:p>
        </w:tc>
        <w:tc>
          <w:tcPr>
            <w:tcW w:w="462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4</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40"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生态效益(4分)</w:t>
            </w:r>
          </w:p>
        </w:tc>
        <w:tc>
          <w:tcPr>
            <w:tcW w:w="462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4</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社会公众或服务对象满意度（5分）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90%（含）以上计5分；80%（含）-90%，计3分；70%（含）-80%，计1分；低于70%计0分。</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5</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80" w:hRule="atLeast"/>
        </w:trPr>
        <w:tc>
          <w:tcPr>
            <w:tcW w:w="74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合计</w:t>
            </w:r>
          </w:p>
        </w:tc>
        <w:tc>
          <w:tcPr>
            <w:tcW w:w="127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100</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94.6</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480" w:firstLine="480"/>
        <w:jc w:val="center"/>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i w:val="0"/>
          <w:caps w:val="0"/>
          <w:color w:val="535353"/>
          <w:spacing w:val="0"/>
          <w:kern w:val="0"/>
          <w:sz w:val="24"/>
          <w:szCs w:val="24"/>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535353"/>
          <w:spacing w:val="0"/>
          <w:sz w:val="22"/>
          <w:szCs w:val="22"/>
          <w:u w:val="none"/>
        </w:rPr>
      </w:pPr>
      <w:r>
        <w:rPr>
          <w:rFonts w:hint="default" w:ascii="Times New Roman" w:hAnsi="Times New Roman" w:eastAsia="微软雅黑" w:cs="Times New Roman"/>
          <w:i w:val="0"/>
          <w:caps w:val="0"/>
          <w:color w:val="535353"/>
          <w:spacing w:val="0"/>
          <w:kern w:val="0"/>
          <w:sz w:val="21"/>
          <w:szCs w:val="21"/>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535353"/>
          <w:spacing w:val="0"/>
          <w:sz w:val="22"/>
          <w:szCs w:val="22"/>
          <w:u w:val="none"/>
        </w:rPr>
      </w:pPr>
      <w:r>
        <w:rPr>
          <w:rFonts w:hint="default" w:ascii="Times New Roman" w:hAnsi="Times New Roman" w:eastAsia="微软雅黑" w:cs="Times New Roman"/>
          <w:i w:val="0"/>
          <w:caps w:val="0"/>
          <w:color w:val="535353"/>
          <w:spacing w:val="0"/>
          <w:kern w:val="0"/>
          <w:sz w:val="21"/>
          <w:szCs w:val="21"/>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right"/>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i w:val="0"/>
          <w:caps w:val="0"/>
          <w:color w:val="535353"/>
          <w:spacing w:val="0"/>
          <w:kern w:val="0"/>
          <w:sz w:val="32"/>
          <w:szCs w:val="32"/>
          <w:u w:val="none"/>
          <w:shd w:val="clear" w:fill="FFFFFF"/>
          <w:lang w:val="en-US" w:eastAsia="zh-CN" w:bidi="ar"/>
        </w:rPr>
        <w:t> </w:t>
      </w:r>
    </w:p>
    <w:p>
      <w:pPr>
        <w:jc w:val="center"/>
        <w:rPr>
          <w:rFonts w:hint="eastAsia" w:ascii="宋体" w:hAnsi="宋体" w:cs="黑体"/>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F423E"/>
    <w:rsid w:val="1FBF423E"/>
    <w:rsid w:val="30CC4A4E"/>
    <w:rsid w:val="460A25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2020-09-10T02:47:00Z</dcterms:created>
  <dc:creator>文化馆李老师18274410957</dc:creator>
  <cp:lastModifiedBy>文化馆李老师18274410957</cp:lastModifiedBy>
  <cp:lastPrinted>2020-09-10T03:21:00Z</cp:lastPrinted>
  <dcterms:modified xsi:type="dcterms:W3CDTF">2020-09-30T01:21:17Z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