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邵东市团山镇人民政府整体支出绩效评价报告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一、部门（单位）基本概况</w:t>
      </w:r>
    </w:p>
    <w:p>
      <w:pPr>
        <w:pStyle w:val="29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一、部门职责</w:t>
      </w:r>
    </w:p>
    <w:p>
      <w:pPr>
        <w:autoSpaceDE w:val="0"/>
        <w:autoSpaceDN w:val="0"/>
        <w:adjustRightInd w:val="0"/>
        <w:snapToGrid w:val="0"/>
        <w:spacing w:line="555" w:lineRule="exact"/>
        <w:ind w:firstLine="744" w:firstLineChars="200"/>
        <w:rPr>
          <w:rFonts w:ascii="仿宋" w:hAnsi="仿宋" w:eastAsia="仿宋" w:cs="仿宋"/>
          <w:color w:val="000000"/>
          <w:spacing w:val="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6"/>
          <w:kern w:val="0"/>
          <w:sz w:val="32"/>
          <w:szCs w:val="32"/>
        </w:rPr>
        <w:t>1、宣传、贯彻党的方针政策和国家法律法规，执行上级党委、政府的指示、决议和</w:t>
      </w:r>
      <w:r>
        <w:rPr>
          <w:rFonts w:hint="eastAsia" w:ascii="仿宋" w:hAnsi="仿宋" w:eastAsia="仿宋" w:cs="仿宋"/>
          <w:color w:val="000000"/>
          <w:spacing w:val="33"/>
          <w:kern w:val="0"/>
          <w:sz w:val="32"/>
          <w:szCs w:val="32"/>
        </w:rPr>
        <w:t>决定，在职权范围内发布命令、决定，完成上级下达的各项经济指标和工作任务。</w:t>
      </w:r>
    </w:p>
    <w:p>
      <w:pPr>
        <w:autoSpaceDE w:val="0"/>
        <w:autoSpaceDN w:val="0"/>
        <w:adjustRightInd w:val="0"/>
        <w:snapToGrid w:val="0"/>
        <w:spacing w:line="555" w:lineRule="exact"/>
        <w:ind w:firstLine="728" w:firstLineChars="200"/>
        <w:rPr>
          <w:rFonts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>2、在乡镇党委的统一领导下，行使市政府赋予的权力，负责辖区的行政管理工作，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执行上级人民代表大会决议。</w:t>
      </w:r>
    </w:p>
    <w:p>
      <w:pPr>
        <w:autoSpaceDE w:val="0"/>
        <w:autoSpaceDN w:val="0"/>
        <w:adjustRightInd w:val="0"/>
        <w:snapToGrid w:val="0"/>
        <w:spacing w:line="555" w:lineRule="exact"/>
        <w:ind w:firstLine="728" w:firstLineChars="200"/>
        <w:rPr>
          <w:rFonts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>3、负责</w:t>
      </w: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  <w:lang w:eastAsia="zh-CN"/>
        </w:rPr>
        <w:t>制定</w:t>
      </w: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>并实施职权范围内的工作计划、工作制度以及完成计划的行政措施，领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导和监督机关各部门按时、保质、保量完成工作任务。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728" w:firstLineChars="200"/>
        <w:rPr>
          <w:rFonts w:ascii="仿宋" w:hAnsi="仿宋" w:eastAsia="仿宋" w:cs="仿宋"/>
          <w:color w:val="000000"/>
          <w:spacing w:val="6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2"/>
          <w:kern w:val="0"/>
          <w:sz w:val="32"/>
          <w:szCs w:val="32"/>
        </w:rPr>
        <w:t>4、负责管理经济和社会事务，开展科技兴农、兴企工作，完成农业、工业生产指标</w:t>
      </w:r>
      <w:r>
        <w:rPr>
          <w:rFonts w:hint="eastAsia" w:ascii="仿宋" w:hAnsi="仿宋" w:eastAsia="仿宋" w:cs="仿宋"/>
          <w:color w:val="000000"/>
          <w:spacing w:val="64"/>
          <w:kern w:val="0"/>
          <w:sz w:val="32"/>
          <w:szCs w:val="32"/>
        </w:rPr>
        <w:t>及其他各项工作任务，积极发展社区服务业，发展多元的乡镇经济。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724" w:firstLineChars="200"/>
        <w:rPr>
          <w:rFonts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1"/>
          <w:kern w:val="0"/>
          <w:sz w:val="32"/>
          <w:szCs w:val="32"/>
        </w:rPr>
        <w:t>5、加强社会治安综合治理，做好外来人口管理、青少年教育、做好武装工作；落实</w:t>
      </w:r>
      <w:r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  <w:t>人口计划指标，加强流动人口计生管理，搞好计生工作；做好拥军优属、社会救济等基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层社会保障工作。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736" w:firstLineChars="200"/>
        <w:rPr>
          <w:rFonts w:ascii="仿宋" w:hAnsi="仿宋" w:eastAsia="仿宋" w:cs="仿宋"/>
          <w:color w:val="000000"/>
          <w:spacing w:val="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  <w:t>6、做好社区教育、文化、体育活动的组织指导和协调工作，协助做好侨台事务。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804" w:firstLineChars="200"/>
        <w:rPr>
          <w:rFonts w:ascii="仿宋" w:hAnsi="仿宋" w:eastAsia="仿宋" w:cs="仿宋"/>
          <w:color w:val="000000"/>
          <w:spacing w:val="2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41"/>
          <w:kern w:val="0"/>
          <w:sz w:val="32"/>
          <w:szCs w:val="32"/>
        </w:rPr>
        <w:t>7、</w:t>
      </w:r>
      <w:r>
        <w:rPr>
          <w:rFonts w:hint="eastAsia" w:ascii="仿宋" w:hAnsi="仿宋" w:eastAsia="仿宋" w:cs="仿宋"/>
          <w:color w:val="000000"/>
          <w:spacing w:val="24"/>
          <w:kern w:val="0"/>
          <w:sz w:val="32"/>
          <w:szCs w:val="32"/>
        </w:rPr>
        <w:t>编制乡镇年度财政预、决算，管理、审查、监督村（居）委会财务。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708" w:firstLineChars="200"/>
        <w:rPr>
          <w:rFonts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7"/>
          <w:kern w:val="0"/>
          <w:sz w:val="32"/>
          <w:szCs w:val="32"/>
        </w:rPr>
        <w:t>8、指导、协调村（居）委会发展经济，帮助基层解决实际困难，及时向市政府反映群</w:t>
      </w: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众意见和要求，处理人民来信来访。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768" w:firstLineChars="200"/>
        <w:rPr>
          <w:rFonts w:ascii="仿宋" w:hAnsi="仿宋" w:eastAsia="仿宋" w:cs="仿宋"/>
          <w:color w:val="000000"/>
          <w:spacing w:val="3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32"/>
          <w:kern w:val="0"/>
          <w:sz w:val="32"/>
          <w:szCs w:val="32"/>
        </w:rPr>
        <w:t>9、协助产业园做好征地拆迁和招商引资工作，及时处理各种工农矛盾。</w:t>
      </w:r>
    </w:p>
    <w:p>
      <w:pPr>
        <w:autoSpaceDE w:val="0"/>
        <w:autoSpaceDN w:val="0"/>
        <w:adjustRightInd w:val="0"/>
        <w:snapToGrid w:val="0"/>
        <w:spacing w:line="530" w:lineRule="exact"/>
        <w:ind w:firstLine="696" w:firstLineChars="200"/>
        <w:rPr>
          <w:rFonts w:ascii="仿宋" w:hAnsi="仿宋" w:eastAsia="仿宋" w:cs="仿宋"/>
          <w:color w:val="000000"/>
          <w:spacing w:val="14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4"/>
          <w:kern w:val="0"/>
          <w:sz w:val="32"/>
          <w:szCs w:val="32"/>
        </w:rPr>
        <w:t>10、承办市委、市政府交办的其他工作。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邵东市团山镇人民政府</w:t>
      </w:r>
      <w:r>
        <w:rPr>
          <w:rFonts w:hint="eastAsia" w:ascii="仿宋" w:hAnsi="仿宋" w:eastAsia="仿宋" w:cs="仿宋"/>
          <w:sz w:val="32"/>
          <w:szCs w:val="32"/>
        </w:rPr>
        <w:t>下设内设机构分别是人大事务、政协事务、财政事务、纪检、组织、卫计、农业、武装、政法、统战、宣传、妇联、工会、扶贫、统计、重点项目、信访维稳、劳动就业、工业城建、文化广播、环境卫生整治、其他事务等。</w:t>
      </w:r>
    </w:p>
    <w:p>
      <w:pPr>
        <w:widowControl/>
        <w:spacing w:line="600" w:lineRule="exac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本单位内设机构包括：1、政府，2、便民服务中心，3、行政执法大队，4、农业综合服务站，5、社会事务中心，6、敬老院，7、财政所，8、退役军人事务服务站。</w:t>
      </w:r>
    </w:p>
    <w:p>
      <w:pPr>
        <w:pStyle w:val="30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2022年度本年收入合计4526.07万元，其中：财政拨款收入4526.07万元，占100%；上级补助收入0万元，占0%；事业收入0万元，占0%；经营收入0万元，占0%；其他收入0万元，占0%；上年结余资金0万元。本年支出合计4526.07万元，其中：基本支出2123.20万元，占46.91%；项目支出2402.88万元，占53.09%；经营支出0万元，占0%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截至2022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年末固定资产总计：4,599,216.38 元，其中无形资产412000元，财政财务管理制度及执行情况良好。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二、部门（单位）整体支出绩效状况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对照文件规定的考核指标，我镇从制度建设、资金使用情况、绩效目标管理等方面对2022年部门整体支出绩效开展了评价，具体情况如下： </w:t>
      </w:r>
      <w:r>
        <w:rPr>
          <w:rFonts w:hint="eastAsia" w:ascii="黑体" w:hAnsi="黑体" w:eastAsia="黑体"/>
          <w:sz w:val="32"/>
          <w:szCs w:val="32"/>
        </w:rPr>
        <w:t> </w:t>
      </w: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（一）制度建设方面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我单位积极组织开展部门制度建设工作。在全面性、重要性、制衡性、适应性等原则基础上进一步完善了本单位的工作制度、纪律制度、财务制度，使之成为符合实际、行之有效的一套工作制度，提高了单位的管理水平，规范了内部控制，加强了廉政风险防控机制建设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（二）资金使用方面 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  </w:t>
      </w:r>
    </w:p>
    <w:p>
      <w:pPr>
        <w:pStyle w:val="1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绩效目标管理方面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我单位严格按照规定进行科学、合理的预算绩效编制，确保绩效目标填报的完整性和可行性、绩效目标过程监控的规范性和长效性、绩效评价的客观性和公正性。根据对我单位 2022 年部门整体支出项目绩效评价指标体系和绩效情况的检查，2022 年我单位部门整体绩效自评分92分，为“优秀”等级。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（1）内控制度需进一步完善，随着资金管理改革的进一步推进，我单位内部机构进行了相应的优化，建立健全了财务管理制度、固定资产管理制度、费用报销流程等制度，但仍需进一步强化财务约束监督体制。</w:t>
      </w:r>
    </w:p>
    <w:p>
      <w:pPr>
        <w:pStyle w:val="11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（2）年初预算准确度不高，与实际执行数有一定的差距，年中需要做预算调整。</w:t>
      </w:r>
    </w:p>
    <w:p>
      <w:pPr>
        <w:numPr>
          <w:ilvl w:val="0"/>
          <w:numId w:val="2"/>
        </w:numPr>
        <w:spacing w:line="60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提高财政资金绩效的措施与建议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（1）加强队伍建设及相关业务知识，严格执行预算，提高预算编制的科学性及合理性，为资金管理及绩效评价工作开展创造</w:t>
      </w:r>
      <w:r>
        <w:rPr>
          <w:rFonts w:hint="eastAsia" w:eastAsia="仿宋_GB2312"/>
          <w:sz w:val="32"/>
          <w:szCs w:val="32"/>
          <w:lang w:eastAsia="zh-CN"/>
        </w:rPr>
        <w:t>良好</w:t>
      </w:r>
      <w:r>
        <w:rPr>
          <w:rFonts w:hint="eastAsia" w:eastAsia="仿宋_GB2312"/>
          <w:sz w:val="32"/>
          <w:szCs w:val="32"/>
        </w:rPr>
        <w:t>的条件。</w:t>
      </w: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eastAsia="仿宋_GB2312" w:cs="Times New Roman"/>
          <w:kern w:val="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严格按照绩效管理及考核相关工作细化、量化，做准基本支出预算，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做全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项目支出预算。</w:t>
      </w: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邵东市团山镇人民政府</w:t>
      </w:r>
    </w:p>
    <w:p>
      <w:pPr>
        <w:pStyle w:val="11"/>
        <w:shd w:val="clear" w:color="auto" w:fill="FFFFFF"/>
        <w:spacing w:before="0" w:beforeAutospacing="0" w:after="0" w:afterAutospacing="0"/>
        <w:ind w:firstLine="420"/>
        <w:jc w:val="righ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2023年8月25日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 w:rightChars="20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>
    <w:pPr>
      <w:pStyle w:val="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200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22 -</w:t>
    </w:r>
    <w:r>
      <w:rPr>
        <w:rFonts w:hint="eastAsia" w:ascii="仿宋_GB2312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00AB4EAC"/>
    <w:rsid w:val="00537EAD"/>
    <w:rsid w:val="00AB4EAC"/>
    <w:rsid w:val="00D06568"/>
    <w:rsid w:val="095835E2"/>
    <w:rsid w:val="1FE26B5A"/>
    <w:rsid w:val="24931A58"/>
    <w:rsid w:val="3D1437EF"/>
    <w:rsid w:val="467F2304"/>
    <w:rsid w:val="54F87D6E"/>
    <w:rsid w:val="5E9A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24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9"/>
    <w:qFormat/>
    <w:uiPriority w:val="0"/>
    <w:pPr>
      <w:ind w:left="420"/>
    </w:pPr>
    <w:rPr>
      <w:rFonts w:ascii="楷体_GB2312" w:eastAsia="楷体_GB2312"/>
      <w:sz w:val="32"/>
    </w:rPr>
  </w:style>
  <w:style w:type="paragraph" w:styleId="6">
    <w:name w:val="Date"/>
    <w:basedOn w:val="1"/>
    <w:next w:val="1"/>
    <w:link w:val="20"/>
    <w:uiPriority w:val="0"/>
    <w:pPr>
      <w:ind w:left="100" w:leftChars="250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6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link w:val="3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8">
    <w:name w:val="标题 3 字符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正文文本缩进 字符"/>
    <w:link w:val="5"/>
    <w:qFormat/>
    <w:uiPriority w:val="0"/>
    <w:rPr>
      <w:rFonts w:ascii="楷体_GB2312" w:hAnsi="Times New Roman" w:eastAsia="楷体_GB2312" w:cs="Times New Roman"/>
      <w:kern w:val="2"/>
      <w:sz w:val="32"/>
      <w:szCs w:val="24"/>
    </w:rPr>
  </w:style>
  <w:style w:type="character" w:customStyle="1" w:styleId="20">
    <w:name w:val="日期 字符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框文本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字符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眉 字符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副标题 字符"/>
    <w:link w:val="10"/>
    <w:qFormat/>
    <w:uiPriority w:val="0"/>
    <w:rPr>
      <w:rFonts w:ascii="Cambria" w:hAnsi="Cambria" w:eastAsia="黑体" w:cs="Times New Roman"/>
      <w:bCs/>
      <w:kern w:val="28"/>
      <w:sz w:val="28"/>
      <w:szCs w:val="32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0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29">
    <w:name w:val="List Paragraph_e859cc04-c854-4906-a69a-2c380d4e37d9"/>
    <w:basedOn w:val="1"/>
    <w:qFormat/>
    <w:uiPriority w:val="0"/>
    <w:pPr>
      <w:ind w:firstLine="420" w:firstLineChars="200"/>
    </w:p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31">
    <w:name w:val="font81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32">
    <w:name w:val="font0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33">
    <w:name w:val="font1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34">
    <w:name w:val="font41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paragraph" w:customStyle="1" w:styleId="3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551</Words>
  <Characters>3145</Characters>
  <Lines>26</Lines>
  <Paragraphs>7</Paragraphs>
  <TotalTime>0</TotalTime>
  <ScaleCrop>false</ScaleCrop>
  <LinksUpToDate>false</LinksUpToDate>
  <CharactersWithSpaces>3689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2023-08-18T03:40:00Z</dcterms:created>
  <dc:creator>Microsoft</dc:creator>
  <cp:lastModifiedBy>胡刚强</cp:lastModifiedBy>
  <cp:lastPrinted>2023-08-18T03:25:00Z</cp:lastPrinted>
  <dcterms:modified xsi:type="dcterms:W3CDTF">2023-12-21T09:07:23Z</dcterms:modified>
  <dc:title>邵东市财政局关于做好2019年市级部门（单位）绩效评价工作的通知、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C855E20DE79746139B8198B769458AA1_13</vt:lpwstr>
  </property>
</Properties>
</file>