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sz w:val="44"/>
          <w:szCs w:val="44"/>
        </w:rPr>
      </w:pPr>
      <w:r>
        <w:rPr>
          <w:rFonts w:hint="eastAsia" w:ascii="宋体" w:hAnsi="宋体"/>
          <w:b/>
          <w:bCs/>
          <w:sz w:val="44"/>
          <w:szCs w:val="44"/>
        </w:rPr>
        <w:t>邵东市双凤乡人民政府整体支出</w:t>
      </w:r>
    </w:p>
    <w:p>
      <w:pPr>
        <w:spacing w:line="600" w:lineRule="exact"/>
        <w:jc w:val="center"/>
        <w:rPr>
          <w:rFonts w:ascii="宋体" w:hAnsi="宋体"/>
          <w:b/>
          <w:bCs/>
          <w:sz w:val="44"/>
          <w:szCs w:val="44"/>
        </w:rPr>
      </w:pPr>
      <w:r>
        <w:rPr>
          <w:rFonts w:hint="eastAsia" w:ascii="宋体" w:hAnsi="宋体"/>
          <w:b/>
          <w:bCs/>
          <w:sz w:val="44"/>
          <w:szCs w:val="44"/>
        </w:rPr>
        <w:t>绩效评价报告</w:t>
      </w:r>
    </w:p>
    <w:p>
      <w:pPr>
        <w:spacing w:line="600" w:lineRule="exact"/>
        <w:rPr>
          <w:rFonts w:ascii="仿宋_GB2312" w:hAnsi="仿宋_GB2312" w:eastAsia="仿宋_GB2312" w:cs="仿宋_GB2312"/>
          <w:sz w:val="28"/>
          <w:szCs w:val="28"/>
        </w:rPr>
      </w:pPr>
    </w:p>
    <w:p>
      <w:pPr>
        <w:spacing w:line="520" w:lineRule="exact"/>
        <w:ind w:firstLine="614" w:firstLineChars="192"/>
        <w:rPr>
          <w:rFonts w:ascii="黑体" w:hAnsi="黑体" w:eastAsia="黑体"/>
          <w:sz w:val="32"/>
          <w:szCs w:val="32"/>
        </w:rPr>
      </w:pPr>
      <w:r>
        <w:rPr>
          <w:rFonts w:hint="eastAsia" w:ascii="黑体" w:hAnsi="黑体" w:eastAsia="黑体"/>
          <w:sz w:val="32"/>
          <w:szCs w:val="32"/>
        </w:rPr>
        <w:t>一、部门（单位）基本概况</w:t>
      </w:r>
    </w:p>
    <w:p>
      <w:pPr>
        <w:spacing w:line="520" w:lineRule="exact"/>
        <w:ind w:firstLine="614" w:firstLineChars="19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执行本级人民代表大会决议和上级国家行政机关的决定和命令，发布决定和命令</w:t>
      </w:r>
      <w:r>
        <w:rPr>
          <w:rFonts w:hint="eastAsia" w:ascii="仿宋" w:hAnsi="仿宋" w:eastAsia="仿宋"/>
          <w:sz w:val="32"/>
          <w:szCs w:val="32"/>
          <w:lang w:eastAsia="zh-CN"/>
        </w:rPr>
        <w:t>；</w:t>
      </w:r>
      <w:r>
        <w:rPr>
          <w:rFonts w:hint="eastAsia" w:ascii="仿宋" w:hAnsi="仿宋" w:eastAsia="仿宋"/>
          <w:sz w:val="32"/>
          <w:szCs w:val="32"/>
        </w:rPr>
        <w:t>落实国家政策，严格依法行政。</w:t>
      </w:r>
    </w:p>
    <w:p>
      <w:pPr>
        <w:spacing w:line="520" w:lineRule="exact"/>
        <w:ind w:firstLine="614" w:firstLineChars="19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执行本乡区域内的经济和社会发展计划、预算，管理本乡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spacing w:line="520" w:lineRule="exact"/>
        <w:ind w:firstLine="614" w:firstLineChars="19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spacing w:line="520" w:lineRule="exact"/>
        <w:ind w:firstLine="614" w:firstLineChars="19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制定并组织实施乡村建设规划，部署重点工程建设，地方道路建设及公共设施，水利设施的管理，负责土地、林木、水等自然资源和生态环境的保护，做好护林防火工作。</w:t>
      </w:r>
    </w:p>
    <w:p>
      <w:pPr>
        <w:spacing w:line="520" w:lineRule="exact"/>
        <w:ind w:firstLine="614" w:firstLineChars="19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按计划组织本级财政收入和地方税的征收，完成国家财政计划，不断培植税源，管好财政资金，增强财政实力。</w:t>
      </w:r>
    </w:p>
    <w:p>
      <w:pPr>
        <w:spacing w:line="520" w:lineRule="exact"/>
        <w:ind w:firstLine="614" w:firstLineChars="19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保障宪法和法律赋予妇女的男女平等、同工同酬和婚姻自由等各项权利，保障少数民族的合法权利和尊重少数民族的风俗习惯。</w:t>
      </w:r>
    </w:p>
    <w:p>
      <w:pPr>
        <w:spacing w:line="520" w:lineRule="exact"/>
        <w:ind w:firstLine="614" w:firstLineChars="19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7</w:t>
      </w:r>
      <w:r>
        <w:rPr>
          <w:rFonts w:hint="eastAsia" w:ascii="仿宋" w:hAnsi="仿宋" w:eastAsia="仿宋"/>
          <w:sz w:val="32"/>
          <w:szCs w:val="32"/>
          <w:lang w:eastAsia="zh-CN"/>
        </w:rPr>
        <w:t>）</w:t>
      </w:r>
      <w:r>
        <w:rPr>
          <w:rFonts w:hint="eastAsia" w:ascii="仿宋" w:hAnsi="仿宋" w:eastAsia="仿宋"/>
          <w:sz w:val="32"/>
          <w:szCs w:val="32"/>
        </w:rPr>
        <w:t>抓好精神文明建设，丰富群众文化生活，提倡移风易俗，反对封建迷信，破除陈规陋习，树立社会主义新风尚。</w:t>
      </w:r>
    </w:p>
    <w:p>
      <w:pPr>
        <w:spacing w:line="520" w:lineRule="exact"/>
        <w:ind w:firstLine="614" w:firstLineChars="19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承办市委、市人民政府交办的其他事项。</w:t>
      </w:r>
    </w:p>
    <w:p>
      <w:pPr>
        <w:widowControl/>
        <w:spacing w:line="600" w:lineRule="exact"/>
        <w:ind w:firstLine="630" w:firstLineChars="196"/>
        <w:jc w:val="left"/>
        <w:rPr>
          <w:rFonts w:eastAsia="仿宋_GB2312"/>
          <w:b/>
          <w:bCs/>
          <w:sz w:val="32"/>
          <w:szCs w:val="32"/>
        </w:rPr>
      </w:pPr>
      <w:r>
        <w:rPr>
          <w:rFonts w:eastAsia="仿宋_GB2312"/>
          <w:b/>
          <w:bCs/>
          <w:sz w:val="32"/>
          <w:szCs w:val="32"/>
        </w:rPr>
        <w:t>2、</w:t>
      </w:r>
      <w:r>
        <w:rPr>
          <w:rFonts w:hint="eastAsia" w:eastAsia="仿宋_GB2312"/>
          <w:b/>
          <w:bCs/>
          <w:sz w:val="32"/>
          <w:szCs w:val="32"/>
        </w:rPr>
        <w:t>机构设置及人员概况：</w:t>
      </w:r>
    </w:p>
    <w:p>
      <w:pPr>
        <w:widowControl/>
        <w:spacing w:line="600" w:lineRule="exact"/>
        <w:ind w:firstLine="947" w:firstLineChars="296"/>
        <w:jc w:val="left"/>
        <w:rPr>
          <w:rFonts w:eastAsia="仿宋_GB2312"/>
          <w:sz w:val="32"/>
          <w:szCs w:val="32"/>
        </w:rPr>
      </w:pPr>
      <w:r>
        <w:rPr>
          <w:rFonts w:hint="eastAsia" w:eastAsia="仿宋_GB2312"/>
          <w:sz w:val="32"/>
          <w:szCs w:val="32"/>
        </w:rPr>
        <w:t>我乡共内设单位7个：双凤乡人民政府、双凤乡财政所、双凤乡社会事务综合服务中心、双凤乡政务（便民）服务中心、双凤乡综合行政执法大队、双凤乡退役军人服务站、双凤乡农业综合服务中心。</w:t>
      </w:r>
    </w:p>
    <w:p>
      <w:pPr>
        <w:widowControl/>
        <w:spacing w:line="600" w:lineRule="exact"/>
        <w:ind w:firstLine="627" w:firstLineChars="196"/>
        <w:jc w:val="left"/>
        <w:rPr>
          <w:rFonts w:ascii="仿宋" w:hAnsi="仿宋" w:eastAsia="仿宋"/>
          <w:sz w:val="32"/>
          <w:szCs w:val="32"/>
        </w:rPr>
      </w:pPr>
      <w:r>
        <w:rPr>
          <w:rFonts w:hint="eastAsia" w:ascii="仿宋" w:hAnsi="仿宋" w:eastAsia="仿宋"/>
          <w:sz w:val="32"/>
          <w:szCs w:val="32"/>
        </w:rPr>
        <w:t>2022年年末单位正式职工51人，其中财政全额拨款事业编的工资统发人员26人，财政全额拨款公务员编的工资统发人员25人，2022年年末临聘人员6人。</w:t>
      </w:r>
    </w:p>
    <w:p>
      <w:pPr>
        <w:widowControl/>
        <w:spacing w:line="600" w:lineRule="exact"/>
        <w:ind w:firstLine="630" w:firstLineChars="196"/>
        <w:jc w:val="left"/>
        <w:rPr>
          <w:rFonts w:eastAsia="仿宋_GB2312"/>
          <w:b/>
          <w:bCs/>
          <w:sz w:val="32"/>
          <w:szCs w:val="32"/>
        </w:rPr>
      </w:pPr>
      <w:r>
        <w:rPr>
          <w:rFonts w:hint="eastAsia" w:eastAsia="仿宋_GB2312"/>
          <w:b/>
          <w:bCs/>
          <w:sz w:val="32"/>
          <w:szCs w:val="32"/>
        </w:rPr>
        <w:t>3、2022年度财政收支情况和年末固定资产状况：</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2022年财政收支均为1757.80万元，其中一般公共预算财政拨款1718.53万元，政府性基金预算财政拨款39万元，国有资本经营预算财政拨款0.27万元。本单位2022年末固定资产原值344.67万元。</w:t>
      </w:r>
    </w:p>
    <w:p>
      <w:pPr>
        <w:widowControl/>
        <w:spacing w:line="600" w:lineRule="exact"/>
        <w:ind w:firstLine="630" w:firstLineChars="196"/>
        <w:jc w:val="left"/>
        <w:rPr>
          <w:rFonts w:eastAsia="仿宋_GB2312"/>
          <w:b/>
          <w:bCs/>
          <w:sz w:val="32"/>
          <w:szCs w:val="32"/>
        </w:rPr>
      </w:pPr>
      <w:r>
        <w:rPr>
          <w:rFonts w:hint="eastAsia" w:eastAsia="仿宋_GB2312"/>
          <w:b/>
          <w:bCs/>
          <w:sz w:val="32"/>
          <w:szCs w:val="32"/>
        </w:rPr>
        <w:t>4、财政财务管理制度及执行情况：</w:t>
      </w:r>
    </w:p>
    <w:p>
      <w:pPr>
        <w:spacing w:line="520" w:lineRule="exact"/>
        <w:ind w:firstLine="614" w:firstLineChars="192"/>
        <w:rPr>
          <w:rFonts w:ascii="仿宋_GB2312" w:hAnsi="仿宋" w:eastAsia="仿宋_GB2312"/>
          <w:sz w:val="32"/>
          <w:szCs w:val="32"/>
        </w:rPr>
      </w:pPr>
      <w:r>
        <w:rPr>
          <w:rFonts w:hint="eastAsia" w:ascii="仿宋" w:hAnsi="仿宋" w:eastAsia="仿宋"/>
          <w:sz w:val="32"/>
          <w:szCs w:val="32"/>
        </w:rPr>
        <w:t>本单位财务管理制度健全，执行制度严格合规，会计核算符合相关规定，资金专款专用，资金支付依据和开支标准合法合规，并建立了相关内部控制制度，对日常财务活动监督管理到位。所有支出严格按照《中华人民共和国会计法</w:t>
      </w:r>
      <w:r>
        <w:rPr>
          <w:rFonts w:hint="eastAsia" w:ascii="仿宋" w:hAnsi="仿宋" w:eastAsia="仿宋"/>
          <w:sz w:val="32"/>
          <w:szCs w:val="32"/>
          <w:lang w:eastAsia="zh-CN"/>
        </w:rPr>
        <w:t>》《</w:t>
      </w:r>
      <w:r>
        <w:rPr>
          <w:rFonts w:hint="eastAsia" w:ascii="仿宋" w:hAnsi="仿宋" w:eastAsia="仿宋"/>
          <w:sz w:val="32"/>
          <w:szCs w:val="32"/>
        </w:rPr>
        <w:t>中华人民共和国政府采购法》、财政部《行政单位财务规则》和邵东市有关法规规定执行。</w:t>
      </w:r>
    </w:p>
    <w:p>
      <w:pPr>
        <w:spacing w:line="520" w:lineRule="exact"/>
        <w:ind w:firstLine="614" w:firstLineChars="192"/>
        <w:rPr>
          <w:rFonts w:ascii="黑体" w:hAnsi="黑体" w:eastAsia="黑体"/>
          <w:sz w:val="32"/>
          <w:szCs w:val="32"/>
        </w:rPr>
      </w:pPr>
      <w:r>
        <w:rPr>
          <w:rFonts w:hint="eastAsia" w:ascii="黑体" w:hAnsi="黑体" w:eastAsia="黑体"/>
          <w:sz w:val="32"/>
          <w:szCs w:val="32"/>
        </w:rPr>
        <w:t>二、部门（单位）整体支出绩效状况</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2022年，根据年初预算的重点工作，我乡通过对财政资金的使用，取得了如下绩效：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仿宋"/>
          <w:color w:val="000000"/>
          <w:sz w:val="32"/>
          <w:szCs w:val="32"/>
        </w:rPr>
        <w:t>能严格遵守各项规章制度，严控“三公”经费支出，“三公经费”减少，并及时在市人民政府门户网站上对“三公”经费情况进行公示。</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2、按预算执行本乡的各项开支，预算完成率和控制率均达到100%，收支平衡。</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3、政府采购执行与控制率达到100%。</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4、各项制度管理健全，资金使用合规。</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5、重点工作和业务工作完成率100%。</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6、取得良好的经济效益和社会效益。</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7、提高行政效能，提升社会公众服务对象的满意度。</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8、预决算信息公开率100%。</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9、农村基础设施建设及民生工程持续改善。</w:t>
      </w:r>
    </w:p>
    <w:p>
      <w:pPr>
        <w:spacing w:line="600" w:lineRule="exact"/>
        <w:ind w:firstLine="614" w:firstLineChars="192"/>
        <w:rPr>
          <w:rFonts w:ascii="黑体" w:hAnsi="黑体" w:eastAsia="黑体"/>
          <w:color w:val="FF0000"/>
          <w:sz w:val="32"/>
          <w:szCs w:val="32"/>
        </w:rPr>
      </w:pPr>
      <w:r>
        <w:rPr>
          <w:rFonts w:hint="eastAsia" w:ascii="仿宋" w:hAnsi="仿宋" w:eastAsia="仿宋"/>
          <w:sz w:val="32"/>
          <w:szCs w:val="32"/>
        </w:rPr>
        <w:t>10、政府自身建设不断加强。乡政府自觉接受乡人大和群众监督，继续推行政务公开，严格执行“八项规定”和“六项禁令”，坚决反对“四风”实现“一站式”服务；拓展村级服务站，简化办事程序，政府效能和执行力稳步提高。</w:t>
      </w:r>
    </w:p>
    <w:p>
      <w:pPr>
        <w:spacing w:line="520" w:lineRule="exact"/>
        <w:ind w:firstLine="614" w:firstLineChars="192"/>
        <w:rPr>
          <w:rFonts w:ascii="黑体" w:hAnsi="黑体" w:eastAsia="黑体"/>
          <w:sz w:val="32"/>
          <w:szCs w:val="32"/>
        </w:rPr>
      </w:pPr>
      <w:r>
        <w:rPr>
          <w:rFonts w:hint="eastAsia" w:ascii="黑体" w:hAnsi="黑体" w:eastAsia="黑体"/>
          <w:sz w:val="32"/>
          <w:szCs w:val="32"/>
        </w:rPr>
        <w:t>三、存在的问题及原因</w:t>
      </w:r>
    </w:p>
    <w:p>
      <w:pPr>
        <w:spacing w:line="520" w:lineRule="exact"/>
        <w:ind w:firstLine="614" w:firstLineChars="192"/>
        <w:rPr>
          <w:rFonts w:ascii="黑体" w:hAnsi="黑体" w:eastAsia="黑体"/>
          <w:sz w:val="32"/>
          <w:szCs w:val="32"/>
        </w:rPr>
      </w:pPr>
      <w:r>
        <w:rPr>
          <w:rFonts w:hint="eastAsia" w:ascii="黑体" w:hAnsi="黑体" w:eastAsia="黑体"/>
          <w:sz w:val="32"/>
          <w:szCs w:val="32"/>
        </w:rPr>
        <w:t>（一）绩效理念有待加强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因业务水平有限，我乡在填制2022年部门整体支出绩效目标申报表时，指标设立不够细化量化，且未设置经济效益、社会效益、生态效益等项目效益指标，预算绩效目标申报及自评工作有待完善。</w:t>
      </w:r>
    </w:p>
    <w:p>
      <w:pPr>
        <w:spacing w:line="520" w:lineRule="exact"/>
        <w:ind w:firstLine="614" w:firstLineChars="192"/>
        <w:rPr>
          <w:rFonts w:ascii="黑体" w:hAnsi="黑体" w:eastAsia="黑体"/>
          <w:sz w:val="32"/>
          <w:szCs w:val="32"/>
        </w:rPr>
      </w:pPr>
      <w:bookmarkStart w:id="0" w:name="_Toc25938895"/>
      <w:r>
        <w:rPr>
          <w:rFonts w:hint="eastAsia" w:ascii="黑体" w:hAnsi="黑体" w:eastAsia="黑体"/>
          <w:sz w:val="32"/>
          <w:szCs w:val="32"/>
        </w:rPr>
        <w:t>（二）年初预算欠准确</w:t>
      </w:r>
      <w:bookmarkEnd w:id="0"/>
    </w:p>
    <w:p>
      <w:pPr>
        <w:spacing w:line="600" w:lineRule="exact"/>
        <w:ind w:firstLine="614" w:firstLineChars="192"/>
        <w:rPr>
          <w:rFonts w:ascii="仿宋_GB2312" w:hAnsi="仿宋" w:eastAsia="仿宋_GB2312"/>
          <w:b/>
          <w:bCs/>
          <w:color w:val="FF0000"/>
          <w:sz w:val="32"/>
          <w:szCs w:val="32"/>
        </w:rPr>
      </w:pPr>
      <w:r>
        <w:rPr>
          <w:rFonts w:hint="eastAsia" w:ascii="仿宋" w:hAnsi="仿宋" w:eastAsia="仿宋"/>
          <w:sz w:val="32"/>
          <w:szCs w:val="32"/>
        </w:rPr>
        <w:t>年初预算准确度不高，与实际执行数有一定的差距，年中需要做预算调整。主要原因是：乡镇有些支出的特殊性导致决算数与预算数的差异。</w:t>
      </w:r>
    </w:p>
    <w:p>
      <w:pPr>
        <w:spacing w:line="520" w:lineRule="exact"/>
        <w:ind w:firstLine="614" w:firstLineChars="192"/>
        <w:rPr>
          <w:rFonts w:ascii="黑体" w:hAnsi="黑体" w:eastAsia="黑体"/>
          <w:sz w:val="32"/>
          <w:szCs w:val="32"/>
        </w:rPr>
      </w:pPr>
      <w:r>
        <w:rPr>
          <w:rFonts w:hint="eastAsia" w:ascii="黑体" w:hAnsi="黑体" w:eastAsia="黑体"/>
          <w:sz w:val="32"/>
          <w:szCs w:val="32"/>
        </w:rPr>
        <w:t>四、提高财政资金绩效的措施与建议</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一、认真贯彻落实《预算法》预算绩效管理方面的规定及关于推进预算绩效管理改革各项要求的情况；</w:t>
      </w:r>
    </w:p>
    <w:p>
      <w:pPr>
        <w:spacing w:line="520" w:lineRule="exact"/>
        <w:ind w:firstLine="614" w:firstLineChars="192"/>
        <w:rPr>
          <w:rFonts w:ascii="仿宋" w:hAnsi="仿宋" w:eastAsia="仿宋"/>
          <w:sz w:val="32"/>
          <w:szCs w:val="32"/>
        </w:rPr>
      </w:pPr>
      <w:r>
        <w:rPr>
          <w:rFonts w:hint="eastAsia" w:ascii="仿宋" w:hAnsi="仿宋" w:eastAsia="仿宋"/>
          <w:sz w:val="32"/>
          <w:szCs w:val="32"/>
        </w:rPr>
        <w:t>二、通过科学规范制定管理制度有效地加强了预算绩效管理；</w:t>
      </w:r>
    </w:p>
    <w:p>
      <w:pPr>
        <w:spacing w:line="600" w:lineRule="exact"/>
        <w:ind w:firstLine="614" w:firstLineChars="192"/>
        <w:rPr>
          <w:rFonts w:ascii="仿宋" w:hAnsi="仿宋" w:eastAsia="仿宋"/>
          <w:sz w:val="32"/>
          <w:szCs w:val="32"/>
        </w:rPr>
      </w:pPr>
      <w:r>
        <w:rPr>
          <w:rFonts w:hint="eastAsia" w:ascii="仿宋" w:hAnsi="仿宋" w:eastAsia="仿宋"/>
          <w:sz w:val="32"/>
          <w:szCs w:val="32"/>
        </w:rPr>
        <w:t>三、围绕“预算编制有目标、预算执行有监控、预算完成有评价、评价结果有反馈、反馈结果有应用”开展工作，突出预算绩效管理，提高资金使用效益。</w:t>
      </w:r>
    </w:p>
    <w:p>
      <w:pPr>
        <w:spacing w:line="600" w:lineRule="exact"/>
        <w:ind w:firstLine="614" w:firstLineChars="192"/>
        <w:rPr>
          <w:rFonts w:ascii="仿宋" w:hAnsi="仿宋" w:eastAsia="仿宋"/>
          <w:sz w:val="32"/>
          <w:szCs w:val="32"/>
        </w:rPr>
      </w:pPr>
      <w:r>
        <w:rPr>
          <w:rFonts w:hint="eastAsia" w:ascii="仿宋" w:hAnsi="仿宋" w:eastAsia="仿宋" w:cs="仿宋"/>
          <w:sz w:val="32"/>
          <w:szCs w:val="32"/>
        </w:rPr>
        <w:t>四、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600" w:lineRule="exact"/>
        <w:ind w:firstLine="614" w:firstLineChars="192"/>
        <w:rPr>
          <w:rFonts w:ascii="仿宋" w:hAnsi="仿宋" w:eastAsia="仿宋"/>
          <w:sz w:val="32"/>
          <w:szCs w:val="32"/>
        </w:rPr>
      </w:pPr>
    </w:p>
    <w:p>
      <w:pPr>
        <w:spacing w:line="600" w:lineRule="exact"/>
        <w:ind w:firstLine="614" w:firstLineChars="192"/>
        <w:rPr>
          <w:rFonts w:ascii="仿宋" w:hAnsi="仿宋" w:eastAsia="仿宋"/>
          <w:sz w:val="32"/>
          <w:szCs w:val="32"/>
        </w:rPr>
      </w:pPr>
    </w:p>
    <w:p>
      <w:pPr>
        <w:spacing w:line="520" w:lineRule="exact"/>
        <w:ind w:firstLine="614" w:firstLineChars="192"/>
        <w:jc w:val="right"/>
        <w:rPr>
          <w:rFonts w:ascii="仿宋" w:hAnsi="仿宋" w:eastAsia="仿宋"/>
          <w:sz w:val="32"/>
          <w:szCs w:val="32"/>
        </w:rPr>
      </w:pPr>
      <w:r>
        <w:rPr>
          <w:rFonts w:hint="eastAsia" w:ascii="仿宋" w:hAnsi="仿宋" w:eastAsia="仿宋"/>
          <w:sz w:val="32"/>
          <w:szCs w:val="32"/>
        </w:rPr>
        <w:t>邵东市双凤乡人民政府</w:t>
      </w:r>
    </w:p>
    <w:p>
      <w:pPr>
        <w:spacing w:line="520" w:lineRule="exact"/>
        <w:ind w:firstLine="614" w:firstLineChars="192"/>
        <w:jc w:val="right"/>
        <w:rPr>
          <w:rFonts w:ascii="仿宋" w:hAnsi="仿宋" w:eastAsia="仿宋"/>
          <w:sz w:val="32"/>
          <w:szCs w:val="32"/>
        </w:rPr>
      </w:pPr>
      <w:r>
        <w:rPr>
          <w:rFonts w:hint="eastAsia" w:ascii="仿宋" w:hAnsi="仿宋" w:eastAsia="仿宋"/>
          <w:sz w:val="32"/>
          <w:szCs w:val="32"/>
        </w:rPr>
        <w:t>2023年08月28日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FiYWUxNGFjMzRiNmZmMDhlMjllZmUxNmE2MWEifQ=="/>
  </w:docVars>
  <w:rsids>
    <w:rsidRoot w:val="00336DD7"/>
    <w:rsid w:val="000E38FD"/>
    <w:rsid w:val="00336DD7"/>
    <w:rsid w:val="009C5154"/>
    <w:rsid w:val="00AB1E62"/>
    <w:rsid w:val="0526618F"/>
    <w:rsid w:val="078525DD"/>
    <w:rsid w:val="13DC3B29"/>
    <w:rsid w:val="190A14C5"/>
    <w:rsid w:val="296543A4"/>
    <w:rsid w:val="2F431687"/>
    <w:rsid w:val="349329B1"/>
    <w:rsid w:val="3A36340C"/>
    <w:rsid w:val="3B400552"/>
    <w:rsid w:val="416F51A5"/>
    <w:rsid w:val="45EA4F42"/>
    <w:rsid w:val="539E1EDC"/>
    <w:rsid w:val="5C3A12D7"/>
    <w:rsid w:val="64D73231"/>
    <w:rsid w:val="723B23BF"/>
    <w:rsid w:val="757C69CF"/>
    <w:rsid w:val="79514E48"/>
    <w:rsid w:val="7EB7133F"/>
    <w:rsid w:val="7FB6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652</Words>
  <Characters>3717</Characters>
  <Lines>30</Lines>
  <Paragraphs>8</Paragraphs>
  <TotalTime>0</TotalTime>
  <ScaleCrop>false</ScaleCrop>
  <LinksUpToDate>false</LinksUpToDate>
  <CharactersWithSpaces>4361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2023-08-03T01:55:00Z</dcterms:created>
  <dc:creator>Administrator</dc:creator>
  <cp:lastModifiedBy>Administrator</cp:lastModifiedBy>
  <dcterms:modified xsi:type="dcterms:W3CDTF">2023-12-21T10:23:44Z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34AC09158B574D5096EBE46AE6631B88_13</vt:lpwstr>
  </property>
</Properties>
</file>