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right="0"/>
        <w:jc w:val="center"/>
        <w:rPr>
          <w:b w:val="0"/>
          <w:bCs w:val="0"/>
          <w:i w:val="0"/>
          <w:iCs w:val="0"/>
          <w:color w:val="016AAE"/>
          <w:sz w:val="36"/>
          <w:szCs w:val="36"/>
        </w:rPr>
      </w:pPr>
      <w:r>
        <w:rPr>
          <w:b w:val="0"/>
          <w:bCs w:val="0"/>
          <w:i w:val="0"/>
          <w:iCs w:val="0"/>
          <w:caps w:val="0"/>
          <w:color w:val="016AAE"/>
          <w:spacing w:val="0"/>
          <w:sz w:val="36"/>
          <w:szCs w:val="36"/>
          <w:shd w:val="clear" w:color="auto" w:fill="FFFFFF"/>
        </w:rPr>
        <w:t>邵东市邮政快递业发展中心202</w:t>
      </w:r>
      <w:r>
        <w:rPr>
          <w:rFonts w:hint="eastAsia"/>
          <w:b w:val="0"/>
          <w:bCs w:val="0"/>
          <w:i w:val="0"/>
          <w:iCs w:val="0"/>
          <w:caps w:val="0"/>
          <w:color w:val="016AAE"/>
          <w:spacing w:val="0"/>
          <w:sz w:val="36"/>
          <w:szCs w:val="36"/>
          <w:shd w:val="clear" w:color="auto" w:fill="FFFFFF"/>
          <w:lang w:val="en-US" w:eastAsia="zh-CN"/>
        </w:rPr>
        <w:t>4</w:t>
      </w:r>
      <w:r>
        <w:rPr>
          <w:b w:val="0"/>
          <w:bCs w:val="0"/>
          <w:i w:val="0"/>
          <w:iCs w:val="0"/>
          <w:caps w:val="0"/>
          <w:color w:val="016AAE"/>
          <w:spacing w:val="0"/>
          <w:sz w:val="36"/>
          <w:szCs w:val="36"/>
          <w:shd w:val="clear" w:color="auto" w:fill="FFFFFF"/>
        </w:rPr>
        <w:t>年部门预算</w:t>
      </w:r>
    </w:p>
    <w:p>
      <w:pPr>
        <w:widowControl/>
        <w:spacing w:line="360" w:lineRule="auto"/>
        <w:jc w:val="center"/>
        <w:rPr>
          <w:rFonts w:hint="eastAsia" w:ascii="仿宋_GB2312" w:hAnsi="仿宋_GB2312" w:eastAsia="仿宋_GB2312" w:cs="仿宋_GB2312"/>
          <w:b/>
          <w:bCs w:val="0"/>
          <w:color w:val="auto"/>
          <w:kern w:val="0"/>
          <w:sz w:val="32"/>
          <w:szCs w:val="32"/>
        </w:rPr>
      </w:pPr>
      <w:r>
        <w:rPr>
          <w:rFonts w:hint="eastAsia" w:ascii="仿宋_GB2312" w:hAnsi="仿宋_GB2312" w:eastAsia="仿宋_GB2312" w:cs="仿宋_GB2312"/>
          <w:b/>
          <w:bCs w:val="0"/>
          <w:color w:val="auto"/>
          <w:kern w:val="0"/>
          <w:sz w:val="32"/>
          <w:szCs w:val="32"/>
        </w:rPr>
        <w:t>目</w:t>
      </w:r>
      <w:r>
        <w:rPr>
          <w:rFonts w:hint="eastAsia" w:ascii="仿宋_GB2312" w:hAnsi="仿宋_GB2312" w:eastAsia="仿宋_GB2312" w:cs="仿宋_GB2312"/>
          <w:b/>
          <w:bCs w:val="0"/>
          <w:color w:val="auto"/>
          <w:kern w:val="0"/>
          <w:sz w:val="32"/>
          <w:szCs w:val="32"/>
          <w:lang w:val="en-US" w:eastAsia="zh-CN"/>
        </w:rPr>
        <w:t xml:space="preserve"> </w:t>
      </w:r>
      <w:r>
        <w:rPr>
          <w:rFonts w:hint="eastAsia" w:ascii="仿宋_GB2312" w:hAnsi="仿宋_GB2312" w:eastAsia="仿宋_GB2312" w:cs="仿宋_GB2312"/>
          <w:b/>
          <w:bCs w:val="0"/>
          <w:color w:val="auto"/>
          <w:kern w:val="0"/>
          <w:sz w:val="32"/>
          <w:szCs w:val="32"/>
        </w:rPr>
        <w:t>录</w:t>
      </w:r>
    </w:p>
    <w:p>
      <w:pPr>
        <w:widowControl/>
        <w:spacing w:line="360" w:lineRule="auto"/>
        <w:ind w:hanging="2"/>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sz w:val="32"/>
          <w:szCs w:val="32"/>
        </w:rPr>
        <w:t>第一部分</w:t>
      </w:r>
      <w:r>
        <w:rPr>
          <w:rFonts w:hint="eastAsia" w:ascii="仿宋_GB2312" w:hAnsi="仿宋_GB2312" w:eastAsia="仿宋_GB2312" w:cs="仿宋_GB2312"/>
          <w:b/>
          <w:bCs/>
          <w:color w:val="auto"/>
          <w:sz w:val="32"/>
          <w:szCs w:val="32"/>
          <w:lang w:val="en-US" w:eastAsia="zh-CN"/>
        </w:rPr>
        <w:t xml:space="preserve">  </w:t>
      </w:r>
      <w:r>
        <w:rPr>
          <w:rFonts w:hint="default" w:ascii="仿宋_GB2312" w:hAnsi="微软雅黑" w:eastAsia="仿宋_GB2312" w:cs="仿宋_GB2312"/>
          <w:b/>
          <w:bCs/>
          <w:i w:val="0"/>
          <w:iCs w:val="0"/>
          <w:caps w:val="0"/>
          <w:color w:val="333333"/>
          <w:spacing w:val="0"/>
          <w:kern w:val="0"/>
          <w:sz w:val="32"/>
          <w:szCs w:val="32"/>
          <w:shd w:val="clear" w:color="auto" w:fill="FFFFFF"/>
          <w:lang w:val="en-US" w:eastAsia="zh-CN" w:bidi="ar"/>
        </w:rPr>
        <w:t>邵东市邮政快递业发展中心</w:t>
      </w:r>
      <w:r>
        <w:rPr>
          <w:rFonts w:hint="eastAsia" w:ascii="仿宋_GB2312" w:hAnsi="仿宋_GB2312" w:eastAsia="仿宋_GB2312" w:cs="仿宋_GB2312"/>
          <w:b/>
          <w:bCs/>
          <w:color w:val="auto"/>
          <w:kern w:val="0"/>
          <w:sz w:val="32"/>
          <w:szCs w:val="32"/>
          <w:lang w:val="en-US" w:eastAsia="zh-CN"/>
        </w:rPr>
        <w:t>2024</w:t>
      </w:r>
      <w:r>
        <w:rPr>
          <w:rFonts w:hint="eastAsia" w:ascii="仿宋_GB2312" w:hAnsi="仿宋_GB2312" w:eastAsia="仿宋_GB2312" w:cs="仿宋_GB2312"/>
          <w:b/>
          <w:bCs/>
          <w:color w:val="auto"/>
          <w:kern w:val="0"/>
          <w:sz w:val="32"/>
          <w:szCs w:val="32"/>
        </w:rPr>
        <w:t>年部门预算说明</w:t>
      </w:r>
    </w:p>
    <w:p>
      <w:pPr>
        <w:widowControl/>
        <w:spacing w:line="600" w:lineRule="exact"/>
        <w:jc w:val="left"/>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一、部门基本概况</w:t>
      </w:r>
    </w:p>
    <w:p>
      <w:pPr>
        <w:widowControl/>
        <w:spacing w:line="600" w:lineRule="exact"/>
        <w:jc w:val="left"/>
        <w:rPr>
          <w:rFonts w:eastAsia="仿宋_GB2312"/>
          <w:color w:val="auto"/>
          <w:sz w:val="32"/>
          <w:szCs w:val="32"/>
        </w:rPr>
      </w:pPr>
      <w:r>
        <w:rPr>
          <w:rFonts w:hint="eastAsia" w:eastAsia="仿宋_GB2312"/>
          <w:color w:val="auto"/>
          <w:sz w:val="32"/>
          <w:szCs w:val="32"/>
          <w:lang w:eastAsia="zh-CN"/>
        </w:rPr>
        <w:t>（一）</w:t>
      </w:r>
      <w:r>
        <w:rPr>
          <w:rFonts w:eastAsia="仿宋_GB2312"/>
          <w:color w:val="auto"/>
          <w:sz w:val="32"/>
          <w:szCs w:val="32"/>
        </w:rPr>
        <w:t>职能职责</w:t>
      </w:r>
    </w:p>
    <w:p>
      <w:pPr>
        <w:widowControl/>
        <w:spacing w:line="600" w:lineRule="exact"/>
        <w:jc w:val="left"/>
        <w:rPr>
          <w:rFonts w:eastAsia="仿宋_GB2312"/>
          <w:color w:val="auto"/>
          <w:sz w:val="32"/>
          <w:szCs w:val="32"/>
        </w:rPr>
      </w:pPr>
      <w:r>
        <w:rPr>
          <w:rFonts w:hint="eastAsia" w:eastAsia="仿宋_GB2312"/>
          <w:color w:val="auto"/>
          <w:sz w:val="32"/>
          <w:szCs w:val="32"/>
          <w:lang w:eastAsia="zh-CN"/>
        </w:rPr>
        <w:t>（二）</w:t>
      </w:r>
      <w:r>
        <w:rPr>
          <w:rFonts w:eastAsia="仿宋_GB2312"/>
          <w:color w:val="auto"/>
          <w:sz w:val="32"/>
          <w:szCs w:val="32"/>
        </w:rPr>
        <w:t>机构设置</w:t>
      </w:r>
    </w:p>
    <w:p>
      <w:pPr>
        <w:widowControl/>
        <w:spacing w:line="600" w:lineRule="exact"/>
        <w:jc w:val="left"/>
        <w:rPr>
          <w:rFonts w:hint="eastAsia" w:eastAsia="仿宋_GB2312"/>
          <w:color w:val="auto"/>
          <w:sz w:val="32"/>
          <w:szCs w:val="32"/>
          <w:lang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三</w:t>
      </w:r>
      <w:r>
        <w:rPr>
          <w:rFonts w:hint="eastAsia" w:eastAsia="仿宋_GB2312"/>
          <w:color w:val="auto"/>
          <w:sz w:val="32"/>
          <w:szCs w:val="32"/>
          <w:lang w:eastAsia="zh-CN"/>
        </w:rPr>
        <w:t>）单位基本情况：</w:t>
      </w:r>
    </w:p>
    <w:p>
      <w:pPr>
        <w:widowControl/>
        <w:spacing w:line="360" w:lineRule="auto"/>
        <w:ind w:hanging="2"/>
        <w:jc w:val="left"/>
        <w:rPr>
          <w:rFonts w:hint="eastAsia" w:ascii="仿宋_GB2312" w:eastAsia="仿宋_GB2312"/>
          <w:color w:val="auto"/>
          <w:kern w:val="0"/>
          <w:sz w:val="32"/>
          <w:szCs w:val="32"/>
        </w:rPr>
      </w:pPr>
      <w:r>
        <w:rPr>
          <w:rFonts w:hint="eastAsia" w:ascii="仿宋_GB2312" w:eastAsia="仿宋_GB2312"/>
          <w:color w:val="auto"/>
          <w:kern w:val="0"/>
          <w:sz w:val="32"/>
          <w:szCs w:val="32"/>
        </w:rPr>
        <w:t>二、部门预算单位构成</w:t>
      </w:r>
    </w:p>
    <w:p>
      <w:pPr>
        <w:widowControl/>
        <w:spacing w:line="360" w:lineRule="auto"/>
        <w:ind w:hanging="2"/>
        <w:jc w:val="left"/>
        <w:rPr>
          <w:rFonts w:hint="eastAsia" w:ascii="仿宋_GB2312" w:eastAsia="仿宋_GB2312"/>
          <w:bCs/>
          <w:color w:val="auto"/>
          <w:kern w:val="0"/>
          <w:sz w:val="32"/>
          <w:szCs w:val="32"/>
        </w:rPr>
      </w:pPr>
      <w:r>
        <w:rPr>
          <w:rFonts w:hint="eastAsia" w:ascii="仿宋_GB2312" w:eastAsia="仿宋_GB2312"/>
          <w:bCs/>
          <w:color w:val="auto"/>
          <w:kern w:val="0"/>
          <w:sz w:val="32"/>
          <w:szCs w:val="32"/>
        </w:rPr>
        <w:t>三、部门收支总体情况说明</w:t>
      </w:r>
    </w:p>
    <w:p>
      <w:pPr>
        <w:spacing w:line="360" w:lineRule="auto"/>
        <w:ind w:hanging="2"/>
        <w:rPr>
          <w:rFonts w:hint="eastAsia" w:ascii="仿宋_GB2312" w:eastAsia="仿宋_GB2312"/>
          <w:bCs/>
          <w:color w:val="auto"/>
          <w:kern w:val="0"/>
          <w:sz w:val="32"/>
          <w:szCs w:val="32"/>
        </w:rPr>
      </w:pPr>
      <w:r>
        <w:rPr>
          <w:rFonts w:hint="eastAsia" w:ascii="仿宋_GB2312" w:eastAsia="仿宋_GB2312"/>
          <w:color w:val="auto"/>
          <w:sz w:val="32"/>
          <w:szCs w:val="32"/>
        </w:rPr>
        <w:t>1、收入预算</w:t>
      </w:r>
      <w:r>
        <w:rPr>
          <w:rFonts w:hint="eastAsia" w:ascii="仿宋_GB2312" w:eastAsia="仿宋_GB2312"/>
          <w:bCs/>
          <w:color w:val="auto"/>
          <w:kern w:val="0"/>
          <w:sz w:val="32"/>
          <w:szCs w:val="32"/>
        </w:rPr>
        <w:t>情况说明</w:t>
      </w:r>
    </w:p>
    <w:p>
      <w:pPr>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rPr>
        <w:t>2、支出预算</w:t>
      </w:r>
      <w:r>
        <w:rPr>
          <w:rFonts w:hint="eastAsia" w:ascii="仿宋_GB2312" w:eastAsia="仿宋_GB2312"/>
          <w:bCs/>
          <w:color w:val="auto"/>
          <w:kern w:val="0"/>
          <w:sz w:val="32"/>
          <w:szCs w:val="32"/>
        </w:rPr>
        <w:t>情况说明</w:t>
      </w:r>
    </w:p>
    <w:p>
      <w:pPr>
        <w:widowControl/>
        <w:spacing w:line="360" w:lineRule="auto"/>
        <w:ind w:hanging="2"/>
        <w:jc w:val="left"/>
        <w:rPr>
          <w:rFonts w:hint="eastAsia" w:ascii="仿宋_GB2312" w:eastAsia="仿宋_GB2312"/>
          <w:color w:val="auto"/>
          <w:sz w:val="32"/>
          <w:szCs w:val="32"/>
        </w:rPr>
      </w:pPr>
      <w:r>
        <w:rPr>
          <w:rFonts w:hint="eastAsia" w:ascii="仿宋_GB2312" w:eastAsia="仿宋_GB2312"/>
          <w:color w:val="auto"/>
          <w:sz w:val="32"/>
          <w:szCs w:val="32"/>
        </w:rPr>
        <w:t>四、一般公共预算拨款</w:t>
      </w:r>
      <w:r>
        <w:rPr>
          <w:rFonts w:hint="eastAsia" w:ascii="仿宋_GB2312" w:eastAsia="仿宋_GB2312"/>
          <w:color w:val="auto"/>
          <w:sz w:val="32"/>
          <w:szCs w:val="32"/>
          <w:lang w:eastAsia="zh-CN"/>
        </w:rPr>
        <w:t>支出</w:t>
      </w:r>
      <w:r>
        <w:rPr>
          <w:rFonts w:hint="eastAsia" w:ascii="仿宋_GB2312" w:eastAsia="仿宋_GB2312"/>
          <w:color w:val="auto"/>
          <w:sz w:val="32"/>
          <w:szCs w:val="32"/>
        </w:rPr>
        <w:t>预算情况说明</w:t>
      </w:r>
    </w:p>
    <w:p>
      <w:pPr>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rPr>
        <w:t>1、基本支出情况说明</w:t>
      </w:r>
    </w:p>
    <w:p>
      <w:pPr>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rPr>
        <w:t>2、项目支出情况说明</w:t>
      </w:r>
    </w:p>
    <w:p>
      <w:pPr>
        <w:spacing w:line="360" w:lineRule="auto"/>
        <w:ind w:hanging="2"/>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五、政府性基金预算情况说明</w:t>
      </w:r>
    </w:p>
    <w:p>
      <w:pPr>
        <w:widowControl/>
        <w:spacing w:line="360" w:lineRule="auto"/>
        <w:ind w:hanging="2"/>
        <w:jc w:val="left"/>
        <w:rPr>
          <w:rFonts w:hint="eastAsia"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、其他重要事项的情况说明</w:t>
      </w:r>
    </w:p>
    <w:p>
      <w:pPr>
        <w:widowControl/>
        <w:spacing w:line="360" w:lineRule="auto"/>
        <w:ind w:hanging="2"/>
        <w:jc w:val="left"/>
        <w:rPr>
          <w:rFonts w:hint="eastAsia" w:ascii="仿宋_GB2312" w:eastAsia="仿宋_GB2312"/>
          <w:color w:val="auto"/>
          <w:sz w:val="32"/>
          <w:szCs w:val="32"/>
        </w:rPr>
      </w:pPr>
      <w:r>
        <w:rPr>
          <w:rFonts w:hint="eastAsia" w:ascii="仿宋_GB2312" w:eastAsia="仿宋_GB2312"/>
          <w:color w:val="auto"/>
          <w:sz w:val="32"/>
          <w:szCs w:val="32"/>
        </w:rPr>
        <w:t>1、机关运行经费</w:t>
      </w:r>
      <w:r>
        <w:rPr>
          <w:rFonts w:hint="eastAsia" w:ascii="仿宋_GB2312" w:eastAsia="仿宋_GB2312"/>
          <w:bCs/>
          <w:color w:val="auto"/>
          <w:kern w:val="0"/>
          <w:sz w:val="32"/>
          <w:szCs w:val="32"/>
        </w:rPr>
        <w:t>情况说明</w:t>
      </w:r>
    </w:p>
    <w:p>
      <w:pPr>
        <w:widowControl/>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rPr>
        <w:t>2、“三公”经费预算</w:t>
      </w:r>
      <w:r>
        <w:rPr>
          <w:rFonts w:hint="eastAsia" w:ascii="仿宋_GB2312" w:eastAsia="仿宋_GB2312"/>
          <w:bCs/>
          <w:color w:val="auto"/>
          <w:kern w:val="0"/>
          <w:sz w:val="32"/>
          <w:szCs w:val="32"/>
        </w:rPr>
        <w:t>情况说明</w:t>
      </w:r>
    </w:p>
    <w:p>
      <w:pPr>
        <w:widowControl/>
        <w:spacing w:line="360" w:lineRule="auto"/>
        <w:ind w:hanging="2"/>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3.一般性支出情况说明</w:t>
      </w:r>
    </w:p>
    <w:p>
      <w:pPr>
        <w:widowControl/>
        <w:spacing w:line="360" w:lineRule="auto"/>
        <w:ind w:hanging="2"/>
        <w:rPr>
          <w:rFonts w:hint="eastAsia" w:ascii="仿宋_GB2312" w:eastAsia="仿宋_GB2312"/>
          <w:bCs/>
          <w:color w:val="auto"/>
          <w:kern w:val="0"/>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、政府采购</w:t>
      </w:r>
      <w:r>
        <w:rPr>
          <w:rFonts w:hint="eastAsia" w:ascii="仿宋_GB2312" w:eastAsia="仿宋_GB2312"/>
          <w:bCs/>
          <w:color w:val="auto"/>
          <w:kern w:val="0"/>
          <w:sz w:val="32"/>
          <w:szCs w:val="32"/>
        </w:rPr>
        <w:t>情况说明</w:t>
      </w:r>
    </w:p>
    <w:p>
      <w:pPr>
        <w:widowControl/>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、国有资产占</w:t>
      </w:r>
      <w:r>
        <w:rPr>
          <w:rFonts w:hint="eastAsia" w:ascii="仿宋_GB2312" w:eastAsia="仿宋_GB2312"/>
          <w:color w:val="auto"/>
          <w:sz w:val="32"/>
          <w:szCs w:val="32"/>
          <w:lang w:eastAsia="zh-CN"/>
        </w:rPr>
        <w:t>用</w:t>
      </w:r>
      <w:r>
        <w:rPr>
          <w:rFonts w:hint="eastAsia" w:ascii="仿宋_GB2312" w:eastAsia="仿宋_GB2312"/>
          <w:color w:val="auto"/>
          <w:sz w:val="32"/>
          <w:szCs w:val="32"/>
        </w:rPr>
        <w:t>使用</w:t>
      </w:r>
      <w:r>
        <w:rPr>
          <w:rFonts w:hint="eastAsia" w:ascii="仿宋_GB2312" w:eastAsia="仿宋_GB2312"/>
          <w:color w:val="auto"/>
          <w:sz w:val="32"/>
          <w:szCs w:val="32"/>
          <w:lang w:eastAsia="zh-CN"/>
        </w:rPr>
        <w:t>及新增资产配置</w:t>
      </w:r>
      <w:r>
        <w:rPr>
          <w:rFonts w:hint="eastAsia" w:ascii="仿宋_GB2312" w:eastAsia="仿宋_GB2312"/>
          <w:bCs/>
          <w:color w:val="auto"/>
          <w:kern w:val="0"/>
          <w:sz w:val="32"/>
          <w:szCs w:val="32"/>
        </w:rPr>
        <w:t>情况说明</w:t>
      </w:r>
    </w:p>
    <w:p>
      <w:pPr>
        <w:widowControl/>
        <w:spacing w:line="360" w:lineRule="auto"/>
        <w:ind w:hanging="2"/>
        <w:rPr>
          <w:rFonts w:hint="eastAsia" w:ascii="仿宋_GB2312" w:eastAsia="仿宋_GB2312"/>
          <w:bCs/>
          <w:color w:val="auto"/>
          <w:kern w:val="0"/>
          <w:sz w:val="32"/>
          <w:szCs w:val="32"/>
        </w:rPr>
      </w:pPr>
      <w:r>
        <w:rPr>
          <w:rFonts w:hint="eastAsia" w:ascii="仿宋_GB2312" w:eastAsia="仿宋_GB2312"/>
          <w:bCs/>
          <w:color w:val="auto"/>
          <w:kern w:val="0"/>
          <w:sz w:val="32"/>
          <w:szCs w:val="32"/>
        </w:rPr>
        <w:t>6、预算绩效情况说明</w:t>
      </w:r>
    </w:p>
    <w:p>
      <w:pPr>
        <w:widowControl/>
        <w:spacing w:line="360" w:lineRule="auto"/>
        <w:ind w:hanging="2"/>
        <w:rPr>
          <w:rFonts w:hint="eastAsia" w:ascii="仿宋_GB2312" w:eastAsia="仿宋_GB2312"/>
          <w:bCs/>
          <w:color w:val="auto"/>
          <w:kern w:val="0"/>
          <w:sz w:val="32"/>
          <w:szCs w:val="32"/>
        </w:rPr>
      </w:pPr>
      <w:r>
        <w:rPr>
          <w:rFonts w:hint="eastAsia" w:ascii="仿宋_GB2312" w:eastAsia="仿宋_GB2312"/>
          <w:bCs/>
          <w:color w:val="auto"/>
          <w:kern w:val="0"/>
          <w:sz w:val="32"/>
          <w:szCs w:val="32"/>
          <w:lang w:eastAsia="zh-CN"/>
        </w:rPr>
        <w:t>七</w:t>
      </w:r>
      <w:r>
        <w:rPr>
          <w:rFonts w:hint="eastAsia" w:ascii="仿宋_GB2312" w:eastAsia="仿宋_GB2312"/>
          <w:bCs/>
          <w:color w:val="auto"/>
          <w:kern w:val="0"/>
          <w:sz w:val="32"/>
          <w:szCs w:val="32"/>
        </w:rPr>
        <w:t>、名词解释</w:t>
      </w:r>
    </w:p>
    <w:p>
      <w:pPr>
        <w:widowControl/>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rPr>
        <w:t>1、机关运行经费</w:t>
      </w:r>
    </w:p>
    <w:p>
      <w:pPr>
        <w:widowControl/>
        <w:spacing w:line="360" w:lineRule="auto"/>
        <w:ind w:hanging="2"/>
        <w:rPr>
          <w:rFonts w:hint="eastAsia" w:ascii="仿宋_GB2312" w:eastAsia="仿宋_GB2312"/>
          <w:color w:val="auto"/>
          <w:sz w:val="32"/>
          <w:szCs w:val="32"/>
        </w:rPr>
      </w:pPr>
      <w:r>
        <w:rPr>
          <w:rFonts w:hint="eastAsia" w:ascii="仿宋_GB2312" w:eastAsia="仿宋_GB2312"/>
          <w:color w:val="auto"/>
          <w:sz w:val="32"/>
          <w:szCs w:val="32"/>
        </w:rPr>
        <w:t>2、“三公”经费</w:t>
      </w:r>
    </w:p>
    <w:p>
      <w:pPr>
        <w:widowControl/>
        <w:spacing w:line="360" w:lineRule="auto"/>
        <w:jc w:val="left"/>
        <w:rPr>
          <w:rFonts w:hint="eastAsia" w:ascii="仿宋_GB2312" w:hAnsi="宋体" w:eastAsia="仿宋_GB2312" w:cs="宋体"/>
          <w:color w:val="auto"/>
          <w:kern w:val="0"/>
          <w:sz w:val="30"/>
          <w:szCs w:val="30"/>
        </w:rPr>
      </w:pPr>
      <w:r>
        <w:rPr>
          <w:rFonts w:hint="eastAsia" w:ascii="仿宋_GB2312" w:eastAsia="仿宋_GB2312"/>
          <w:b/>
          <w:bCs/>
          <w:color w:val="auto"/>
          <w:sz w:val="32"/>
          <w:szCs w:val="32"/>
        </w:rPr>
        <w:t>第二部分</w:t>
      </w:r>
      <w:r>
        <w:rPr>
          <w:rFonts w:hint="eastAsia" w:ascii="仿宋_GB2312" w:eastAsia="仿宋_GB2312"/>
          <w:b/>
          <w:bCs/>
          <w:color w:val="auto"/>
          <w:sz w:val="32"/>
          <w:szCs w:val="32"/>
          <w:lang w:val="en-US" w:eastAsia="zh-CN"/>
        </w:rPr>
        <w:t xml:space="preserve">  </w:t>
      </w:r>
      <w:r>
        <w:rPr>
          <w:rFonts w:hint="eastAsia" w:ascii="仿宋_GB2312" w:hAnsi="宋体" w:eastAsia="仿宋_GB2312" w:cs="宋体"/>
          <w:b/>
          <w:bCs/>
          <w:color w:val="auto"/>
          <w:kern w:val="0"/>
          <w:sz w:val="30"/>
          <w:szCs w:val="30"/>
        </w:rPr>
        <w:t>附表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收支总表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收入总表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支出总表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支出预算分类汇总表（按政府预算经济分类）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支出预算分类汇总表（按部门预算经济分类）</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6.部门经济科目支出明细表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财政拨款收支总表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一般公共预算支出表</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一般公共预算基本支出表--人员经费(工资福利支出)(按政府预算经济分类)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一般公共预算基本支出表--人员经费(工资福利支出)(按部门预算经济分类)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一般公共预算基本支出表--人员经费(对个人和家庭的补助)(按政府预算经济分类)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一般公共预算基本支出表--人员经费(对个人和家庭的补助)（按部门预算经济分类）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一般公共预算基本支出表--公用经费(商品和服务支出)（按政府预算经济分类）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一般公共预算基本支出表--公用经费(商品和服务支出)(按部门预算经济分类)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一般公共预算“三公”经费支出表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政府性基金预算支出表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政府性基金预算支出分类汇总表（按政府预算经济分类）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政府性基金预算支出分类汇总表（按部门预算经济分类）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国有资本经营预算表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财政专户管理资金预算支出表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专项资金预算汇总表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项目支出绩效目标表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部门整体支出绩效目标表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政府采购预算表</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pPr>
    </w:p>
    <w:p>
      <w:pPr>
        <w:jc w:val="center"/>
      </w:pPr>
    </w:p>
    <w:p>
      <w:pPr>
        <w:jc w:val="center"/>
      </w:pPr>
    </w:p>
    <w:p>
      <w:pPr>
        <w:jc w:val="center"/>
      </w:pPr>
    </w:p>
    <w:p>
      <w:pPr>
        <w:widowControl/>
        <w:spacing w:line="600" w:lineRule="exact"/>
        <w:jc w:val="center"/>
        <w:rPr>
          <w:rFonts w:hint="eastAsia" w:ascii="仿宋" w:hAnsi="仿宋" w:eastAsia="仿宋" w:cs="仿宋"/>
          <w:b/>
          <w:bCs/>
          <w:kern w:val="0"/>
          <w:sz w:val="36"/>
          <w:szCs w:val="36"/>
        </w:rPr>
      </w:pPr>
      <w:r>
        <w:rPr>
          <w:rFonts w:hint="default" w:ascii="仿宋_GB2312" w:hAnsi="微软雅黑" w:eastAsia="仿宋_GB2312" w:cs="仿宋_GB2312"/>
          <w:b/>
          <w:bCs/>
          <w:i w:val="0"/>
          <w:iCs w:val="0"/>
          <w:caps w:val="0"/>
          <w:color w:val="333333"/>
          <w:spacing w:val="0"/>
          <w:kern w:val="0"/>
          <w:sz w:val="36"/>
          <w:szCs w:val="36"/>
          <w:shd w:val="clear" w:color="auto" w:fill="FFFFFF"/>
          <w:lang w:val="en-US" w:eastAsia="zh-CN" w:bidi="ar"/>
        </w:rPr>
        <w:t>邵东市邮政快递业发展中心</w:t>
      </w:r>
      <w:r>
        <w:rPr>
          <w:rFonts w:hint="eastAsia" w:ascii="仿宋" w:hAnsi="仿宋" w:eastAsia="仿宋" w:cs="仿宋"/>
          <w:b/>
          <w:bCs/>
          <w:kern w:val="0"/>
          <w:sz w:val="36"/>
          <w:szCs w:val="36"/>
          <w:lang w:val="en-US" w:eastAsia="zh-CN"/>
        </w:rPr>
        <w:t>2024</w:t>
      </w:r>
      <w:r>
        <w:rPr>
          <w:rFonts w:hint="eastAsia" w:ascii="仿宋" w:hAnsi="仿宋" w:eastAsia="仿宋" w:cs="仿宋"/>
          <w:b/>
          <w:bCs/>
          <w:kern w:val="0"/>
          <w:sz w:val="36"/>
          <w:szCs w:val="36"/>
        </w:rPr>
        <w:t>年部门预算说明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eastAsia="仿宋_GB2312"/>
          <w:sz w:val="32"/>
          <w:szCs w:val="32"/>
        </w:rPr>
      </w:pPr>
      <w:r>
        <w:rPr>
          <w:rFonts w:hint="eastAsia" w:eastAsia="仿宋_GB2312"/>
          <w:sz w:val="32"/>
          <w:szCs w:val="32"/>
          <w:lang w:eastAsia="zh-CN"/>
        </w:rPr>
        <w:t>（一）</w:t>
      </w:r>
      <w:r>
        <w:rPr>
          <w:rFonts w:eastAsia="仿宋_GB2312"/>
          <w:sz w:val="32"/>
          <w:szCs w:val="32"/>
        </w:rPr>
        <w:t>职能职责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eastAsia="仿宋_GB2312"/>
          <w:sz w:val="32"/>
          <w:szCs w:val="32"/>
        </w:rPr>
      </w:pPr>
      <w:r>
        <w:rPr>
          <w:rFonts w:ascii="字体" w:hAnsi="字体" w:eastAsia="字体" w:cs="字体"/>
          <w:i w:val="0"/>
          <w:iCs w:val="0"/>
          <w:caps w:val="0"/>
          <w:color w:val="333333"/>
          <w:spacing w:val="0"/>
          <w:kern w:val="0"/>
          <w:sz w:val="32"/>
          <w:szCs w:val="32"/>
          <w:shd w:val="clear" w:color="auto" w:fill="FFFFFF"/>
          <w:lang w:val="en-US" w:eastAsia="zh-CN" w:bidi="ar"/>
        </w:rPr>
        <w:t>贯彻执行国家邮政法律法规，方针政策和邮政服务标准，研究拟定本地区邮政发展规划，监督管理本地区邮政市场以及邮政普遍服务和机要通信等特殊服务的实施，负责行业安全生产监管、统计等工作，保障邮政通信与信息安全，承办上级邮政管理部门和地方人民政府交办的其他事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eastAsia="仿宋_GB2312"/>
          <w:sz w:val="32"/>
          <w:szCs w:val="32"/>
        </w:rPr>
      </w:pPr>
      <w:r>
        <w:rPr>
          <w:rFonts w:eastAsia="仿宋_GB2312"/>
          <w:sz w:val="32"/>
          <w:szCs w:val="32"/>
        </w:rPr>
        <w:t>机构设置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27" w:leftChars="0" w:right="0" w:rightChars="0"/>
        <w:jc w:val="left"/>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核定事业编</w:t>
      </w:r>
      <w:r>
        <w:rPr>
          <w:rFonts w:hint="default" w:ascii="Calibri" w:hAnsi="Calibri" w:eastAsia="仿宋_GB2312" w:cs="Calibri"/>
          <w:i w:val="0"/>
          <w:iCs w:val="0"/>
          <w:caps w:val="0"/>
          <w:color w:val="333333"/>
          <w:spacing w:val="0"/>
          <w:kern w:val="0"/>
          <w:sz w:val="32"/>
          <w:szCs w:val="32"/>
          <w:shd w:val="clear" w:color="auto"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名，设主任</w:t>
      </w:r>
      <w:r>
        <w:rPr>
          <w:rFonts w:hint="default" w:ascii="Calibri" w:hAnsi="Calibri" w:eastAsia="仿宋_GB2312" w:cs="Calibri"/>
          <w:i w:val="0"/>
          <w:iCs w:val="0"/>
          <w:caps w:val="0"/>
          <w:color w:val="333333"/>
          <w:spacing w:val="0"/>
          <w:kern w:val="0"/>
          <w:sz w:val="32"/>
          <w:szCs w:val="32"/>
          <w:shd w:val="clear" w:color="auto"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名，副主任</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leftChars="0" w:right="0" w:firstLine="627" w:firstLineChars="0"/>
        <w:jc w:val="left"/>
        <w:rPr>
          <w:rFonts w:hint="eastAsia" w:eastAsia="仿宋_GB2312"/>
          <w:sz w:val="32"/>
          <w:szCs w:val="32"/>
          <w:lang w:eastAsia="zh-CN"/>
        </w:rPr>
      </w:pPr>
      <w:r>
        <w:rPr>
          <w:rFonts w:hint="eastAsia" w:eastAsia="仿宋_GB2312"/>
          <w:sz w:val="32"/>
          <w:szCs w:val="32"/>
          <w:lang w:eastAsia="zh-CN"/>
        </w:rPr>
        <w:t>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邵东市邮政快递业发展中心是邵东市交通运输局所属的公益一类全额拨款事业单位，级别为正股级。</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 xml:space="preserve">本部门编制人数为 8人，其中在职 </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人，离退休  0人。小车编制数 0台，实际0 台。遗属补助人数0 人，房屋面积  65平方米。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p>
    <w:p>
      <w:pPr>
        <w:widowControl/>
        <w:spacing w:line="600" w:lineRule="exact"/>
        <w:ind w:firstLine="627" w:firstLineChars="196"/>
        <w:jc w:val="left"/>
        <w:rPr>
          <w:rFonts w:eastAsia="黑体"/>
          <w:kern w:val="0"/>
          <w:sz w:val="32"/>
          <w:szCs w:val="32"/>
        </w:rPr>
      </w:pPr>
      <w:r>
        <w:rPr>
          <w:rFonts w:eastAsia="黑体"/>
          <w:kern w:val="0"/>
          <w:sz w:val="32"/>
          <w:szCs w:val="32"/>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邵东市邮政快递业发展中心</w:t>
      </w:r>
      <w:r>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t>部门只有本级，没有其他二级预算单位，因此，纳入</w:t>
      </w:r>
      <w:r>
        <w:rPr>
          <w:rFonts w:hint="default" w:ascii="Calibri" w:hAnsi="Calibri" w:eastAsia="仿宋_GB2312" w:cs="Calibri"/>
          <w:i w:val="0"/>
          <w:iCs w:val="0"/>
          <w:caps w:val="0"/>
          <w:color w:val="333333"/>
          <w:spacing w:val="0"/>
          <w:kern w:val="0"/>
          <w:sz w:val="32"/>
          <w:szCs w:val="32"/>
          <w:shd w:val="clear" w:color="auto" w:fill="FFFFFF"/>
          <w:lang w:val="en-US" w:eastAsia="zh-CN" w:bidi="ar"/>
        </w:rPr>
        <w:t>202</w:t>
      </w:r>
      <w:r>
        <w:rPr>
          <w:rFonts w:hint="eastAsia" w:ascii="Calibri" w:hAnsi="Calibri" w:eastAsia="仿宋_GB2312" w:cs="Calibri"/>
          <w:i w:val="0"/>
          <w:iCs w:val="0"/>
          <w:caps w:val="0"/>
          <w:color w:val="333333"/>
          <w:spacing w:val="0"/>
          <w:kern w:val="0"/>
          <w:sz w:val="32"/>
          <w:szCs w:val="32"/>
          <w:shd w:val="clear" w:color="auto" w:fill="FFFFFF"/>
          <w:lang w:val="en-US" w:eastAsia="zh-CN" w:bidi="ar"/>
        </w:rPr>
        <w:t>4</w:t>
      </w:r>
      <w:r>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t>年部门预算编制范围的只有</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邵东市邮政快递业发展中心</w:t>
      </w:r>
      <w:r>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t>部门本级。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三、部门收支总体情况</w:t>
      </w:r>
    </w:p>
    <w:p>
      <w:pPr>
        <w:widowControl/>
        <w:spacing w:line="600" w:lineRule="exact"/>
        <w:ind w:firstLine="660"/>
        <w:rPr>
          <w:rFonts w:hint="default" w:eastAsia="仿宋_GB2312"/>
          <w:color w:val="FF0000"/>
          <w:sz w:val="32"/>
          <w:szCs w:val="32"/>
          <w:lang w:val="en-US" w:eastAsia="zh-CN"/>
        </w:rPr>
      </w:pPr>
      <w:r>
        <w:rPr>
          <w:rFonts w:hint="eastAsia" w:eastAsia="仿宋_GB2312"/>
          <w:sz w:val="32"/>
          <w:szCs w:val="32"/>
          <w:lang w:eastAsia="zh-CN"/>
        </w:rPr>
        <w:t>（一）</w:t>
      </w:r>
      <w:r>
        <w:rPr>
          <w:rFonts w:eastAsia="仿宋_GB2312"/>
          <w:sz w:val="30"/>
          <w:szCs w:val="30"/>
        </w:rPr>
        <w:t>收入预算，</w:t>
      </w:r>
      <w:r>
        <w:rPr>
          <w:rFonts w:hint="eastAsia" w:eastAsia="仿宋_GB2312"/>
          <w:sz w:val="30"/>
          <w:szCs w:val="30"/>
          <w:lang w:eastAsia="zh-CN"/>
        </w:rPr>
        <w:t>包括一般公共预算、政府性基金、国有资本经营预算等财政拨款收入</w:t>
      </w:r>
      <w:r>
        <w:rPr>
          <w:rFonts w:hint="eastAsia" w:eastAsia="仿宋_GB2312"/>
          <w:sz w:val="32"/>
          <w:szCs w:val="32"/>
          <w:lang w:eastAsia="zh-CN"/>
        </w:rPr>
        <w:t>，以及经营收入、事业收入等单位资金。2024</w:t>
      </w:r>
      <w:r>
        <w:rPr>
          <w:rFonts w:eastAsia="仿宋_GB2312"/>
          <w:sz w:val="32"/>
          <w:szCs w:val="32"/>
        </w:rPr>
        <w:t>年年初预算数</w:t>
      </w:r>
      <w:r>
        <w:rPr>
          <w:rFonts w:eastAsia="仿宋_GB2312"/>
          <w:color w:val="auto"/>
          <w:sz w:val="32"/>
          <w:szCs w:val="32"/>
          <w:u w:val="single"/>
        </w:rPr>
        <w:t xml:space="preserve">   </w:t>
      </w:r>
      <w:r>
        <w:rPr>
          <w:rFonts w:hint="eastAsia" w:eastAsia="仿宋_GB2312"/>
          <w:color w:val="auto"/>
          <w:sz w:val="32"/>
          <w:szCs w:val="32"/>
          <w:u w:val="single"/>
          <w:lang w:val="en-US" w:eastAsia="zh-CN"/>
        </w:rPr>
        <w:t>99.97</w:t>
      </w:r>
      <w:r>
        <w:rPr>
          <w:rFonts w:eastAsia="仿宋_GB2312"/>
          <w:color w:val="auto"/>
          <w:sz w:val="32"/>
          <w:szCs w:val="32"/>
        </w:rPr>
        <w:t>万元</w:t>
      </w:r>
      <w:r>
        <w:rPr>
          <w:rFonts w:eastAsia="仿宋_GB2312"/>
          <w:sz w:val="32"/>
          <w:szCs w:val="32"/>
        </w:rPr>
        <w:t>，其中，一般公共预算拨款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99.97</w:t>
      </w:r>
      <w:r>
        <w:rPr>
          <w:rFonts w:eastAsia="仿宋_GB2312"/>
          <w:color w:val="auto"/>
          <w:sz w:val="32"/>
          <w:szCs w:val="32"/>
          <w:u w:val="single"/>
        </w:rPr>
        <w:t xml:space="preserve"> </w:t>
      </w:r>
      <w:r>
        <w:rPr>
          <w:rFonts w:eastAsia="仿宋_GB2312"/>
          <w:color w:val="auto"/>
          <w:sz w:val="32"/>
          <w:szCs w:val="32"/>
        </w:rPr>
        <w:t>万元</w:t>
      </w:r>
      <w:r>
        <w:rPr>
          <w:rFonts w:eastAsia="仿宋_GB2312"/>
          <w:sz w:val="32"/>
          <w:szCs w:val="32"/>
        </w:rPr>
        <w:t>，政府性基金</w:t>
      </w:r>
      <w:r>
        <w:rPr>
          <w:rFonts w:hint="eastAsia" w:eastAsia="仿宋_GB2312"/>
          <w:sz w:val="32"/>
          <w:szCs w:val="32"/>
        </w:rPr>
        <w:t>预算</w:t>
      </w:r>
      <w:r>
        <w:rPr>
          <w:rFonts w:eastAsia="仿宋_GB2312"/>
          <w:sz w:val="32"/>
          <w:szCs w:val="32"/>
        </w:rPr>
        <w:t>拨款</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r>
        <w:rPr>
          <w:rFonts w:eastAsia="仿宋_GB2312"/>
          <w:sz w:val="32"/>
          <w:szCs w:val="32"/>
        </w:rPr>
        <w:t>，</w:t>
      </w:r>
      <w:r>
        <w:rPr>
          <w:rFonts w:hint="eastAsia" w:eastAsia="仿宋_GB2312"/>
          <w:sz w:val="32"/>
          <w:szCs w:val="32"/>
          <w:lang w:eastAsia="zh-CN"/>
        </w:rPr>
        <w:t>国有资本经营预算拨款</w:t>
      </w:r>
      <w:r>
        <w:rPr>
          <w:rFonts w:hint="eastAsia" w:eastAsia="仿宋_GB2312"/>
          <w:sz w:val="32"/>
          <w:szCs w:val="32"/>
          <w:lang w:val="en-US" w:eastAsia="zh-CN"/>
        </w:rPr>
        <w:t>0</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sz w:val="32"/>
          <w:szCs w:val="32"/>
          <w:lang w:eastAsia="zh-CN"/>
        </w:rPr>
        <w:t>，</w:t>
      </w:r>
      <w:r>
        <w:rPr>
          <w:rFonts w:eastAsia="仿宋_GB2312"/>
          <w:sz w:val="32"/>
          <w:szCs w:val="32"/>
        </w:rPr>
        <w:t>纳入专户管理的非税收入</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rPr>
        <w:t>万元</w:t>
      </w:r>
      <w:r>
        <w:rPr>
          <w:rFonts w:hint="eastAsia" w:eastAsia="仿宋_GB2312"/>
          <w:sz w:val="32"/>
          <w:szCs w:val="32"/>
          <w:lang w:eastAsia="zh-CN"/>
        </w:rPr>
        <w:t>。</w:t>
      </w:r>
      <w:bookmarkStart w:id="0" w:name="_GoBack"/>
      <w:bookmarkEnd w:id="0"/>
      <w:r>
        <w:rPr>
          <w:rFonts w:hint="eastAsia" w:eastAsia="仿宋_GB2312"/>
          <w:sz w:val="32"/>
          <w:szCs w:val="32"/>
        </w:rPr>
        <w:t>收入较去年增加</w:t>
      </w:r>
      <w:r>
        <w:rPr>
          <w:rFonts w:hint="eastAsia" w:eastAsia="仿宋_GB2312"/>
          <w:color w:val="auto"/>
          <w:sz w:val="32"/>
          <w:szCs w:val="32"/>
          <w:u w:val="single"/>
          <w:lang w:val="en-US" w:eastAsia="zh-CN"/>
        </w:rPr>
        <w:t>47.64</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sz w:val="32"/>
          <w:szCs w:val="32"/>
        </w:rPr>
        <w:t>，主要是</w:t>
      </w:r>
      <w:r>
        <w:rPr>
          <w:rFonts w:hint="eastAsia" w:eastAsia="仿宋_GB2312"/>
          <w:sz w:val="32"/>
          <w:szCs w:val="32"/>
          <w:lang w:val="en-US" w:eastAsia="zh-CN"/>
        </w:rPr>
        <w:t>人员增加</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w:t>
      </w:r>
    </w:p>
    <w:p>
      <w:pPr>
        <w:widowControl/>
        <w:numPr>
          <w:ilvl w:val="0"/>
          <w:numId w:val="0"/>
        </w:numPr>
        <w:spacing w:line="600" w:lineRule="exact"/>
        <w:jc w:val="left"/>
        <w:rPr>
          <w:rFonts w:hint="eastAsia" w:eastAsia="仿宋_GB2312"/>
          <w:sz w:val="32"/>
          <w:szCs w:val="32"/>
        </w:rPr>
      </w:pPr>
    </w:p>
    <w:p>
      <w:pPr>
        <w:widowControl/>
        <w:spacing w:line="600" w:lineRule="exact"/>
        <w:ind w:firstLine="660"/>
        <w:rPr>
          <w:rFonts w:hint="eastAsia" w:eastAsia="仿宋_GB2312"/>
          <w:color w:val="FF0000"/>
          <w:sz w:val="32"/>
          <w:szCs w:val="32"/>
          <w:lang w:val="en-US" w:eastAsia="zh-CN"/>
        </w:rPr>
      </w:pP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年年初预算数</w:t>
      </w:r>
      <w:r>
        <w:rPr>
          <w:rFonts w:hint="eastAsia" w:ascii="仿宋_GB2312" w:hAnsi="仿宋_GB2312" w:eastAsia="仿宋_GB2312" w:cs="仿宋_GB2312"/>
          <w:sz w:val="32"/>
          <w:szCs w:val="32"/>
          <w:lang w:val="en-US" w:eastAsia="zh-CN"/>
        </w:rPr>
        <w:t>99.97</w:t>
      </w:r>
      <w:r>
        <w:rPr>
          <w:rFonts w:hint="eastAsia" w:ascii="仿宋_GB2312" w:hAnsi="仿宋_GB2312" w:eastAsia="仿宋_GB2312" w:cs="仿宋_GB2312"/>
          <w:sz w:val="32"/>
          <w:szCs w:val="32"/>
        </w:rPr>
        <w:t>万</w:t>
      </w:r>
      <w:r>
        <w:rPr>
          <w:rFonts w:eastAsia="仿宋_GB2312"/>
          <w:sz w:val="32"/>
          <w:szCs w:val="32"/>
        </w:rPr>
        <w:t>元，</w:t>
      </w:r>
      <w:r>
        <w:rPr>
          <w:rFonts w:hint="eastAsia" w:eastAsia="仿宋_GB2312"/>
          <w:sz w:val="32"/>
          <w:szCs w:val="32"/>
        </w:rPr>
        <w:t>较去年增加</w:t>
      </w:r>
      <w:r>
        <w:rPr>
          <w:rFonts w:hint="eastAsia" w:eastAsia="仿宋_GB2312"/>
          <w:sz w:val="32"/>
          <w:szCs w:val="32"/>
          <w:lang w:val="en-US" w:eastAsia="zh-CN"/>
        </w:rPr>
        <w:t>47.64</w:t>
      </w:r>
      <w:r>
        <w:rPr>
          <w:rFonts w:hint="eastAsia" w:eastAsia="仿宋_GB2312"/>
          <w:sz w:val="32"/>
          <w:szCs w:val="32"/>
        </w:rPr>
        <w:t xml:space="preserve"> 万元</w:t>
      </w:r>
      <w:r>
        <w:rPr>
          <w:rFonts w:hint="eastAsia" w:eastAsia="仿宋_GB2312"/>
          <w:sz w:val="32"/>
          <w:szCs w:val="32"/>
          <w:lang w:eastAsia="zh-CN"/>
        </w:rPr>
        <w:t>，增长</w:t>
      </w:r>
      <w:r>
        <w:rPr>
          <w:rFonts w:hint="eastAsia" w:eastAsia="仿宋_GB2312"/>
          <w:sz w:val="32"/>
          <w:szCs w:val="32"/>
          <w:lang w:val="en-US" w:eastAsia="zh-CN"/>
        </w:rPr>
        <w:t>91 %，</w:t>
      </w:r>
      <w:r>
        <w:rPr>
          <w:rFonts w:hint="eastAsia" w:eastAsia="仿宋_GB2312"/>
          <w:sz w:val="32"/>
          <w:szCs w:val="32"/>
        </w:rPr>
        <w:t>主要是</w:t>
      </w:r>
      <w:r>
        <w:rPr>
          <w:rFonts w:hint="eastAsia" w:eastAsia="仿宋_GB2312"/>
          <w:sz w:val="32"/>
          <w:szCs w:val="32"/>
          <w:lang w:val="en-US" w:eastAsia="zh-CN"/>
        </w:rPr>
        <w:t>人员增加</w:t>
      </w:r>
      <w:r>
        <w:rPr>
          <w:rFonts w:hint="eastAsia" w:eastAsia="仿宋_GB2312"/>
          <w:sz w:val="32"/>
          <w:szCs w:val="32"/>
        </w:rPr>
        <w:t>。</w:t>
      </w:r>
      <w:r>
        <w:rPr>
          <w:rFonts w:eastAsia="仿宋_GB2312"/>
          <w:sz w:val="32"/>
          <w:szCs w:val="32"/>
        </w:rPr>
        <w:t>其中，</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社会保障和就业支出</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10.12</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万元，较去年增加</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5.63</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eastAsia="仿宋_GB2312"/>
          <w:sz w:val="32"/>
          <w:szCs w:val="32"/>
          <w:lang w:eastAsia="zh-CN"/>
        </w:rPr>
        <w:t>增长</w:t>
      </w:r>
      <w:r>
        <w:rPr>
          <w:rFonts w:hint="eastAsia" w:eastAsia="仿宋_GB2312"/>
          <w:sz w:val="32"/>
          <w:szCs w:val="32"/>
          <w:lang w:val="en-US" w:eastAsia="zh-CN"/>
        </w:rPr>
        <w:t>125 %，</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主要是本单位</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人员增加</w:t>
      </w:r>
      <w:r>
        <w:rPr>
          <w:rFonts w:hint="default" w:ascii="Calibri" w:hAnsi="Calibri" w:eastAsia="仿宋_GB2312" w:cs="Calibri"/>
          <w:i w:val="0"/>
          <w:iCs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卫生健康支出</w:t>
      </w:r>
      <w:r>
        <w:rPr>
          <w:rFonts w:hint="eastAsia" w:ascii="Calibri" w:hAnsi="Calibri" w:eastAsia="仿宋_GB2312" w:cs="Calibri"/>
          <w:i w:val="0"/>
          <w:iCs w:val="0"/>
          <w:caps w:val="0"/>
          <w:color w:val="333333"/>
          <w:spacing w:val="0"/>
          <w:kern w:val="0"/>
          <w:sz w:val="32"/>
          <w:szCs w:val="32"/>
          <w:shd w:val="clear" w:color="auto" w:fill="FFFFFF"/>
          <w:lang w:val="en-US" w:eastAsia="zh-CN" w:bidi="ar"/>
        </w:rPr>
        <w:t>2.66</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万元，较去年增加</w:t>
      </w:r>
      <w:r>
        <w:rPr>
          <w:rFonts w:hint="default" w:ascii="Calibri" w:hAnsi="Calibri" w:eastAsia="仿宋_GB2312" w:cs="Calibri"/>
          <w:i w:val="0"/>
          <w:iCs w:val="0"/>
          <w:caps w:val="0"/>
          <w:color w:val="333333"/>
          <w:spacing w:val="0"/>
          <w:kern w:val="0"/>
          <w:sz w:val="32"/>
          <w:szCs w:val="32"/>
          <w:shd w:val="clear" w:color="auto" w:fill="FFFFFF"/>
          <w:lang w:val="en-US" w:eastAsia="zh-CN" w:bidi="ar"/>
        </w:rPr>
        <w:t>1</w:t>
      </w:r>
      <w:r>
        <w:rPr>
          <w:rFonts w:hint="eastAsia" w:ascii="Calibri" w:hAnsi="Calibri" w:eastAsia="仿宋_GB2312" w:cs="Calibri"/>
          <w:i w:val="0"/>
          <w:iCs w:val="0"/>
          <w:caps w:val="0"/>
          <w:color w:val="333333"/>
          <w:spacing w:val="0"/>
          <w:kern w:val="0"/>
          <w:sz w:val="32"/>
          <w:szCs w:val="32"/>
          <w:shd w:val="clear" w:color="auto" w:fill="FFFFFF"/>
          <w:lang w:val="en-US" w:eastAsia="zh-CN" w:bidi="ar"/>
        </w:rPr>
        <w:t>.44</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eastAsia="仿宋_GB2312"/>
          <w:sz w:val="32"/>
          <w:szCs w:val="32"/>
          <w:lang w:eastAsia="zh-CN"/>
        </w:rPr>
        <w:t>增长</w:t>
      </w:r>
      <w:r>
        <w:rPr>
          <w:rFonts w:hint="eastAsia" w:eastAsia="仿宋_GB2312"/>
          <w:sz w:val="32"/>
          <w:szCs w:val="32"/>
          <w:lang w:val="en-US" w:eastAsia="zh-CN"/>
        </w:rPr>
        <w:t>118 %，</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主要是本单位</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人员增加,</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交通运输支出</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79.03</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万元，较去年增加</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36.01</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增长84%，</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主要是本单位</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人员增加</w:t>
      </w:r>
      <w:r>
        <w:rPr>
          <w:rFonts w:hint="default" w:ascii="Calibri" w:hAnsi="Calibri" w:eastAsia="仿宋_GB2312" w:cs="Calibri"/>
          <w:i w:val="0"/>
          <w:iCs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住房保障支出</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8.16</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万元，较去年增加</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4.56</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,增长126%，</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主要是本单位</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人员增加。</w:t>
      </w:r>
    </w:p>
    <w:p>
      <w:pPr>
        <w:widowControl/>
        <w:numPr>
          <w:ilvl w:val="0"/>
          <w:numId w:val="0"/>
        </w:numPr>
        <w:spacing w:line="600" w:lineRule="exact"/>
        <w:jc w:val="left"/>
        <w:rPr>
          <w:rFonts w:hint="eastAsia" w:eastAsia="仿宋_GB2312"/>
          <w:sz w:val="32"/>
          <w:szCs w:val="32"/>
        </w:rPr>
      </w:pPr>
    </w:p>
    <w:p>
      <w:pPr>
        <w:widowControl/>
        <w:numPr>
          <w:ilvl w:val="0"/>
          <w:numId w:val="2"/>
        </w:numPr>
        <w:spacing w:line="600" w:lineRule="exact"/>
        <w:ind w:firstLine="660"/>
        <w:jc w:val="left"/>
        <w:rPr>
          <w:rFonts w:eastAsia="黑体"/>
          <w:color w:val="auto"/>
          <w:sz w:val="32"/>
          <w:szCs w:val="32"/>
          <w:highlight w:val="none"/>
        </w:rPr>
      </w:pPr>
      <w:r>
        <w:rPr>
          <w:rFonts w:eastAsia="黑体"/>
          <w:color w:val="auto"/>
          <w:sz w:val="32"/>
          <w:szCs w:val="32"/>
          <w:highlight w:val="none"/>
        </w:rPr>
        <w:t>一般公共预算拨款</w:t>
      </w:r>
      <w:r>
        <w:rPr>
          <w:rFonts w:hint="eastAsia" w:eastAsia="黑体"/>
          <w:color w:val="auto"/>
          <w:sz w:val="32"/>
          <w:szCs w:val="32"/>
          <w:highlight w:val="none"/>
          <w:lang w:eastAsia="zh-CN"/>
        </w:rPr>
        <w:t>支出</w:t>
      </w:r>
      <w:r>
        <w:rPr>
          <w:rFonts w:eastAsia="黑体"/>
          <w:color w:val="auto"/>
          <w:sz w:val="32"/>
          <w:szCs w:val="32"/>
          <w:highlight w:val="none"/>
        </w:rPr>
        <w:t>预算</w:t>
      </w:r>
    </w:p>
    <w:p>
      <w:pPr>
        <w:widowControl/>
        <w:numPr>
          <w:ilvl w:val="0"/>
          <w:numId w:val="0"/>
        </w:numPr>
        <w:spacing w:line="600" w:lineRule="exact"/>
        <w:ind w:firstLine="960" w:firstLineChars="300"/>
        <w:jc w:val="left"/>
        <w:rPr>
          <w:rFonts w:eastAsia="仿宋_GB2312"/>
          <w:sz w:val="32"/>
          <w:szCs w:val="32"/>
          <w:highlight w:val="none"/>
        </w:rPr>
      </w:pPr>
      <w:r>
        <w:rPr>
          <w:rFonts w:hint="eastAsia" w:eastAsia="仿宋_GB2312"/>
          <w:sz w:val="32"/>
          <w:szCs w:val="32"/>
          <w:highlight w:val="none"/>
          <w:lang w:eastAsia="zh-CN"/>
        </w:rPr>
        <w:t>2024</w:t>
      </w:r>
      <w:r>
        <w:rPr>
          <w:rFonts w:eastAsia="仿宋_GB2312"/>
          <w:color w:val="auto"/>
          <w:sz w:val="32"/>
          <w:szCs w:val="32"/>
        </w:rPr>
        <w:t>年本部门一般公共预算拨款支出预算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99.97</w:t>
      </w:r>
      <w:r>
        <w:rPr>
          <w:rFonts w:eastAsia="仿宋_GB2312"/>
          <w:color w:val="auto"/>
          <w:sz w:val="32"/>
          <w:szCs w:val="32"/>
          <w:u w:val="single"/>
        </w:rPr>
        <w:t xml:space="preserve">  </w:t>
      </w:r>
      <w:r>
        <w:rPr>
          <w:rFonts w:eastAsia="仿宋_GB2312"/>
          <w:color w:val="auto"/>
          <w:sz w:val="32"/>
          <w:szCs w:val="32"/>
        </w:rPr>
        <w:t>万元，其中，</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社会保障和就业支出</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10.12</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卫生健康支出</w:t>
      </w:r>
      <w:r>
        <w:rPr>
          <w:rFonts w:hint="eastAsia" w:ascii="Calibri" w:hAnsi="Calibri" w:eastAsia="仿宋_GB2312" w:cs="Calibri"/>
          <w:i w:val="0"/>
          <w:iCs w:val="0"/>
          <w:caps w:val="0"/>
          <w:color w:val="333333"/>
          <w:spacing w:val="0"/>
          <w:kern w:val="0"/>
          <w:sz w:val="32"/>
          <w:szCs w:val="32"/>
          <w:shd w:val="clear" w:color="auto" w:fill="FFFFFF"/>
          <w:lang w:val="en-US" w:eastAsia="zh-CN" w:bidi="ar"/>
        </w:rPr>
        <w:t>2.66</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交通运输支出</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79.03</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住房保障支出</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8.16</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w:t>
      </w:r>
      <w:r>
        <w:rPr>
          <w:rFonts w:eastAsia="仿宋_GB2312"/>
          <w:color w:val="auto"/>
          <w:sz w:val="32"/>
          <w:szCs w:val="32"/>
        </w:rPr>
        <w:t>具体安排情况如下：</w:t>
      </w:r>
    </w:p>
    <w:p>
      <w:pPr>
        <w:widowControl/>
        <w:spacing w:line="600" w:lineRule="exact"/>
        <w:ind w:firstLine="660"/>
        <w:jc w:val="left"/>
        <w:rPr>
          <w:rFonts w:eastAsia="黑体"/>
          <w:sz w:val="32"/>
          <w:szCs w:val="32"/>
          <w:highlight w:val="none"/>
        </w:rPr>
      </w:pPr>
      <w:r>
        <w:rPr>
          <w:rFonts w:eastAsia="仿宋_GB2312"/>
          <w:sz w:val="32"/>
          <w:szCs w:val="32"/>
          <w:highlight w:val="none"/>
        </w:rPr>
        <w:t>（一）基本支出：</w:t>
      </w:r>
      <w:r>
        <w:rPr>
          <w:rFonts w:hint="eastAsia" w:eastAsia="仿宋_GB2312"/>
          <w:sz w:val="32"/>
          <w:szCs w:val="32"/>
          <w:highlight w:val="none"/>
          <w:lang w:eastAsia="zh-CN"/>
        </w:rPr>
        <w:t>2024</w:t>
      </w:r>
      <w:r>
        <w:rPr>
          <w:rFonts w:eastAsia="仿宋_GB2312"/>
          <w:sz w:val="32"/>
          <w:szCs w:val="32"/>
          <w:highlight w:val="none"/>
        </w:rPr>
        <w:t>年年初预算数为</w:t>
      </w:r>
      <w:r>
        <w:rPr>
          <w:rFonts w:eastAsia="仿宋_GB2312"/>
          <w:color w:val="auto"/>
          <w:sz w:val="32"/>
          <w:szCs w:val="32"/>
          <w:u w:val="single"/>
        </w:rPr>
        <w:t xml:space="preserve"> </w:t>
      </w:r>
      <w:r>
        <w:rPr>
          <w:rFonts w:hint="eastAsia" w:eastAsia="仿宋_GB2312"/>
          <w:color w:val="auto"/>
          <w:sz w:val="32"/>
          <w:szCs w:val="32"/>
          <w:u w:val="single"/>
          <w:lang w:val="en-US" w:eastAsia="zh-CN"/>
        </w:rPr>
        <w:t>74.97</w:t>
      </w:r>
      <w:r>
        <w:rPr>
          <w:rFonts w:eastAsia="仿宋_GB2312"/>
          <w:color w:val="auto"/>
          <w:sz w:val="32"/>
          <w:szCs w:val="32"/>
          <w:u w:val="single"/>
        </w:rPr>
        <w:t xml:space="preserve"> </w:t>
      </w:r>
      <w:r>
        <w:rPr>
          <w:rFonts w:eastAsia="仿宋_GB2312"/>
          <w:color w:val="auto"/>
          <w:sz w:val="32"/>
          <w:szCs w:val="32"/>
        </w:rPr>
        <w:t>万元</w:t>
      </w:r>
      <w:r>
        <w:rPr>
          <w:rFonts w:eastAsia="仿宋_GB2312"/>
          <w:sz w:val="32"/>
          <w:szCs w:val="32"/>
          <w:highlight w:val="none"/>
        </w:rPr>
        <w:t>，</w:t>
      </w:r>
      <w:r>
        <w:rPr>
          <w:rFonts w:hint="eastAsia" w:eastAsia="仿宋_GB2312"/>
          <w:sz w:val="32"/>
          <w:szCs w:val="32"/>
          <w:highlight w:val="none"/>
          <w:lang w:eastAsia="zh-CN"/>
        </w:rPr>
        <w:t>主要是</w:t>
      </w:r>
      <w:r>
        <w:rPr>
          <w:rFonts w:eastAsia="仿宋_GB2312"/>
          <w:sz w:val="32"/>
          <w:szCs w:val="32"/>
          <w:highlight w:val="none"/>
        </w:rPr>
        <w:t>为保障</w:t>
      </w:r>
      <w:r>
        <w:rPr>
          <w:rFonts w:hint="eastAsia" w:eastAsia="仿宋_GB2312"/>
          <w:sz w:val="32"/>
          <w:szCs w:val="32"/>
          <w:highlight w:val="none"/>
          <w:lang w:eastAsia="zh-CN"/>
        </w:rPr>
        <w:t>部门</w:t>
      </w:r>
      <w:r>
        <w:rPr>
          <w:rFonts w:eastAsia="仿宋_GB2312"/>
          <w:sz w:val="32"/>
          <w:szCs w:val="32"/>
          <w:highlight w:val="none"/>
        </w:rPr>
        <w:t>正常运转、完成日常工作任务而发生的各项支出，包括用于基本工资、津贴补贴等人员经费以及办公费、印刷费、水电费、办公设备购置等日常公用经费。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pPr>
      <w:r>
        <w:rPr>
          <w:rFonts w:eastAsia="仿宋_GB2312"/>
          <w:sz w:val="32"/>
          <w:szCs w:val="32"/>
          <w:highlight w:val="none"/>
        </w:rPr>
        <w:t>（二）项目支出：</w:t>
      </w:r>
      <w:r>
        <w:rPr>
          <w:rFonts w:hint="eastAsia" w:eastAsia="仿宋_GB2312"/>
          <w:sz w:val="32"/>
          <w:szCs w:val="32"/>
          <w:highlight w:val="none"/>
          <w:lang w:eastAsia="zh-CN"/>
        </w:rPr>
        <w:t>2024</w:t>
      </w:r>
      <w:r>
        <w:rPr>
          <w:rFonts w:eastAsia="仿宋_GB2312"/>
          <w:sz w:val="32"/>
          <w:szCs w:val="32"/>
          <w:highlight w:val="none"/>
        </w:rPr>
        <w:t>年年初预算数为</w:t>
      </w:r>
      <w:r>
        <w:rPr>
          <w:rFonts w:eastAsia="仿宋_GB2312"/>
          <w:color w:val="auto"/>
          <w:sz w:val="32"/>
          <w:szCs w:val="32"/>
          <w:u w:val="single"/>
        </w:rPr>
        <w:t xml:space="preserve"> </w:t>
      </w:r>
      <w:r>
        <w:rPr>
          <w:rFonts w:hint="eastAsia" w:eastAsia="仿宋_GB2312"/>
          <w:color w:val="auto"/>
          <w:sz w:val="32"/>
          <w:szCs w:val="32"/>
          <w:u w:val="single"/>
          <w:lang w:val="en-US" w:eastAsia="zh-CN"/>
        </w:rPr>
        <w:t>25</w:t>
      </w:r>
      <w:r>
        <w:rPr>
          <w:rFonts w:eastAsia="仿宋_GB2312"/>
          <w:color w:val="auto"/>
          <w:sz w:val="32"/>
          <w:szCs w:val="32"/>
          <w:u w:val="single"/>
        </w:rPr>
        <w:t xml:space="preserve">  </w:t>
      </w:r>
      <w:r>
        <w:rPr>
          <w:rFonts w:eastAsia="仿宋_GB2312"/>
          <w:color w:val="auto"/>
          <w:sz w:val="32"/>
          <w:szCs w:val="32"/>
        </w:rPr>
        <w:t>万元</w:t>
      </w:r>
      <w:r>
        <w:rPr>
          <w:rFonts w:eastAsia="仿宋_GB2312"/>
          <w:sz w:val="32"/>
          <w:szCs w:val="32"/>
          <w:highlight w:val="none"/>
        </w:rPr>
        <w:t>，</w:t>
      </w:r>
      <w:r>
        <w:rPr>
          <w:rFonts w:hint="eastAsia" w:eastAsia="仿宋_GB2312"/>
          <w:sz w:val="32"/>
          <w:szCs w:val="32"/>
          <w:highlight w:val="none"/>
          <w:lang w:eastAsia="zh-CN"/>
        </w:rPr>
        <w:t>主要是部门</w:t>
      </w:r>
      <w:r>
        <w:rPr>
          <w:rFonts w:eastAsia="仿宋_GB2312"/>
          <w:sz w:val="32"/>
          <w:szCs w:val="32"/>
          <w:highlight w:val="none"/>
        </w:rPr>
        <w:t>为完成特定行政工作任务或事业发展目标而发生的支出，包括有关事业发展专项、专项业务费、基本建设支出等。其中：</w:t>
      </w:r>
      <w:r>
        <w:rPr>
          <w:rFonts w:hint="eastAsia" w:eastAsia="仿宋_GB2312"/>
          <w:sz w:val="32"/>
          <w:szCs w:val="32"/>
          <w:highlight w:val="none"/>
          <w:lang w:val="en-US" w:eastAsia="zh-CN"/>
        </w:rPr>
        <w:t>执行成本及专项工作经费</w:t>
      </w:r>
      <w:r>
        <w:rPr>
          <w:rFonts w:eastAsia="仿宋_GB2312"/>
          <w:sz w:val="32"/>
          <w:szCs w:val="32"/>
          <w:highlight w:val="none"/>
        </w:rPr>
        <w:t>支出</w:t>
      </w:r>
      <w:r>
        <w:rPr>
          <w:rFonts w:hint="eastAsia" w:eastAsia="仿宋_GB2312"/>
          <w:sz w:val="32"/>
          <w:szCs w:val="32"/>
          <w:highlight w:val="none"/>
          <w:lang w:val="en-US" w:eastAsia="zh-CN"/>
        </w:rPr>
        <w:t>11</w:t>
      </w:r>
      <w:r>
        <w:rPr>
          <w:rFonts w:eastAsia="仿宋_GB2312"/>
          <w:sz w:val="32"/>
          <w:szCs w:val="32"/>
          <w:highlight w:val="none"/>
        </w:rPr>
        <w:t>万元，</w:t>
      </w:r>
      <w:r>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t>用于</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检查、处罚快递业违规的成本费用作工作费用支出</w:t>
      </w:r>
      <w:r>
        <w:rPr>
          <w:rFonts w:hint="default" w:ascii="仿宋_GB2312" w:hAnsi="Calibri" w:eastAsia="仿宋_GB2312" w:cs="仿宋_GB2312"/>
          <w:i w:val="0"/>
          <w:iCs w:val="0"/>
          <w:caps w:val="0"/>
          <w:color w:val="333333"/>
          <w:spacing w:val="0"/>
          <w:kern w:val="0"/>
          <w:sz w:val="32"/>
          <w:szCs w:val="32"/>
          <w:shd w:val="clear" w:color="auto" w:fill="FFFFFF"/>
          <w:lang w:val="en-US" w:eastAsia="zh-CN" w:bidi="ar"/>
        </w:rPr>
        <w:t>等方面</w:t>
      </w:r>
    </w:p>
    <w:p>
      <w:pPr>
        <w:widowControl/>
        <w:spacing w:line="600" w:lineRule="exact"/>
        <w:jc w:val="left"/>
        <w:rPr>
          <w:rFonts w:eastAsia="仿宋_GB2312"/>
          <w:sz w:val="32"/>
          <w:szCs w:val="32"/>
          <w:highlight w:val="none"/>
        </w:rPr>
      </w:pPr>
      <w:r>
        <w:rPr>
          <w:rFonts w:hint="eastAsia" w:eastAsia="仿宋_GB2312"/>
          <w:sz w:val="32"/>
          <w:szCs w:val="32"/>
          <w:highlight w:val="none"/>
          <w:lang w:val="en-US" w:eastAsia="zh-CN"/>
        </w:rPr>
        <w:t>；绩效奖</w:t>
      </w:r>
      <w:r>
        <w:rPr>
          <w:rFonts w:eastAsia="仿宋_GB2312"/>
          <w:sz w:val="32"/>
          <w:szCs w:val="32"/>
          <w:highlight w:val="none"/>
        </w:rPr>
        <w:t>支出</w:t>
      </w:r>
      <w:r>
        <w:rPr>
          <w:rFonts w:hint="eastAsia" w:eastAsia="仿宋_GB2312"/>
          <w:sz w:val="32"/>
          <w:szCs w:val="32"/>
          <w:highlight w:val="none"/>
          <w:lang w:val="en-US" w:eastAsia="zh-CN"/>
        </w:rPr>
        <w:t>14</w:t>
      </w:r>
      <w:r>
        <w:rPr>
          <w:rFonts w:eastAsia="仿宋_GB2312"/>
          <w:sz w:val="32"/>
          <w:szCs w:val="32"/>
          <w:highlight w:val="none"/>
        </w:rPr>
        <w:t>万元，主要用于</w:t>
      </w:r>
      <w:r>
        <w:rPr>
          <w:rFonts w:hint="eastAsia" w:eastAsia="仿宋_GB2312"/>
          <w:sz w:val="32"/>
          <w:szCs w:val="32"/>
          <w:highlight w:val="none"/>
          <w:lang w:val="en-US" w:eastAsia="zh-CN"/>
        </w:rPr>
        <w:t>发放本单位人员绩效奖</w:t>
      </w:r>
      <w:r>
        <w:rPr>
          <w:rFonts w:eastAsia="仿宋_GB2312"/>
          <w:sz w:val="32"/>
          <w:szCs w:val="32"/>
          <w:highlight w:val="none"/>
        </w:rPr>
        <w:t>。</w:t>
      </w:r>
    </w:p>
    <w:p>
      <w:pPr>
        <w:widowControl/>
        <w:spacing w:line="600" w:lineRule="exact"/>
        <w:ind w:firstLine="630" w:firstLineChars="196"/>
        <w:rPr>
          <w:rFonts w:eastAsia="仿宋_GB2312"/>
          <w:b/>
          <w:sz w:val="32"/>
          <w:szCs w:val="32"/>
        </w:rPr>
      </w:pPr>
    </w:p>
    <w:p>
      <w:pPr>
        <w:widowControl/>
        <w:shd w:val="clear" w:color="auto" w:fill="FFFFFF"/>
        <w:spacing w:before="100" w:beforeAutospacing="1" w:after="100" w:afterAutospacing="1" w:line="600" w:lineRule="atLeast"/>
        <w:ind w:firstLine="800" w:firstLineChars="250"/>
        <w:jc w:val="left"/>
        <w:rPr>
          <w:rFonts w:hint="eastAsia" w:ascii="黑体" w:hAnsi="黑体" w:eastAsia="黑体" w:cs="黑体"/>
          <w:sz w:val="32"/>
          <w:szCs w:val="32"/>
        </w:rPr>
      </w:pPr>
      <w:r>
        <w:rPr>
          <w:rFonts w:hint="eastAsia" w:ascii="黑体" w:hAnsi="黑体" w:eastAsia="黑体" w:cs="黑体"/>
          <w:sz w:val="32"/>
          <w:szCs w:val="32"/>
        </w:rPr>
        <w:t xml:space="preserve">五、政府性基金预算 </w:t>
      </w:r>
    </w:p>
    <w:p>
      <w:pPr>
        <w:widowControl/>
        <w:shd w:val="clear" w:color="auto" w:fill="FFFFFF"/>
        <w:spacing w:before="100" w:beforeAutospacing="1" w:after="100" w:afterAutospacing="1" w:line="600" w:lineRule="atLeast"/>
        <w:ind w:firstLine="640"/>
        <w:jc w:val="left"/>
        <w:rPr>
          <w:rFonts w:hint="default" w:eastAsia="仿宋_GB2312"/>
          <w:color w:val="auto"/>
          <w:sz w:val="32"/>
          <w:szCs w:val="32"/>
          <w:lang w:val="en-US" w:eastAsia="zh-CN"/>
        </w:rPr>
      </w:pPr>
      <w:r>
        <w:rPr>
          <w:rFonts w:hint="eastAsia" w:eastAsia="仿宋_GB2312"/>
          <w:color w:val="auto"/>
          <w:sz w:val="32"/>
          <w:szCs w:val="32"/>
          <w:lang w:val="en-US" w:eastAsia="zh-CN"/>
        </w:rPr>
        <w:t>本部门无政府性基金安排的支出。</w:t>
      </w:r>
    </w:p>
    <w:p>
      <w:pPr>
        <w:widowControl/>
        <w:spacing w:line="600" w:lineRule="exact"/>
        <w:ind w:firstLine="660"/>
        <w:jc w:val="left"/>
        <w:rPr>
          <w:rFonts w:eastAsia="黑体"/>
          <w:sz w:val="32"/>
          <w:szCs w:val="32"/>
        </w:rPr>
      </w:pPr>
    </w:p>
    <w:p>
      <w:pPr>
        <w:widowControl/>
        <w:spacing w:line="600" w:lineRule="exact"/>
        <w:ind w:firstLine="640" w:firstLineChars="200"/>
        <w:jc w:val="left"/>
        <w:rPr>
          <w:rFonts w:eastAsia="黑体"/>
          <w:sz w:val="32"/>
          <w:szCs w:val="32"/>
        </w:rPr>
      </w:pPr>
      <w:r>
        <w:rPr>
          <w:rFonts w:hint="eastAsia" w:eastAsia="黑体"/>
          <w:sz w:val="32"/>
          <w:szCs w:val="32"/>
          <w:lang w:eastAsia="zh-CN"/>
        </w:rPr>
        <w:t>六、</w:t>
      </w:r>
      <w:r>
        <w:rPr>
          <w:rFonts w:eastAsia="黑体"/>
          <w:sz w:val="32"/>
          <w:szCs w:val="32"/>
        </w:rPr>
        <w:t>其他重要事项的情况说明</w:t>
      </w:r>
    </w:p>
    <w:p>
      <w:pPr>
        <w:widowControl/>
        <w:spacing w:line="600" w:lineRule="exact"/>
        <w:ind w:firstLine="660"/>
        <w:jc w:val="left"/>
        <w:rPr>
          <w:rFonts w:eastAsia="仿宋_GB2312"/>
          <w:sz w:val="32"/>
          <w:szCs w:val="32"/>
        </w:rPr>
      </w:pPr>
      <w:r>
        <w:rPr>
          <w:rFonts w:hint="eastAsia" w:eastAsia="仿宋_GB2312"/>
          <w:color w:val="auto"/>
          <w:sz w:val="32"/>
          <w:szCs w:val="32"/>
          <w:lang w:eastAsia="zh-CN"/>
        </w:rPr>
        <w:t>（一）</w:t>
      </w:r>
      <w:r>
        <w:rPr>
          <w:rFonts w:eastAsia="仿宋_GB2312"/>
          <w:sz w:val="32"/>
          <w:szCs w:val="32"/>
        </w:rPr>
        <w:t>机关运行经费</w:t>
      </w:r>
    </w:p>
    <w:p>
      <w:pPr>
        <w:widowControl/>
        <w:spacing w:line="60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邵东市邮政快递业发展中心</w:t>
      </w:r>
      <w:r>
        <w:rPr>
          <w:rFonts w:hint="eastAsia" w:ascii="仿宋_GB2312" w:hAnsi="仿宋_GB2312" w:eastAsia="仿宋_GB2312" w:cs="仿宋_GB2312"/>
          <w:sz w:val="32"/>
          <w:szCs w:val="32"/>
        </w:rPr>
        <w:t>本级等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家行政事业单位的机关运行经费当年一般公共预算拨款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133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，主要是</w:t>
      </w:r>
      <w:r>
        <w:rPr>
          <w:rFonts w:hint="eastAsia" w:ascii="仿宋_GB2312" w:hAnsi="仿宋_GB2312" w:eastAsia="仿宋_GB2312" w:cs="仿宋_GB2312"/>
          <w:sz w:val="32"/>
          <w:szCs w:val="32"/>
          <w:lang w:val="en-US" w:eastAsia="zh-CN"/>
        </w:rPr>
        <w:t>人员增加。</w:t>
      </w:r>
    </w:p>
    <w:p>
      <w:pPr>
        <w:widowControl/>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“三公”经费预算</w:t>
      </w:r>
    </w:p>
    <w:p>
      <w:pPr>
        <w:widowControl/>
        <w:spacing w:line="600" w:lineRule="exact"/>
        <w:ind w:firstLine="660"/>
        <w:rPr>
          <w:rFonts w:hint="default" w:eastAsia="仿宋_GB2312"/>
          <w:color w:val="FF0000"/>
          <w:sz w:val="32"/>
          <w:szCs w:val="32"/>
          <w:lang w:val="en-US" w:eastAsia="zh-CN"/>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年“三公”经费预算数为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万元，公务用车购置及运行费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万元（其中，公务用车购置费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万元，公务用车运行费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年“三公”经费预算与</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年持平。</w:t>
      </w:r>
    </w:p>
    <w:p>
      <w:pPr>
        <w:widowControl/>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（三）一般性支出情况：</w:t>
      </w:r>
    </w:p>
    <w:p>
      <w:pPr>
        <w:widowControl/>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2024年本部门会议费预算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，拟召开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会议，培训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培训费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，拟开展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lang w:val="en-US" w:eastAsia="zh-CN"/>
        </w:rPr>
        <w:t>培训，人数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人，内容为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；未计划举办节庆晚会论坛等赛事活动</w:t>
      </w:r>
      <w:r>
        <w:rPr>
          <w:rFonts w:hint="eastAsia" w:ascii="仿宋_GB2312" w:hAnsi="仿宋_GB2312" w:eastAsia="仿宋_GB2312" w:cs="仿宋_GB2312"/>
          <w:sz w:val="32"/>
          <w:szCs w:val="32"/>
          <w:lang w:eastAsia="zh-CN"/>
        </w:rPr>
        <w:t>。</w:t>
      </w:r>
    </w:p>
    <w:p>
      <w:pPr>
        <w:widowControl/>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政府采购情况</w:t>
      </w:r>
    </w:p>
    <w:p>
      <w:pPr>
        <w:widowControl/>
        <w:spacing w:line="60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2024年本部门政府采购预算总额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 xml:space="preserve">，其中工程类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 xml:space="preserve">，货物类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，服务类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w:t>
      </w:r>
    </w:p>
    <w:p>
      <w:pPr>
        <w:widowControl/>
        <w:numPr>
          <w:ilvl w:val="0"/>
          <w:numId w:val="3"/>
        </w:numPr>
        <w:spacing w:line="600" w:lineRule="exact"/>
        <w:ind w:firstLine="66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i w:val="0"/>
          <w:iCs w:val="0"/>
          <w:sz w:val="32"/>
          <w:szCs w:val="32"/>
        </w:rPr>
        <w:t>国有资产占用使用及新增资产配置情况</w:t>
      </w:r>
      <w:r>
        <w:rPr>
          <w:rFonts w:hint="eastAsia" w:ascii="仿宋_GB2312" w:hAnsi="仿宋_GB2312" w:eastAsia="仿宋_GB2312" w:cs="仿宋_GB2312"/>
          <w:b w:val="0"/>
          <w:bCs/>
          <w:i w:val="0"/>
          <w:iCs w:val="0"/>
          <w:sz w:val="32"/>
          <w:szCs w:val="32"/>
          <w:lang w:val="en-US" w:eastAsia="zh-CN"/>
        </w:rPr>
        <w:t xml:space="preserve"> ：截止          </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年12月底，本部门</w:t>
      </w:r>
      <w:r>
        <w:rPr>
          <w:rFonts w:hint="eastAsia" w:ascii="仿宋_GB2312" w:hAnsi="仿宋_GB2312" w:eastAsia="仿宋_GB2312" w:cs="仿宋_GB2312"/>
          <w:bCs/>
          <w:kern w:val="0"/>
          <w:sz w:val="32"/>
          <w:szCs w:val="32"/>
        </w:rPr>
        <w:t>共有公务用车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辆，其中，机要通信用车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辆，应急保障用车</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辆，执法执勤用车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辆，特种专业技术用车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辆，其他按照规定配备的公务用车</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辆；单位价值50万元以上通用设备</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rPr>
        <w:t>台，单位价值100万元以上专用设备</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台。</w:t>
      </w:r>
      <w:r>
        <w:rPr>
          <w:rFonts w:hint="eastAsia" w:ascii="仿宋_GB2312" w:hAnsi="仿宋_GB2312" w:eastAsia="仿宋_GB2312" w:cs="仿宋_GB2312"/>
          <w:bCs/>
          <w:kern w:val="0"/>
          <w:sz w:val="32"/>
          <w:szCs w:val="32"/>
          <w:lang w:val="en-US" w:eastAsia="zh-CN"/>
        </w:rPr>
        <w:t>2024</w:t>
      </w:r>
      <w:r>
        <w:rPr>
          <w:rFonts w:hint="eastAsia" w:ascii="仿宋_GB2312" w:hAnsi="仿宋_GB2312" w:eastAsia="仿宋_GB2312" w:cs="仿宋_GB2312"/>
          <w:bCs/>
          <w:kern w:val="0"/>
          <w:sz w:val="32"/>
          <w:szCs w:val="32"/>
        </w:rPr>
        <w:t>年拟新增配置公务用车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辆，其中，机要通信用车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辆，应急保障用车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rPr>
        <w:t>辆，执法执勤用车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辆，特种专业技术用车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辆，其他按照规定配备的公务用车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辆；新增配备单位价值50万元以上通用设备</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台，单位价值100万元以上专用设备</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2E75B6" w:themeColor="accent1" w:themeShade="BF"/>
          <w:kern w:val="0"/>
          <w:sz w:val="32"/>
          <w:szCs w:val="32"/>
          <w:shd w:val="clear" w:color="auto" w:fill="FFFFFF"/>
          <w:lang w:val="en-US" w:eastAsia="zh-CN" w:bidi="ar"/>
        </w:rPr>
      </w:pPr>
      <w:r>
        <w:rPr>
          <w:rFonts w:hint="eastAsia" w:ascii="仿宋_GB2312" w:hAnsi="仿宋_GB2312" w:eastAsia="仿宋_GB2312" w:cs="仿宋_GB2312"/>
          <w:color w:val="2E75B6" w:themeColor="accent1" w:themeShade="BF"/>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 xml:space="preserve">预算绩效情况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t>邵东市邮政快递业发展中心</w:t>
      </w:r>
      <w:r>
        <w:rPr>
          <w:rFonts w:hint="eastAsia" w:ascii="仿宋_GB2312" w:hAnsi="仿宋_GB2312" w:eastAsia="仿宋_GB2312" w:cs="仿宋_GB2312"/>
          <w:color w:val="auto"/>
          <w:sz w:val="32"/>
          <w:szCs w:val="32"/>
        </w:rPr>
        <w:t>部门预算绩效目标实行全覆盖，</w:t>
      </w:r>
      <w:r>
        <w:rPr>
          <w:rFonts w:hint="eastAsia" w:ascii="仿宋_GB2312" w:hAnsi="仿宋_GB2312" w:eastAsia="仿宋_GB2312" w:cs="仿宋_GB2312"/>
          <w:color w:val="auto"/>
          <w:kern w:val="0"/>
          <w:sz w:val="32"/>
          <w:szCs w:val="32"/>
          <w:shd w:val="clear" w:color="auto" w:fill="FFFFFF"/>
          <w:lang w:val="en-US" w:eastAsia="zh-CN" w:bidi="ar"/>
        </w:rPr>
        <w:t>整体支出绩效目标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99.97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，其中：基本支出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74.97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，项目支出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，全部纳入绩效目标管理。项目支出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kern w:val="0"/>
          <w:sz w:val="32"/>
          <w:szCs w:val="32"/>
          <w:shd w:val="clear" w:color="auto" w:fill="FFFFFF"/>
          <w:lang w:val="en-US" w:eastAsia="zh-CN" w:bidi="ar"/>
        </w:rPr>
        <w:t>，全部用于实行项目支出绩效目标管理，具体绩效目标详见报表。</w:t>
      </w:r>
    </w:p>
    <w:p>
      <w:pPr>
        <w:widowControl/>
        <w:shd w:val="clear" w:color="auto" w:fill="FFFFFF"/>
        <w:spacing w:before="100" w:beforeAutospacing="1" w:after="100" w:afterAutospacing="1" w:line="600" w:lineRule="atLeast"/>
        <w:ind w:firstLine="720" w:firstLineChars="225"/>
        <w:jc w:val="left"/>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widowControl/>
        <w:shd w:val="clear" w:color="auto" w:fill="FFFFFF"/>
        <w:spacing w:before="100" w:beforeAutospacing="1" w:after="100" w:afterAutospacing="1" w:line="600" w:lineRule="atLeast"/>
        <w:ind w:firstLine="720" w:firstLineChars="225"/>
        <w:jc w:val="left"/>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hint="eastAsia" w:ascii="仿宋_GB2312" w:hAnsi="仿宋_GB2312" w:eastAsia="仿宋_GB2312" w:cs="仿宋_GB2312"/>
          <w:sz w:val="32"/>
          <w:szCs w:val="32"/>
        </w:rPr>
        <w:t>2、“三公”经费：纳入财政预</w:t>
      </w:r>
      <w:r>
        <w:rPr>
          <w:rFonts w:eastAsia="仿宋_GB2312"/>
          <w:sz w:val="32"/>
          <w:szCs w:val="32"/>
        </w:rPr>
        <w:t>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600" w:lineRule="exact"/>
        <w:jc w:val="left"/>
        <w:rPr>
          <w:rFonts w:hint="eastAsia" w:eastAsia="黑体"/>
          <w:sz w:val="32"/>
          <w:szCs w:val="32"/>
        </w:rPr>
      </w:pPr>
    </w:p>
    <w:p>
      <w:pPr>
        <w:jc w:val="cente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字体">
    <w:altName w:val="Segoe Print"/>
    <w:panose1 w:val="00000000000000000000"/>
    <w:charset w:val="00"/>
    <w:family w:val="auto"/>
    <w:pitch w:val="default"/>
    <w:sig w:usb0="00000000" w:usb1="00000000" w:usb2="00000000"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5BDF0"/>
    <w:multiLevelType w:val="singleLevel"/>
    <w:tmpl w:val="E6F5BDF0"/>
    <w:lvl w:ilvl="0" w:tentative="0">
      <w:start w:val="2"/>
      <w:numFmt w:val="chineseCounting"/>
      <w:suff w:val="nothing"/>
      <w:lvlText w:val="（%1）"/>
      <w:lvlJc w:val="left"/>
      <w:rPr>
        <w:rFonts w:hint="eastAsia"/>
      </w:rPr>
    </w:lvl>
  </w:abstractNum>
  <w:abstractNum w:abstractNumId="1">
    <w:nsid w:val="1B299270"/>
    <w:multiLevelType w:val="singleLevel"/>
    <w:tmpl w:val="1B299270"/>
    <w:lvl w:ilvl="0" w:tentative="0">
      <w:start w:val="5"/>
      <w:numFmt w:val="chineseCounting"/>
      <w:suff w:val="nothing"/>
      <w:lvlText w:val="（%1）"/>
      <w:lvlJc w:val="left"/>
      <w:rPr>
        <w:rFonts w:hint="eastAsia"/>
      </w:rPr>
    </w:lvl>
  </w:abstractNum>
  <w:abstractNum w:abstractNumId="2">
    <w:nsid w:val="1B39CBF0"/>
    <w:multiLevelType w:val="singleLevel"/>
    <w:tmpl w:val="1B39CBF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mMzMTg4MGY0MzQ3MWI1YTFlYWNiZTIxODBlNDgifQ=="/>
    <w:docVar w:name="KSO_WPS_MARK_KEY" w:val="8a4c61f2-f328-4b39-8db3-1e21b7f74dc9"/>
  </w:docVars>
  <w:rsids>
    <w:rsidRoot w:val="00000000"/>
    <w:rsid w:val="01214454"/>
    <w:rsid w:val="01987FB3"/>
    <w:rsid w:val="01EC5634"/>
    <w:rsid w:val="02725067"/>
    <w:rsid w:val="03862B82"/>
    <w:rsid w:val="03FD6F13"/>
    <w:rsid w:val="049059DB"/>
    <w:rsid w:val="053D37AA"/>
    <w:rsid w:val="071333A8"/>
    <w:rsid w:val="076348B0"/>
    <w:rsid w:val="07BE169A"/>
    <w:rsid w:val="080E3082"/>
    <w:rsid w:val="0BC041DE"/>
    <w:rsid w:val="0CE3341B"/>
    <w:rsid w:val="0CE5649F"/>
    <w:rsid w:val="0D186DE7"/>
    <w:rsid w:val="0FBD6F15"/>
    <w:rsid w:val="120B126E"/>
    <w:rsid w:val="12DD760A"/>
    <w:rsid w:val="130D2041"/>
    <w:rsid w:val="131E40C5"/>
    <w:rsid w:val="13357E48"/>
    <w:rsid w:val="14641FAC"/>
    <w:rsid w:val="14FF4FAB"/>
    <w:rsid w:val="15636081"/>
    <w:rsid w:val="15CA24F2"/>
    <w:rsid w:val="16897F8E"/>
    <w:rsid w:val="18DB64FB"/>
    <w:rsid w:val="19256E89"/>
    <w:rsid w:val="196B4ADD"/>
    <w:rsid w:val="19F06CB1"/>
    <w:rsid w:val="1A866293"/>
    <w:rsid w:val="1B2239D5"/>
    <w:rsid w:val="1BC51582"/>
    <w:rsid w:val="1BE778F6"/>
    <w:rsid w:val="1C0E25C7"/>
    <w:rsid w:val="1D1C5229"/>
    <w:rsid w:val="1FA86BE0"/>
    <w:rsid w:val="1FE75924"/>
    <w:rsid w:val="20552487"/>
    <w:rsid w:val="207E3090"/>
    <w:rsid w:val="20CE3689"/>
    <w:rsid w:val="21600E78"/>
    <w:rsid w:val="2341013F"/>
    <w:rsid w:val="241D02D3"/>
    <w:rsid w:val="25551E9B"/>
    <w:rsid w:val="26F66398"/>
    <w:rsid w:val="277A5916"/>
    <w:rsid w:val="281B1289"/>
    <w:rsid w:val="284321AC"/>
    <w:rsid w:val="28DA33B6"/>
    <w:rsid w:val="2907142C"/>
    <w:rsid w:val="29400BF1"/>
    <w:rsid w:val="2A3C0F35"/>
    <w:rsid w:val="2AF4377D"/>
    <w:rsid w:val="2B2A567B"/>
    <w:rsid w:val="2B4078C9"/>
    <w:rsid w:val="2B936148"/>
    <w:rsid w:val="2BF83CBD"/>
    <w:rsid w:val="2CCC23CC"/>
    <w:rsid w:val="2F354A66"/>
    <w:rsid w:val="2F6E1EFD"/>
    <w:rsid w:val="300F0BC6"/>
    <w:rsid w:val="30207466"/>
    <w:rsid w:val="30A32C8B"/>
    <w:rsid w:val="315F042E"/>
    <w:rsid w:val="32030C93"/>
    <w:rsid w:val="34AD54E0"/>
    <w:rsid w:val="34F11886"/>
    <w:rsid w:val="3521576F"/>
    <w:rsid w:val="37711FE6"/>
    <w:rsid w:val="37990531"/>
    <w:rsid w:val="382C602C"/>
    <w:rsid w:val="3AEF3625"/>
    <w:rsid w:val="3D5D4D3B"/>
    <w:rsid w:val="3DD26ED9"/>
    <w:rsid w:val="40581587"/>
    <w:rsid w:val="42A7702B"/>
    <w:rsid w:val="44194249"/>
    <w:rsid w:val="454C0FB1"/>
    <w:rsid w:val="45D85C07"/>
    <w:rsid w:val="46582E6F"/>
    <w:rsid w:val="46991FFC"/>
    <w:rsid w:val="46FB2D0D"/>
    <w:rsid w:val="4713199C"/>
    <w:rsid w:val="47A05FB4"/>
    <w:rsid w:val="47CA2CA4"/>
    <w:rsid w:val="481D2CA5"/>
    <w:rsid w:val="49C44C7A"/>
    <w:rsid w:val="4A5C7950"/>
    <w:rsid w:val="4AB036F2"/>
    <w:rsid w:val="4ADF53D0"/>
    <w:rsid w:val="4B2511A9"/>
    <w:rsid w:val="4B6E7A6B"/>
    <w:rsid w:val="4B942E54"/>
    <w:rsid w:val="4CF66F3E"/>
    <w:rsid w:val="4D1A7D3F"/>
    <w:rsid w:val="4DE7120A"/>
    <w:rsid w:val="4E9916F8"/>
    <w:rsid w:val="4FD20927"/>
    <w:rsid w:val="50BE03C6"/>
    <w:rsid w:val="50CF1AB7"/>
    <w:rsid w:val="53455A59"/>
    <w:rsid w:val="554F3F28"/>
    <w:rsid w:val="56372015"/>
    <w:rsid w:val="56484C52"/>
    <w:rsid w:val="56C8194B"/>
    <w:rsid w:val="56CD3B30"/>
    <w:rsid w:val="56DE1A8A"/>
    <w:rsid w:val="571F2F3C"/>
    <w:rsid w:val="57B40121"/>
    <w:rsid w:val="584E1CCB"/>
    <w:rsid w:val="58616783"/>
    <w:rsid w:val="59BF3A1F"/>
    <w:rsid w:val="59EC64F6"/>
    <w:rsid w:val="5B577331"/>
    <w:rsid w:val="5DA93D17"/>
    <w:rsid w:val="5E332430"/>
    <w:rsid w:val="5F383F44"/>
    <w:rsid w:val="60F76C10"/>
    <w:rsid w:val="61BA0175"/>
    <w:rsid w:val="626D784A"/>
    <w:rsid w:val="63D12AA9"/>
    <w:rsid w:val="642656F1"/>
    <w:rsid w:val="65F16ED8"/>
    <w:rsid w:val="66287435"/>
    <w:rsid w:val="66F26131"/>
    <w:rsid w:val="67402C9E"/>
    <w:rsid w:val="675951FD"/>
    <w:rsid w:val="681C6ED0"/>
    <w:rsid w:val="68921DB9"/>
    <w:rsid w:val="6910619C"/>
    <w:rsid w:val="696B2D0A"/>
    <w:rsid w:val="6A1166EF"/>
    <w:rsid w:val="6B5A3DC5"/>
    <w:rsid w:val="6C704722"/>
    <w:rsid w:val="6CD7272C"/>
    <w:rsid w:val="6D2A3FD8"/>
    <w:rsid w:val="6DF00A6E"/>
    <w:rsid w:val="6FB046F7"/>
    <w:rsid w:val="6FFC61FE"/>
    <w:rsid w:val="719E6A8E"/>
    <w:rsid w:val="733D0B73"/>
    <w:rsid w:val="736B3932"/>
    <w:rsid w:val="73727A26"/>
    <w:rsid w:val="74E536DF"/>
    <w:rsid w:val="7649214A"/>
    <w:rsid w:val="7ACD3942"/>
    <w:rsid w:val="7CD64A8F"/>
    <w:rsid w:val="7CEF18A8"/>
    <w:rsid w:val="7CEF4A44"/>
    <w:rsid w:val="7EBD7DFE"/>
    <w:rsid w:val="7F8A1326"/>
    <w:rsid w:val="7FD3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3007</Words>
  <Characters>3230</Characters>
  <Lines>0</Lines>
  <Paragraphs>0</Paragraphs>
  <TotalTime>3</TotalTime>
  <ScaleCrop>false</ScaleCrop>
  <LinksUpToDate>false</LinksUpToDate>
  <CharactersWithSpaces>3431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玉</cp:lastModifiedBy>
  <cp:lastPrinted>2024-04-19T01:51:00Z</cp:lastPrinted>
  <dcterms:modified xsi:type="dcterms:W3CDTF">2024-05-27T07:49:55Z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04E82AA274D04CFBB3521F1D9A6E1EFA_12</vt:lpwstr>
  </property>
</Properties>
</file>