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620" w:lineRule="exact"/>
        <w:jc w:val="center"/>
        <w:textAlignment w:val="baseline"/>
        <w:rPr>
          <w:rStyle w:val="13"/>
          <w:rFonts w:ascii="Times New Roman" w:hAnsi="Times New Roman" w:eastAsia="方正小标宋简体"/>
          <w:b w:val="0"/>
          <w:bCs w:val="0"/>
          <w:i w:val="0"/>
          <w:caps w:val="0"/>
          <w:color w:val="000000"/>
          <w:spacing w:val="0"/>
          <w:w w:val="100"/>
          <w:kern w:val="2"/>
          <w:sz w:val="44"/>
          <w:szCs w:val="44"/>
          <w:lang w:val="en-US" w:eastAsia="zh-CN" w:bidi="ar-SA"/>
        </w:rPr>
      </w:pPr>
      <w:r>
        <w:rPr>
          <w:rStyle w:val="13"/>
          <w:rFonts w:ascii="Times New Roman" w:hAnsi="Times New Roman" w:eastAsia="方正小标宋简体"/>
          <w:b w:val="0"/>
          <w:bCs w:val="0"/>
          <w:i w:val="0"/>
          <w:caps w:val="0"/>
          <w:color w:val="000000"/>
          <w:spacing w:val="0"/>
          <w:w w:val="100"/>
          <w:kern w:val="2"/>
          <w:sz w:val="44"/>
          <w:szCs w:val="44"/>
          <w:lang w:val="en-US" w:eastAsia="zh-CN" w:bidi="ar-SA"/>
        </w:rPr>
        <w:t>邵东市集体土地征收及房屋拆迁</w:t>
      </w:r>
    </w:p>
    <w:p>
      <w:pPr>
        <w:snapToGrid w:val="0"/>
        <w:spacing w:before="0" w:beforeAutospacing="0" w:after="0" w:afterAutospacing="0" w:line="620" w:lineRule="exact"/>
        <w:jc w:val="center"/>
        <w:textAlignment w:val="baseline"/>
        <w:rPr>
          <w:rStyle w:val="13"/>
          <w:rFonts w:ascii="Times New Roman" w:hAnsi="Times New Roman" w:eastAsia="方正小标宋简体"/>
          <w:b w:val="0"/>
          <w:bCs w:val="0"/>
          <w:i w:val="0"/>
          <w:caps w:val="0"/>
          <w:color w:val="000000"/>
          <w:spacing w:val="0"/>
          <w:w w:val="100"/>
          <w:kern w:val="2"/>
          <w:sz w:val="44"/>
          <w:szCs w:val="44"/>
          <w:lang w:val="en-US" w:eastAsia="zh-CN" w:bidi="ar-SA"/>
        </w:rPr>
      </w:pPr>
      <w:r>
        <w:rPr>
          <w:rStyle w:val="13"/>
          <w:rFonts w:ascii="Times New Roman" w:hAnsi="Times New Roman" w:eastAsia="方正小标宋简体"/>
          <w:b w:val="0"/>
          <w:bCs w:val="0"/>
          <w:i w:val="0"/>
          <w:caps w:val="0"/>
          <w:color w:val="000000"/>
          <w:spacing w:val="0"/>
          <w:w w:val="100"/>
          <w:kern w:val="2"/>
          <w:sz w:val="44"/>
          <w:szCs w:val="44"/>
          <w:lang w:val="en-US" w:eastAsia="zh-CN" w:bidi="ar-SA"/>
        </w:rPr>
        <w:t>补</w:t>
      </w:r>
      <w:bookmarkStart w:id="0" w:name="_GoBack"/>
      <w:bookmarkEnd w:id="0"/>
      <w:r>
        <w:rPr>
          <w:rStyle w:val="13"/>
          <w:rFonts w:ascii="Times New Roman" w:hAnsi="Times New Roman" w:eastAsia="方正小标宋简体"/>
          <w:b w:val="0"/>
          <w:bCs w:val="0"/>
          <w:i w:val="0"/>
          <w:caps w:val="0"/>
          <w:color w:val="000000"/>
          <w:spacing w:val="0"/>
          <w:w w:val="100"/>
          <w:kern w:val="2"/>
          <w:sz w:val="44"/>
          <w:szCs w:val="44"/>
          <w:lang w:val="en-US" w:eastAsia="zh-CN" w:bidi="ar-SA"/>
        </w:rPr>
        <w:t>偿安置办法</w:t>
      </w:r>
    </w:p>
    <w:p>
      <w:pPr>
        <w:snapToGrid w:val="0"/>
        <w:spacing w:before="0" w:beforeAutospacing="0" w:after="0" w:afterAutospacing="0" w:line="400" w:lineRule="exact"/>
        <w:jc w:val="center"/>
        <w:textAlignment w:val="baseline"/>
        <w:rPr>
          <w:rStyle w:val="13"/>
          <w:rFonts w:ascii="Times New Roman" w:hAnsi="Times New Roman" w:eastAsia="黑体"/>
          <w:b w:val="0"/>
          <w:bCs w:val="0"/>
          <w:i w:val="0"/>
          <w:caps w:val="0"/>
          <w:color w:val="000000"/>
          <w:spacing w:val="0"/>
          <w:w w:val="100"/>
          <w:kern w:val="2"/>
          <w:sz w:val="32"/>
          <w:szCs w:val="32"/>
          <w:lang w:val="en-US" w:eastAsia="zh-CN" w:bidi="ar-SA"/>
        </w:rPr>
      </w:pPr>
      <w:r>
        <w:rPr>
          <w:rStyle w:val="13"/>
          <w:rFonts w:hint="eastAsia" w:ascii="Times New Roman" w:hAnsi="Times New Roman" w:eastAsia="黑体"/>
          <w:b w:val="0"/>
          <w:bCs w:val="0"/>
          <w:i w:val="0"/>
          <w:caps w:val="0"/>
          <w:color w:val="000000"/>
          <w:spacing w:val="0"/>
          <w:w w:val="100"/>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3"/>
          <w:rFonts w:ascii="Times New Roman" w:hAnsi="Times New Roman" w:eastAsia="黑体"/>
          <w:b w:val="0"/>
          <w:bCs w:val="0"/>
          <w:i w:val="0"/>
          <w:caps w:val="0"/>
          <w:color w:val="000000"/>
          <w:spacing w:val="0"/>
          <w:w w:val="100"/>
          <w:kern w:val="2"/>
          <w:sz w:val="32"/>
          <w:szCs w:val="32"/>
          <w:lang w:val="en-US" w:eastAsia="zh-CN" w:bidi="ar-SA"/>
        </w:rPr>
      </w:pPr>
      <w:r>
        <w:rPr>
          <w:rStyle w:val="13"/>
          <w:rFonts w:ascii="Times New Roman" w:hAnsi="Times New Roman" w:eastAsia="黑体"/>
          <w:b w:val="0"/>
          <w:bCs w:val="0"/>
          <w:i w:val="0"/>
          <w:caps w:val="0"/>
          <w:color w:val="000000"/>
          <w:spacing w:val="0"/>
          <w:w w:val="100"/>
          <w:kern w:val="2"/>
          <w:sz w:val="32"/>
          <w:szCs w:val="32"/>
          <w:lang w:val="en-US" w:eastAsia="zh-CN" w:bidi="ar-SA"/>
        </w:rPr>
        <w:t>第一章  总  则</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第一条  </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为加强征地拆迁补偿安置工作，依法规范集体土地征收及房屋拆迁补偿安置行为，切实维护被征地农村集体经济组织及其成员（简称“被征拆人”）的合法权益，根据《中华人民共和国土地管理法》《中华人民共和国土地管理法实施条例》《湖南省实施〈中华人民共和国土地管理法〉办法》和《湖南省人民政府关于调整湖南省征地补偿标准的通知》</w:t>
      </w:r>
      <w:r>
        <w:rPr>
          <w:rStyle w:val="13"/>
          <w:rFonts w:hint="eastAsia" w:ascii="仿宋_GB2312" w:hAnsi="仿宋_GB2312" w:eastAsia="仿宋_GB2312" w:cs="仿宋_GB2312"/>
          <w:b w:val="0"/>
          <w:bCs w:val="0"/>
          <w:i w:val="0"/>
          <w:caps w:val="0"/>
          <w:color w:val="000000"/>
          <w:spacing w:val="8"/>
          <w:w w:val="95"/>
          <w:kern w:val="0"/>
          <w:sz w:val="32"/>
          <w:szCs w:val="32"/>
          <w:lang w:val="en-US" w:eastAsia="zh-CN" w:bidi="ar-SA"/>
        </w:rPr>
        <w:t>（湘</w:t>
      </w:r>
      <w:r>
        <w:rPr>
          <w:rStyle w:val="13"/>
          <w:rFonts w:hint="eastAsia" w:ascii="仿宋_GB2312" w:hAnsi="仿宋_GB2312" w:eastAsia="仿宋_GB2312" w:cs="仿宋_GB2312"/>
          <w:b w:val="0"/>
          <w:bCs w:val="0"/>
          <w:i w:val="0"/>
          <w:caps w:val="0"/>
          <w:color w:val="000000"/>
          <w:spacing w:val="6"/>
          <w:w w:val="95"/>
          <w:kern w:val="0"/>
          <w:sz w:val="32"/>
          <w:szCs w:val="32"/>
          <w:lang w:val="en-US" w:eastAsia="zh-CN" w:bidi="ar-SA"/>
        </w:rPr>
        <w:t>政</w:t>
      </w:r>
      <w:r>
        <w:rPr>
          <w:rStyle w:val="13"/>
          <w:rFonts w:hint="eastAsia" w:ascii="仿宋_GB2312" w:hAnsi="仿宋_GB2312" w:eastAsia="仿宋_GB2312" w:cs="仿宋_GB2312"/>
          <w:b w:val="0"/>
          <w:bCs w:val="0"/>
          <w:i w:val="0"/>
          <w:caps w:val="0"/>
          <w:color w:val="000000"/>
          <w:spacing w:val="8"/>
          <w:w w:val="95"/>
          <w:kern w:val="0"/>
          <w:sz w:val="32"/>
          <w:szCs w:val="32"/>
          <w:lang w:val="en-US" w:eastAsia="zh-CN" w:bidi="ar-SA"/>
        </w:rPr>
        <w:t>发</w:t>
      </w:r>
      <w:r>
        <w:rPr>
          <w:rStyle w:val="13"/>
          <w:rFonts w:hint="eastAsia" w:ascii="仿宋_GB2312" w:hAnsi="仿宋_GB2312" w:eastAsia="仿宋_GB2312" w:cs="仿宋_GB2312"/>
          <w:b w:val="0"/>
          <w:bCs w:val="0"/>
          <w:i w:val="0"/>
          <w:caps w:val="0"/>
          <w:color w:val="000000"/>
          <w:spacing w:val="6"/>
          <w:w w:val="95"/>
          <w:kern w:val="0"/>
          <w:sz w:val="32"/>
          <w:szCs w:val="32"/>
          <w:lang w:val="en-US" w:eastAsia="zh-CN" w:bidi="ar-SA"/>
        </w:rPr>
        <w:t>〔</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20</w:t>
      </w:r>
      <w:r>
        <w:rPr>
          <w:rStyle w:val="13"/>
          <w:rFonts w:hint="eastAsia" w:ascii="仿宋_GB2312" w:hAnsi="仿宋_GB2312" w:eastAsia="仿宋_GB2312" w:cs="仿宋_GB2312"/>
          <w:b w:val="0"/>
          <w:bCs w:val="0"/>
          <w:i w:val="0"/>
          <w:caps w:val="0"/>
          <w:color w:val="000000"/>
          <w:spacing w:val="-2"/>
          <w:w w:val="95"/>
          <w:kern w:val="0"/>
          <w:sz w:val="32"/>
          <w:szCs w:val="32"/>
          <w:lang w:val="en-US" w:eastAsia="zh-CN" w:bidi="ar-SA"/>
        </w:rPr>
        <w:t>2</w:t>
      </w:r>
      <w:r>
        <w:rPr>
          <w:rStyle w:val="13"/>
          <w:rFonts w:hint="eastAsia" w:ascii="仿宋_GB2312" w:hAnsi="仿宋_GB2312" w:eastAsia="仿宋_GB2312" w:cs="仿宋_GB2312"/>
          <w:b w:val="0"/>
          <w:bCs w:val="0"/>
          <w:i w:val="0"/>
          <w:caps w:val="0"/>
          <w:color w:val="000000"/>
          <w:spacing w:val="7"/>
          <w:w w:val="95"/>
          <w:kern w:val="0"/>
          <w:sz w:val="32"/>
          <w:szCs w:val="32"/>
          <w:lang w:val="en-US" w:eastAsia="zh-CN" w:bidi="ar-SA"/>
        </w:rPr>
        <w:t>1</w:t>
      </w:r>
      <w:r>
        <w:rPr>
          <w:rStyle w:val="13"/>
          <w:rFonts w:hint="eastAsia" w:ascii="仿宋_GB2312" w:hAnsi="仿宋_GB2312" w:eastAsia="仿宋_GB2312" w:cs="仿宋_GB2312"/>
          <w:b w:val="0"/>
          <w:bCs w:val="0"/>
          <w:i w:val="0"/>
          <w:caps w:val="0"/>
          <w:color w:val="000000"/>
          <w:spacing w:val="8"/>
          <w:w w:val="95"/>
          <w:kern w:val="0"/>
          <w:sz w:val="32"/>
          <w:szCs w:val="32"/>
          <w:lang w:val="en-US" w:eastAsia="zh-CN" w:bidi="ar-SA"/>
        </w:rPr>
        <w:t>〕</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3</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号</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《邵阳市人民政府关于印发〈邵阳市集体土地征收及房屋拆迁补偿安置办法〉的通知》（邵</w:t>
      </w:r>
      <w:r>
        <w:rPr>
          <w:rStyle w:val="13"/>
          <w:rFonts w:hint="eastAsia" w:hAnsi="仿宋_GB2312" w:cs="仿宋_GB2312"/>
          <w:b w:val="0"/>
          <w:bCs w:val="0"/>
          <w:i w:val="0"/>
          <w:caps w:val="0"/>
          <w:color w:val="000000"/>
          <w:spacing w:val="0"/>
          <w:w w:val="100"/>
          <w:kern w:val="2"/>
          <w:sz w:val="32"/>
          <w:szCs w:val="32"/>
          <w:lang w:val="en-US" w:eastAsia="zh-CN" w:bidi="ar-SA"/>
        </w:rPr>
        <w:t>阳</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市政发</w:t>
      </w:r>
      <w:r>
        <w:rPr>
          <w:rStyle w:val="13"/>
          <w:rFonts w:hint="eastAsia" w:ascii="仿宋_GB2312" w:hAnsi="仿宋_GB2312" w:eastAsia="仿宋_GB2312" w:cs="仿宋_GB2312"/>
          <w:b w:val="0"/>
          <w:bCs w:val="0"/>
          <w:i w:val="0"/>
          <w:caps w:val="0"/>
          <w:color w:val="000000"/>
          <w:spacing w:val="6"/>
          <w:w w:val="95"/>
          <w:kern w:val="0"/>
          <w:sz w:val="32"/>
          <w:szCs w:val="32"/>
          <w:lang w:val="en-US" w:eastAsia="zh-CN" w:bidi="ar-SA"/>
        </w:rPr>
        <w:t>〔</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20</w:t>
      </w:r>
      <w:r>
        <w:rPr>
          <w:rStyle w:val="13"/>
          <w:rFonts w:hint="eastAsia" w:ascii="仿宋_GB2312" w:hAnsi="仿宋_GB2312" w:eastAsia="仿宋_GB2312" w:cs="仿宋_GB2312"/>
          <w:b w:val="0"/>
          <w:bCs w:val="0"/>
          <w:i w:val="0"/>
          <w:caps w:val="0"/>
          <w:color w:val="000000"/>
          <w:spacing w:val="-2"/>
          <w:w w:val="95"/>
          <w:kern w:val="0"/>
          <w:sz w:val="32"/>
          <w:szCs w:val="32"/>
          <w:lang w:val="en-US" w:eastAsia="zh-CN" w:bidi="ar-SA"/>
        </w:rPr>
        <w:t>2</w:t>
      </w:r>
      <w:r>
        <w:rPr>
          <w:rStyle w:val="13"/>
          <w:rFonts w:hint="eastAsia" w:ascii="仿宋_GB2312" w:hAnsi="仿宋_GB2312" w:eastAsia="仿宋_GB2312" w:cs="仿宋_GB2312"/>
          <w:b w:val="0"/>
          <w:bCs w:val="0"/>
          <w:i w:val="0"/>
          <w:caps w:val="0"/>
          <w:color w:val="000000"/>
          <w:spacing w:val="7"/>
          <w:w w:val="95"/>
          <w:kern w:val="0"/>
          <w:sz w:val="32"/>
          <w:szCs w:val="32"/>
          <w:lang w:val="en-US" w:eastAsia="zh-CN" w:bidi="ar-SA"/>
        </w:rPr>
        <w:t>1</w:t>
      </w:r>
      <w:r>
        <w:rPr>
          <w:rStyle w:val="13"/>
          <w:rFonts w:hint="eastAsia" w:ascii="仿宋_GB2312" w:hAnsi="仿宋_GB2312" w:eastAsia="仿宋_GB2312" w:cs="仿宋_GB2312"/>
          <w:b w:val="0"/>
          <w:bCs w:val="0"/>
          <w:i w:val="0"/>
          <w:caps w:val="0"/>
          <w:color w:val="000000"/>
          <w:spacing w:val="8"/>
          <w:w w:val="95"/>
          <w:kern w:val="0"/>
          <w:sz w:val="32"/>
          <w:szCs w:val="32"/>
          <w:lang w:val="en-US" w:eastAsia="zh-CN" w:bidi="ar-SA"/>
        </w:rPr>
        <w:t>〕</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11号</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）等规</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定</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，结</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合</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本市</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实</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际，</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制</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定本</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办</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第二条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本市行政区域内集体土地征收和房屋拆迁以及其他地上附着物的补偿安置适用本办法。</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国</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务院、省、邵阳市人民政府对国防、公路、铁路、水利水电工程、通信等建设涉及土地和房屋征拆补偿安置另有规定的，从其规定。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第三条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市人民政府统一领导全市集体土地征收和房屋拆迁补偿安置工作。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市自然资源局统一管理和指导全市土地征收及房屋搬迁补偿安置工作，负责履行邵东市辖区（含邵东经济开发区管理委员会和邵东经济开发区城北片区管理办，以下简称“邵东两个园区”）土地征收及房屋拆迁补偿安置工作的行政主体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（一）贯彻执行督促落实国家和省、邵阳市和邵东市征地拆迁补偿安置法律、法规、规章、政策，适时提出征地拆迁补偿安置标准调整方案报市人民政府审定，完善征地拆迁工作规章制度。</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（二）提请市人民政府审批同意发布《征收土地预公告》《征地补偿安置方案公告》《征收土地公告》。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（三）负责</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邵东市辖区</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（含邵东两个园区）项目征地拆迁经费概算，并通知征拆及安置实施主体执行。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（四）会同财政、审计部门监督征地拆迁补偿资金使用情况。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（五）组织召开《征收土地预公告》《征地补偿安置方案公告》听证会，负责征地拆迁行政复议、行政应诉等工作。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（六）负责组织委托具有资质的拆迁、拆除、评估、测绘等机构开展征地拆迁工作，对征地拆迁工作人员进行业务培训及管理。</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第五条 </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 xml:space="preserve">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各乡镇人民政府、街道办事处（</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含邵东</w:t>
      </w:r>
      <w:r>
        <w:rPr>
          <w:rStyle w:val="13"/>
          <w:rFonts w:hint="eastAsia" w:hAnsi="仿宋_GB2312" w:cs="仿宋_GB2312"/>
          <w:b w:val="0"/>
          <w:bCs w:val="0"/>
          <w:i w:val="0"/>
          <w:caps w:val="0"/>
          <w:color w:val="000000"/>
          <w:spacing w:val="0"/>
          <w:w w:val="100"/>
          <w:kern w:val="0"/>
          <w:sz w:val="32"/>
          <w:szCs w:val="32"/>
          <w:lang w:val="en-US" w:eastAsia="zh-CN" w:bidi="ar-SA"/>
        </w:rPr>
        <w:t>两个园区</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皇帝岭林场）</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是</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所</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辖行</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政</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区域</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内</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的土</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地</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征收</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及</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房屋</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拆</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迁补</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偿</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安置</w:t>
      </w:r>
      <w:r>
        <w:rPr>
          <w:rStyle w:val="13"/>
          <w:rFonts w:hint="eastAsia" w:ascii="仿宋_GB2312" w:hAnsi="仿宋_GB2312" w:eastAsia="仿宋_GB2312" w:cs="仿宋_GB2312"/>
          <w:b w:val="0"/>
          <w:bCs w:val="0"/>
          <w:i w:val="0"/>
          <w:caps w:val="0"/>
          <w:color w:val="000000"/>
          <w:spacing w:val="1"/>
          <w:w w:val="95"/>
          <w:kern w:val="0"/>
          <w:sz w:val="32"/>
          <w:szCs w:val="32"/>
          <w:lang w:val="en-US" w:eastAsia="zh-CN" w:bidi="ar-SA"/>
        </w:rPr>
        <w:t>工</w:t>
      </w:r>
      <w:r>
        <w:rPr>
          <w:rStyle w:val="13"/>
          <w:rFonts w:hint="eastAsia" w:ascii="仿宋_GB2312" w:hAnsi="仿宋_GB2312" w:eastAsia="仿宋_GB2312" w:cs="仿宋_GB2312"/>
          <w:b w:val="0"/>
          <w:bCs w:val="0"/>
          <w:i w:val="0"/>
          <w:caps w:val="0"/>
          <w:color w:val="000000"/>
          <w:spacing w:val="0"/>
          <w:w w:val="95"/>
          <w:kern w:val="0"/>
          <w:sz w:val="32"/>
          <w:szCs w:val="32"/>
          <w:lang w:val="en-US" w:eastAsia="zh-CN" w:bidi="ar-SA"/>
        </w:rPr>
        <w:t>作的实</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施</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主</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体</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（以下简称实施主体单位）</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负</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责落</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实</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土地</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征</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收及</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房</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屋拆</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迁</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补偿</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安</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置的</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具</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体工</w:t>
      </w:r>
      <w:r>
        <w:rPr>
          <w:rStyle w:val="13"/>
          <w:rFonts w:hint="eastAsia" w:ascii="仿宋_GB2312" w:hAnsi="仿宋_GB2312" w:eastAsia="仿宋_GB2312" w:cs="仿宋_GB2312"/>
          <w:b w:val="0"/>
          <w:bCs w:val="0"/>
          <w:i w:val="0"/>
          <w:caps w:val="0"/>
          <w:color w:val="000000"/>
          <w:spacing w:val="2"/>
          <w:w w:val="100"/>
          <w:kern w:val="0"/>
          <w:sz w:val="32"/>
          <w:szCs w:val="32"/>
          <w:lang w:val="en-US" w:eastAsia="zh-CN" w:bidi="ar-SA"/>
        </w:rPr>
        <w:t>作</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宣传国家和省、邵阳市和邵东市征地拆迁补偿安置法律、法规、规章、政策。</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（二）组织实施本行政区域征地拆迁补偿安置工作，包括宣传动员、现场调查、张榜公示、实施补偿、搬家腾地、现场清表等，分项目制定工作方案。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（三）负责征地拆迁过程中的群众信访和维护稳定工作。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（四）负责组织自然资源等部门对本行政区域内的房屋、其他建（构）筑物的合法性以及安置人员资格进行认定。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（五）负责本行政区域开展征地拆迁补偿安置工作廉政责任制的落实。</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（六）监管本行政区域内被征地农村集体经济组织对征地补偿款的使用、分配及公开工作。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（七）对征地拆迁相关工作经费进行依法依规管理和分配。</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第六条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自然资源、住建、公安、发改、财政、人社、城管执法、司法、民政、水利、农业农村、林业、审计、卫健、市场监督、税务等部门应当按照各自职责，支持协助征收部门做好土地征收及房屋拆迁补偿安置工作。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第七条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遵循“依法征收、资金到位、安置先行、补偿规范”的原则。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土地及房屋征收补偿安置资金应当在</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实施征收前足额拨付到实施主体单位在财政开设的合法资金账户，实行专款专用，统一划拨和监管（含集体补助计提部分的划拨等）。资金筹措到位后十五个工作日内，应当书面告知市自然资源局，发布《征收土地公告》和《征地补偿安置方案公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第八条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市人民政府将拟征地项目依法报省人民政府或国务院审批前，市自然资源局应在拟征地的乡镇（街道、场）和村（社区）、组发布《征收土地预公告》，将拟征地的用途、位置、补偿标准、安置方式和申请听证的权利等，告知被征拆人，并对拟征地范围内土地和房屋及其他地上附着物现状进行调查。被征拆人应配合调查，并对调查结果确认后签字或盖章。被征拆人拒不签字盖章的，可以采用照相、360°全景摄像等方式留存依据，并将调查结果予以公证，作为用地报批和实施征地拆迁补偿安置的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第九条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市自然资源局在发布《征收土地预公告》的同时，应当书面通知住建、公安、城管执法、农业农村、林业、市场监督、税务等有关部门，自公告之日起，在拟征土地范围内暂停办理下列手续：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（一）新批宅基地和其他建设用地；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（二）审批改建、扩建房屋，土地转让及土地登记发证；</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（三）办理户口的迁入，因出生、婚嫁、军人复退、大中专院校学生毕业及刑满释放等确需办理户口迁入的除外；</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（四）改变房屋与土地用途，或以拟被拆迁房屋为经营场所办理工商、税务登记手续；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（五）特种养殖证；</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（六）其他有碍土地征收及房屋拆迁补偿安置工作的手续。</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暂停办理期限自拟征地公告发布之日起，一般不得超过12个月，但国家、省另有规定的除外。暂停办理期限内，除市人民政府批准外，其他任何部门擅自办理的相关手续，不得作为土地征收及房屋拆迁补偿安置的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或者其他权利人应当在征地公告规定的期限内，持土地权属证书、房屋产权证、他项权利证或其他证明材料到征收机构办理征地拆迁补偿登记手续。被征拆人或者其他权利人未如期办理征地拆迁补偿登记手续的，以征收机构的调查结果作为征地拆迁补偿依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第十一条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施主体单位在实施房屋拆迁过程中，实行“三榜公示、两级审核”阳光拆迁工作机制：第一榜，公示被拆迁房屋及其户主家庭信息；第二榜，公示房屋拆迁补偿标准、补偿金额、安置方式；第三榜，公示房屋拆迁补偿（奖励）安置结果。在征地拆迁所属村、组张榜公示，每榜公示时间不少于5个工作日，公布监督电话，主动接受监督。第一级审核，在第二榜公示前完成，实施主体单位会同市自然资源局实施；第二级审核，在第二榜公示期满后进行，实施主体单位会同市自然资源局实施，由市自然资源局提请市人民政府审核。审核内容为被征收房屋信息、补偿标准、补偿金额、安置方式的真实性、合法性和公正性，切实维护被征拆人的合法权益。</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jc w:val="both"/>
        <w:textAlignment w:val="baseline"/>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第十二条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对</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在土地征收及房屋拆迁补偿安置工作中作出贡献的单位和个人，市人民政府按有关规定给予表彰和奖励。</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t>第二章  土地征收补偿</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3"/>
        <w:jc w:val="both"/>
        <w:textAlignment w:val="baseline"/>
        <w:rPr>
          <w:rStyle w:val="13"/>
          <w:rFonts w:hint="eastAsia" w:ascii="仿宋_GB2312" w:hAnsi="仿宋_GB2312" w:eastAsia="仿宋_GB2312" w:cs="仿宋_GB2312"/>
          <w:b w:val="0"/>
          <w:bCs w:val="0"/>
          <w:i w:val="0"/>
          <w:caps w:val="0"/>
          <w:color w:val="000000"/>
          <w:spacing w:val="-6"/>
          <w:w w:val="100"/>
          <w:kern w:val="0"/>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第十三条</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 xml:space="preserve">  征</w:t>
      </w:r>
      <w:r>
        <w:rPr>
          <w:rStyle w:val="13"/>
          <w:rFonts w:hint="eastAsia" w:ascii="仿宋_GB2312" w:hAnsi="仿宋_GB2312" w:eastAsia="仿宋_GB2312" w:cs="仿宋_GB2312"/>
          <w:b w:val="0"/>
          <w:bCs w:val="0"/>
          <w:i w:val="0"/>
          <w:caps w:val="0"/>
          <w:color w:val="000000"/>
          <w:spacing w:val="-6"/>
          <w:w w:val="100"/>
          <w:kern w:val="0"/>
          <w:sz w:val="32"/>
          <w:szCs w:val="32"/>
          <w:lang w:val="en-US" w:eastAsia="zh-CN" w:bidi="ar-SA"/>
        </w:rPr>
        <w:t>地补偿按照</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《湖南省人民政府关于调整湖南省征地补偿标准的通知》（湘政发〔2021〕3号）、《邵东市人民政府关于调整湖南省征地补偿标准的通知》（邵东政发〔2021〕7号）</w:t>
      </w:r>
      <w:r>
        <w:rPr>
          <w:rStyle w:val="13"/>
          <w:rFonts w:hint="eastAsia" w:ascii="仿宋_GB2312" w:hAnsi="仿宋_GB2312" w:eastAsia="仿宋_GB2312" w:cs="仿宋_GB2312"/>
          <w:b w:val="0"/>
          <w:bCs w:val="0"/>
          <w:i w:val="0"/>
          <w:caps w:val="0"/>
          <w:color w:val="000000"/>
          <w:spacing w:val="-6"/>
          <w:w w:val="100"/>
          <w:kern w:val="0"/>
          <w:sz w:val="32"/>
          <w:szCs w:val="32"/>
          <w:lang w:val="en-US" w:eastAsia="zh-CN" w:bidi="ar-SA"/>
        </w:rPr>
        <w:t>执行（见附件1）。征收土地补偿面积按照水平投影面积计算。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5"/>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第十四条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专</w:t>
      </w:r>
      <w:r>
        <w:rPr>
          <w:rStyle w:val="13"/>
          <w:rFonts w:hint="eastAsia" w:ascii="仿宋_GB2312" w:hAnsi="仿宋_GB2312" w:eastAsia="仿宋_GB2312" w:cs="仿宋_GB2312"/>
          <w:b w:val="0"/>
          <w:bCs w:val="0"/>
          <w:i w:val="0"/>
          <w:caps w:val="0"/>
          <w:color w:val="000000"/>
          <w:spacing w:val="-5"/>
          <w:w w:val="100"/>
          <w:kern w:val="2"/>
          <w:sz w:val="32"/>
          <w:szCs w:val="32"/>
          <w:lang w:val="en-US" w:eastAsia="zh-CN" w:bidi="ar-SA"/>
        </w:rPr>
        <w:t>业菜地、专业鱼塘是指经邵东市级（含</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邵东市级</w:t>
      </w:r>
      <w:r>
        <w:rPr>
          <w:rStyle w:val="13"/>
          <w:rFonts w:hint="eastAsia" w:ascii="仿宋_GB2312" w:hAnsi="仿宋_GB2312" w:eastAsia="仿宋_GB2312" w:cs="仿宋_GB2312"/>
          <w:b w:val="0"/>
          <w:bCs w:val="0"/>
          <w:i w:val="0"/>
          <w:caps w:val="0"/>
          <w:color w:val="000000"/>
          <w:spacing w:val="-5"/>
          <w:w w:val="100"/>
          <w:kern w:val="2"/>
          <w:sz w:val="32"/>
          <w:szCs w:val="32"/>
          <w:lang w:val="en-US" w:eastAsia="zh-CN" w:bidi="ar-SA"/>
        </w:rPr>
        <w:t>）以上人民政府或农业行政主管部门批准，且常年种植蔬菜或养殖鱼类水产并有相关配套设施的生产基地，青苗补偿费按附件2计算补偿。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第十五条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耕地青苗补偿费按附件3计算补偿。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第十六条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果树、经济林类青苗补偿费按附件4计算补偿。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第十七条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成片林、疏林、零星树木、竹类及经农林部门批准的苗木苗圃青苗补偿费按附件5计算补偿。水田、旱土上种植的苗木，如未经自然资源、农林部门批准，不属专业苗木种植地，按原地类青苗补偿标准计算补偿。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第十八条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茶叶青苗补偿费按附件6计算补偿。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第十九条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药材青苗补偿费按附件7计算补偿。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被征收土地上房屋拆迁的室内装修按附件8计算补偿。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第二十一条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土地征收补偿一般依据勘测技术报告的地类面积实施补偿。经有关职能部门批准的按批准地类实施补偿。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征地红线范围内地类现状与勘测技术报告不符的，经实地调查丈量后，由实施主体单位负责组织被征地集体经济组织、市自然资源局、业主单位共同确认调查结果。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第二十二条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征收土地范围内的坟墓需要迁移的，由市自然资源局发布迁坟公告，由实施主体单位按附件9给予迁坟补助。超过迁坟公告规定期限未迁的坟墓，按无主坟处理。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第二十三条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地补偿费及青苗补偿费统一支付给被征地集体经济组织，征地补偿费由集体经济组织依法依规分配，青苗补偿费由集体经济组织分配到户。对分配有争议的，由上一级人民政府协调处理。补偿后，集体经济组织及土地使用人应当在规定的期限内对青苗及附属设施予以处理；逾期未处理的，由征地单位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第二十四条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被征地集体经济组织应当将征地补偿费收支、分</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配、使用状况纳入村务公开的内容。实施主体单位应对被征地集体经济组织征地补偿费的使用情况进行监督管理。</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t>第三章  房屋拆迁补偿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第二十五条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市人民政府</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应组织自然资源等部门按下列规定对被拆迁房屋进行合法性认定，并予以公示，公示时间不少于5个工作日。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11"/>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（一）具</w:t>
      </w:r>
      <w:r>
        <w:rPr>
          <w:rStyle w:val="13"/>
          <w:rFonts w:hint="eastAsia" w:ascii="仿宋_GB2312" w:hAnsi="仿宋_GB2312" w:eastAsia="仿宋_GB2312" w:cs="仿宋_GB2312"/>
          <w:b w:val="0"/>
          <w:bCs w:val="0"/>
          <w:i w:val="0"/>
          <w:caps w:val="0"/>
          <w:color w:val="000000"/>
          <w:spacing w:val="-11"/>
          <w:w w:val="100"/>
          <w:kern w:val="2"/>
          <w:sz w:val="32"/>
          <w:szCs w:val="32"/>
          <w:lang w:val="en-US" w:eastAsia="zh-CN" w:bidi="ar-SA"/>
        </w:rPr>
        <w:t>有不动产权证的房屋，按不动产登记的面积进行认定。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（二）具有集体土地使用权证的房屋，按集体土地使用权证登记面积进行认定。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（三）具有建设用地批准书或其他合法权属来源的建房审批手续的房屋，按其审批面积进行认定。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对房屋合法性认定结果有异议的，被征拆人应当在公示之日起5个工作日内向实施主体单位申请核查，实施主体单位组织相关部门调查核实后予以认定。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第二十六条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拆迁房屋以合法性认定公示结果为依据，按房屋结构等级标准（见附件10）进行补偿，房屋补偿标准（见附件11、12），分散迁建安置另给予宅基地调换、水、电、路、超深基础等补助（见附件13）。被拆迁房屋补偿到位后，由实施主体单位组织拆除，拆除费用列入征拆成本。房屋残值已包含在补偿费之内，不再另行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第二十七条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收非本集体经济组织成员的房屋，其房屋位于城市规划圈内的，按房屋补偿标准补偿（见附件11），按合法房屋权证每证一人给予自购商品房补助费；其房屋位于城市规划圈外的，按房屋补偿标准补偿（见附件12），并另行支付宅基地使用权补偿费，补偿后不再安排宅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第二十八条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有下列情形之一的，不予补偿：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（一）超过批准使用期限的临时建（构）筑物、有关批准文书中注明因国家建设需要应无条件拆除的临时建（构）筑物。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（二）拆旧建新房屋的批准文书中，明确要求应当拆除而未拆除的房屋；</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（三）被认定为违法违章建（构）筑物。</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14"/>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第二十九条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拆</w:t>
      </w:r>
      <w:r>
        <w:rPr>
          <w:rStyle w:val="13"/>
          <w:rFonts w:hint="eastAsia" w:ascii="仿宋_GB2312" w:hAnsi="仿宋_GB2312" w:eastAsia="仿宋_GB2312" w:cs="仿宋_GB2312"/>
          <w:b w:val="0"/>
          <w:bCs w:val="0"/>
          <w:i w:val="0"/>
          <w:caps w:val="0"/>
          <w:color w:val="000000"/>
          <w:spacing w:val="-14"/>
          <w:w w:val="100"/>
          <w:kern w:val="2"/>
          <w:sz w:val="32"/>
          <w:szCs w:val="32"/>
          <w:lang w:val="en-US" w:eastAsia="zh-CN" w:bidi="ar-SA"/>
        </w:rPr>
        <w:t>迁合</w:t>
      </w:r>
      <w:r>
        <w:rPr>
          <w:rStyle w:val="13"/>
          <w:rFonts w:hint="eastAsia" w:ascii="仿宋_GB2312" w:hAnsi="仿宋_GB2312" w:eastAsia="仿宋_GB2312" w:cs="仿宋_GB2312"/>
          <w:b w:val="0"/>
          <w:bCs w:val="0"/>
          <w:i w:val="0"/>
          <w:caps w:val="0"/>
          <w:color w:val="000000"/>
          <w:spacing w:val="-11"/>
          <w:w w:val="100"/>
          <w:kern w:val="2"/>
          <w:sz w:val="32"/>
          <w:szCs w:val="32"/>
          <w:lang w:val="en-US" w:eastAsia="zh-CN" w:bidi="ar-SA"/>
        </w:rPr>
        <w:t>法住宅兼经营、生产房屋按下列规定补</w:t>
      </w:r>
      <w:r>
        <w:rPr>
          <w:rStyle w:val="13"/>
          <w:rFonts w:hint="eastAsia" w:ascii="仿宋_GB2312" w:hAnsi="仿宋_GB2312" w:eastAsia="仿宋_GB2312" w:cs="仿宋_GB2312"/>
          <w:b w:val="0"/>
          <w:bCs w:val="0"/>
          <w:i w:val="0"/>
          <w:caps w:val="0"/>
          <w:color w:val="000000"/>
          <w:spacing w:val="-14"/>
          <w:w w:val="100"/>
          <w:kern w:val="2"/>
          <w:sz w:val="32"/>
          <w:szCs w:val="32"/>
          <w:lang w:val="en-US" w:eastAsia="zh-CN" w:bidi="ar-SA"/>
        </w:rPr>
        <w:t>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有工商营业执照、拆迁前6个月纳税证明的合法住宅房屋兼营业用房，其营业用房按照同类房屋结构补偿标准增加60%的补偿，不再安置经营场地。上述二项必备手续每缺少一项，扣减增加补偿部分的1/2。商品和营业用具自行处理，不再另行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有工商营业执照、拆迁前6个月纳税证明的合法住宅房屋兼生产用房，其生产用房按照同类房屋结构补偿标准增加45%的补偿（包括停产停业损失及设备拆除、安装、搬运等所需要的全部费用），不再安置生产场地。上述二项必备手续每缺少一项，扣减增加补偿部分的1/2。产品和生产用具自行处理，不再另行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u w:val="single" w:color="000000"/>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（三）合法住宅房屋兼营业、生产用房的，按实际经营面积计算。</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（四）依法批准的畜禽养殖用房，按同类房屋结构等级住宅房屋结构补偿标准（不含宅基地使用权补偿费、室内装修补偿费和奖励）增加20%补偿，不再安置养殖场地。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收经依法批准土地用途为工商企业的非住宅房屋，有工商营业执照、拆迁前6个月纳税证明的，按同类房屋结构等级房屋补偿标准（不给宅基地使用权补偿费）的补偿总额增加60%的补偿（包括停产停业损失及设备拆除、安装、搬运等所需要的全部费用），不再安置生产经营场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征收学校、幼儿园、医院、寺庙、教堂等公益事业用房，参照前款予以补偿。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第三十一条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被征拆人的过渡费和搬家费按应安置人员计算（见附件14）。</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安置房安置过渡费计算时间为18个月（含交付期12个月，装修6个月），集中迁建安置过渡费计算时间为24个月（含交付期12个月，建房和装修12个月）。如因安置责任单位原因，安置房或集中迁建安置地超过交付过渡期限的，安置责任单位应与被征拆人重新约定过渡期限，按双倍支付过渡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分散迁建安置过渡费计算时间为12个月。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货币安置过渡费计算时间为12个月。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安置房安置和迁建安置，计算两次搬家费。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货币安置计算一次搬家费。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征拆非住宅房屋不计算过渡费及搬家费。</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第三十二条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在规定期限内签订房屋拆迁补偿安置协议的，按被拆迁房屋合法建筑面积给予奖励。按签约期限分三个阶段计奖，第一阶段签约奖励每平方米300元；第二阶段签约奖励每平方米200元；第三阶段签约奖励每平方米100元，逾期不予奖励。在规定期限内搬家腾地的，按被拆迁房屋合法建筑面积给予每平方米200元奖励，逾期未搬家腾地的，不予奖励。</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被征拆人选择货币安置方式并在规定期限签订房屋拆迁补偿安置协议的，按合法正房建筑面积奖励每平方米1000元。</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default"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2"/>
          <w:sz w:val="32"/>
          <w:szCs w:val="32"/>
          <w:lang w:val="en-US" w:eastAsia="zh-CN" w:bidi="ar-SA"/>
        </w:rPr>
        <w:t>第三十三条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被征拆房屋室外生产、生活设施，依据合法房屋现场清点实物量，按附件8计算补偿。</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t>第四章  征地及房屋拆迁安置保障</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第三十四条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被征地农民的社会保障，按照邵东市被征地农民社会保障相关政策规定执行。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第三十五条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房屋拆迁安置按照有关规定，采用货币安置、安置房安置和迁建安置。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货币安置是指对被征拆人的合法房屋按照本办法确定的房屋征收补偿标准征收后，由其自行购买商品房。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安置房安置是指对被征拆人的合法房屋按照本办法确定的房屋征收补偿标准征收后，由其选择购买政府提供的安置房，安置房价格由政府确定。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迁建安置是指对被征拆人的合法房屋按本办法确定的房屋征收补偿标准征收后，另行安排其宅基地建房。由征收单位统一集中安排宅基地的称集中迁建安置，由被征拆人依法申请宅基地的称分散迁建安置。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《邵东市国土空间土地利用总体规划》确定的城市规划范围内的集体土地上的房屋拆迁，实行货币安置、安置房安置。《邵东市国土空间土地利用总体规划》确定的城市规划范围外的房屋拆迁，实行迁建安置。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具体安置方式由实施主体单位根据情况在制定房屋拆迁补偿安置实施细则时确定。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新建安置房的用地应在实施房屋拆迁前依法批准，由实施主体单位负责统一组织建设。</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补偿安置后，被征拆人及家庭人员再另行申请宅基地的，不予批准。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第三十六条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实施主体单位组织公安、自然资源部门及乡镇（街道、场）村（社区）等对被安置人员资格按下列规定进行审定，并张榜公示，公示期为5个工作日，应安置人员认定以公示结果为准。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对安置人员资格审定结果有异议的，被征拆人应当在公示期内向实施主体单位申请复核。实施主体单位应组织相关部门调查核实。</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（一）安置人员范围：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1.合法房屋产权人及户籍在册家庭人员，且享有本村集体经济组织成员权利并履行义务的。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2.本集体经济组织成员，现正在部队服兵役的士兵（不包括军官和12年以上的士官）、正在大中专院校就读的学生、正在服刑的人员。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3.持证人及持证人子女有下列情形之一的，可增加一个安置人员指标：</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（1）属于独生子女的；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（2）已婚夫妇未生育的；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（3）达到法定婚龄未婚的。</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4.法律法规和政策规定应予安置的其他人员。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（二）享有安置人员资格以征收土地预公告发布日期为认定截止日。</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（三）有下列情形之一的，不计入安置人员范围：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1.在过往房屋拆迁中已补偿安置的人员；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2.未享有本村集体经济组织成员权利并履行义务的（含寄住、寄养、寄读、空挂户籍、继子女等人员）;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3.发布征收土地公告后突击迁入人员；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4.已死亡但未在公安部门注销的人员；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5.国家机关、事业单位、国有企业单位工作人员（不含临聘人员）。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6.非本集体经济组织人员（含城镇居民）通过继承等途径在征收土地范围内取得合法房屋的所有权人，或本集体经济组织成员通过继承等方式在征收土地范围内取得合法房屋，但在征收区域外另有合法房屋的所有权人。</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第三十七条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被征拆人有多处合法房屋且不在同一宗征地范围内，其家庭人员只能享受一次安置。</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第三十八条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对被征拆人自购商品房安置和购买政府建设或采购的安置房安置的给予购房补助。自购商品房补助标准为符合安置条件的被征拆人按50m</w:t>
      </w:r>
      <w:r>
        <w:rPr>
          <w:rStyle w:val="13"/>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/人×2500元/m</w:t>
      </w:r>
      <w:r>
        <w:rPr>
          <w:rStyle w:val="13"/>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计算，如市场普通商品房价格出现较大波动，将依据住建部门公布的普通商品房均价信息对自购商品房补助标准适时进行相应调整。购买政府安置房补助标准为符合安置条件的被征拆人按50m</w:t>
      </w:r>
      <w:r>
        <w:rPr>
          <w:rStyle w:val="13"/>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/人×1500元/m</w:t>
      </w:r>
      <w:r>
        <w:rPr>
          <w:rStyle w:val="13"/>
          <w:rFonts w:hint="eastAsia" w:ascii="仿宋_GB2312" w:hAnsi="仿宋_GB2312" w:eastAsia="仿宋_GB2312" w:cs="仿宋_GB2312"/>
          <w:b w:val="0"/>
          <w:bCs w:val="0"/>
          <w:i w:val="0"/>
          <w:caps w:val="0"/>
          <w:color w:val="000000"/>
          <w:spacing w:val="0"/>
          <w:w w:val="100"/>
          <w:kern w:val="2"/>
          <w:sz w:val="32"/>
          <w:szCs w:val="32"/>
          <w:vertAlign w:val="superscript"/>
          <w:lang w:val="en-US" w:eastAsia="zh-CN" w:bidi="ar-SA"/>
        </w:rPr>
        <w:t>2</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计算。被征拆人选择货币安置方式自购商品房的，购房补助直接发放到户；选择安置房安置方式购买政府安置房的，购房补助在购买安置房款中结算抵扣。</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第三十九条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实行迁建安置的房屋，原则上采取分散迁建安置。分散迁建安置用地由村级组织负责调整。</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（一）分散迁建安置：在符合土地利用总体规划和村庄建设规划的前提下，被征拆人按照农村村民住宅建设用地有关规定申请宅基地，办理相关手续后在规定的过渡期限内自行建房。</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二）同一被征拆人有多处房屋被征拆的，只安排一处安置地，被征拆房屋合法占地超出安置地面积的部分，另行支付宅基地使用权补偿费。同一被征拆人有多处房屋，其中一处被征拆，他处房屋已达到规定用地面积的，不安排安置地。</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符合安置条件的孤儿、“五保户”、一至五级残疾人，经实施主体单位审核确定并予以公示后，给予每人不超过30000元的困难补助。</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第四十一条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评估机构在征拆房屋、附属物等评估中违反规定、损害当事人利益的，依法给予相应处罚；造成损失的，承担赔偿责任；构成犯罪的，依法追究刑事责任。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第四十二条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集体经济组织和个人提供虚假、伪造的房屋、土地、户籍、土地承包合同等证明材料或冒名顶替骗取征收补偿安置，煽动、组织参与闹事，谩骂、殴打征拆工作人员，无理阻碍征地及房屋拆迁补偿安置工作，影响社会稳定和依法执行公务的，依法追究民事、行政、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第四十三条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在征收土地预公告发布后的暂停办理手续期间、有关部门擅自办理相关手续造成损失的，实施主体单位对所辖行政区域内违法建设行为制止和查处不力、严重影响国家重点工程建设和公益事业建设的，依法追究责任单位和责任人的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第四十四条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无正当理由未能按期交付安置房、安置地的，依法追究责任单位和责任人的责任。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第四十五条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未经市人民政府批准，擅自提高或降低补偿安置标准的，依法追究相关人员责任。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第四十六条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从事征拆工作的人员，在征拆工作中以权谋私、徇私枉法、收受贿赂的，依法给予党纪政务处分；构成犯罪的，移送司法机关依法追究刑事责任。</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第四十七条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贪</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污、挪用、截留、私分补偿安置费用及有关土地规费的，由有关主管部门责令限期归还，对相关责任人员依法给予党纪政务处分；构成犯罪的，移送司法机关依法追究刑事责任。</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157" w:afterLines="50" w:afterAutospacing="0" w:line="560" w:lineRule="exact"/>
        <w:jc w:val="center"/>
        <w:textAlignment w:val="baseline"/>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pPr>
      <w:r>
        <w:rPr>
          <w:rStyle w:val="13"/>
          <w:rFonts w:hint="eastAsia" w:ascii="Times New Roman" w:hAnsi="Times New Roman" w:eastAsia="黑体" w:cstheme="minorBidi"/>
          <w:b w:val="0"/>
          <w:bCs w:val="0"/>
          <w:i w:val="0"/>
          <w:caps w:val="0"/>
          <w:color w:val="000000"/>
          <w:spacing w:val="0"/>
          <w:w w:val="100"/>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第四十八条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对被征拆人补偿安置后，征地拆迁实施部门应收缴土地使用权证，办理注销登记；被征拆人拒不上缴的，由市自然资源局公告注销。</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第四十九条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征地拆迁补偿安置费全额支付到位后，被征拆人应当在规定期限内搬迁腾地。拒不腾地的，由市自然资源局依法责令限期腾地。逾期不执行的，申请人民法院强制执行。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在规定期限内未领取土地和房屋征拆补偿安置费，应当以被征拆人的名义专户储存。</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被征拆人不能与征收部门达成房屋拆迁补偿安置协议的，由市自然资源局进行调解，调解不成的由邵东市级以上人民政府依法作出行政处理决定。</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被征拆人对行政处理决定不服的，可以自行政处理决定书送达之日起六十日内向作出该行政处理决定的上级人民政府申请行政复议，或者六个月内向人民法院提起行政诉讼。行政复议或者行政诉讼期间不影响房屋征拆补偿安置工作的实施。</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第五十一条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被征拆人对补偿项目和数额有异议的，应当在收到补偿结果之日起15日内向市自然资源局书面提出核实申请。逾期提出的，按相关法律法规处理。</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第五十二条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实施主体单位</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应当建立所辖行政区域内村级集体经济组织成员台账</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及被征拆人补偿安置情况的电子</w:t>
      </w:r>
      <w:r>
        <w:rPr>
          <w:rStyle w:val="13"/>
          <w:rFonts w:hint="eastAsia" w:ascii="仿宋_GB2312" w:hAnsi="仿宋_GB2312" w:eastAsia="仿宋_GB2312" w:cs="仿宋_GB2312"/>
          <w:b w:val="0"/>
          <w:bCs w:val="0"/>
          <w:i w:val="0"/>
          <w:caps w:val="0"/>
          <w:color w:val="000000"/>
          <w:spacing w:val="-6"/>
          <w:w w:val="100"/>
          <w:kern w:val="2"/>
          <w:sz w:val="32"/>
          <w:szCs w:val="32"/>
          <w:lang w:val="en-US" w:eastAsia="zh-CN" w:bidi="ar-SA"/>
        </w:rPr>
        <w:t>档案。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第五十三条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征拆项目实施中涉及政策未明确的或政策未覆盖的个案问题，实行实施主体单位集体研究决策机制，制定处理方案。实施主体单位集体研究制定的处理方案应报市自然资源局备案。</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第五十四条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农村集体经济组织成员成建制转为城镇居民后，因建设需要使用其剩余土地，涉及土地和房屋征收补偿安置的，按照本办法执行。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经批准使用国有农场、林场、牧场、渔场土地，以及乡镇（街道）、村（社区）公共设施、公益事业建设，乡镇企业使用集体所有土地，涉及土地和房屋及其他地上附着物征收补偿安置的，参照本办法执行。 </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0"/>
          <w:sz w:val="32"/>
          <w:szCs w:val="32"/>
          <w:lang w:val="en-US" w:eastAsia="zh-CN" w:bidi="ar-SA"/>
        </w:rPr>
        <w:t xml:space="preserve">第五十五条 </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本办法自2022年1月1日起施行。原《邵东市集体土地征收及房屋拆迁补偿安置办法》（邵东政发〔2019〕2号）同时废止。本办法施行前，已办理征地审批手续，并发布《征收土地公告》的，按原公告确定的标准执行；本办法施行前，已办理征地审批手续，但尚未发布《征收土地公告》的，按照本办法执行。</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right="0" w:firstLine="643"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Style w:val="13"/>
          <w:rFonts w:hint="eastAsia" w:ascii="楷体_GB2312" w:hAnsi="楷体_GB2312" w:eastAsia="楷体_GB2312" w:cs="楷体_GB2312"/>
          <w:b/>
          <w:bCs/>
          <w:i w:val="0"/>
          <w:caps w:val="0"/>
          <w:color w:val="000000"/>
          <w:spacing w:val="0"/>
          <w:w w:val="100"/>
          <w:kern w:val="2"/>
          <w:sz w:val="32"/>
          <w:szCs w:val="32"/>
          <w:lang w:val="en-US" w:eastAsia="zh-CN" w:bidi="ar-SA"/>
        </w:rPr>
        <w:t>第五十六条</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 xml:space="preserve">  法律、法规、规章、上级政策等与本办法规定不一致的，从其规定。</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right="0" w:firstLine="640" w:firstLineChars="200"/>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附件：1.邵东市征地补偿标准（2021年调整）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2.专业菜地、专业鱼塘青苗补偿标准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3.耕地青苗补偿标准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4.果树类经济林青苗补偿标准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5.成片林、疏林、零星树木、竹类及经农林部门批准的苗木苗圃青苗补偿标准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6.茶叶青苗补偿标准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7.</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药材青苗补偿标准</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1937" w:leftChars="761" w:hanging="339" w:hangingChars="106"/>
        <w:jc w:val="both"/>
        <w:textAlignment w:val="baseline"/>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8.</w:t>
      </w:r>
      <w:r>
        <w:rPr>
          <w:rStyle w:val="13"/>
          <w:rFonts w:hint="eastAsia" w:ascii="仿宋_GB2312" w:hAnsi="仿宋_GB2312" w:eastAsia="仿宋_GB2312" w:cs="仿宋_GB2312"/>
          <w:b w:val="0"/>
          <w:bCs w:val="0"/>
          <w:i w:val="0"/>
          <w:caps w:val="0"/>
          <w:color w:val="000000"/>
          <w:spacing w:val="0"/>
          <w:w w:val="100"/>
          <w:kern w:val="2"/>
          <w:sz w:val="32"/>
          <w:szCs w:val="32"/>
          <w:lang w:val="en-US" w:eastAsia="zh-CN" w:bidi="ar-SA"/>
        </w:rPr>
        <w:t>房屋室内装修和室外生产、生活设施补偿标准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9.</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迁坟、迁移电杆和拉线补偿标准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10.</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征收房屋结构等级标准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11.</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征收房屋补偿标准（货币安置、安置房安置）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1937" w:leftChars="761" w:hanging="339" w:hangingChars="106"/>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12.</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 xml:space="preserve">征收房屋补偿标准（迁建安置） </w:t>
      </w:r>
    </w:p>
    <w:p>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560" w:lineRule="exact"/>
        <w:ind w:left="2051" w:leftChars="759" w:hanging="457" w:hangingChars="143"/>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13.</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分散迁建安置土地、水、电、路、超深基础等补助标准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firstLine="1600" w:firstLineChars="500"/>
        <w:jc w:val="both"/>
        <w:textAlignment w:val="baseline"/>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pPr>
      <w:r>
        <w:rPr>
          <w:rFonts w:hint="eastAsia" w:ascii="仿宋_GB2312" w:hAnsi="仿宋_GB2312" w:eastAsia="仿宋_GB2312" w:cs="仿宋_GB2312"/>
          <w:sz w:val="32"/>
          <w:szCs w:val="32"/>
          <w:lang w:val="en-US" w:eastAsia="zh-CN"/>
        </w:rPr>
        <w:t>14.</w:t>
      </w:r>
      <w:r>
        <w:rPr>
          <w:rStyle w:val="13"/>
          <w:rFonts w:hint="eastAsia" w:ascii="仿宋_GB2312" w:hAnsi="仿宋_GB2312" w:eastAsia="仿宋_GB2312" w:cs="仿宋_GB2312"/>
          <w:b w:val="0"/>
          <w:bCs w:val="0"/>
          <w:i w:val="0"/>
          <w:caps w:val="0"/>
          <w:color w:val="000000"/>
          <w:spacing w:val="0"/>
          <w:w w:val="100"/>
          <w:kern w:val="0"/>
          <w:sz w:val="32"/>
          <w:szCs w:val="32"/>
          <w:lang w:val="en-US" w:eastAsia="zh-CN" w:bidi="ar-SA"/>
        </w:rPr>
        <w:t>过渡费、搬家费标准</w:t>
      </w:r>
    </w:p>
    <w:p>
      <w:pPr>
        <w:snapToGrid w:val="0"/>
        <w:spacing w:before="0" w:beforeAutospacing="0" w:after="0" w:afterAutospacing="0" w:line="560" w:lineRule="atLeast"/>
        <w:ind w:firstLine="640" w:firstLineChars="200"/>
        <w:jc w:val="both"/>
        <w:textAlignment w:val="baseline"/>
        <w:rPr>
          <w:rStyle w:val="13"/>
          <w:rFonts w:hint="default" w:ascii="Times New Roman" w:hAnsi="Times New Roman" w:eastAsia="仿宋_GB2312" w:cstheme="minorBidi"/>
          <w:b w:val="0"/>
          <w:bCs w:val="0"/>
          <w:i w:val="0"/>
          <w:caps w:val="0"/>
          <w:color w:val="000000"/>
          <w:spacing w:val="0"/>
          <w:w w:val="100"/>
          <w:kern w:val="2"/>
          <w:sz w:val="32"/>
          <w:szCs w:val="32"/>
          <w:lang w:val="en-US" w:eastAsia="zh-CN" w:bidi="ar-SA"/>
        </w:rPr>
        <w:sectPr>
          <w:footerReference r:id="rId3" w:type="default"/>
          <w:pgSz w:w="11906" w:h="16838"/>
          <w:pgMar w:top="2211" w:right="1474" w:bottom="1928" w:left="1644" w:header="851" w:footer="992" w:gutter="0"/>
          <w:lnNumType w:countBy="0"/>
          <w:pgNumType w:fmt="numberInDash"/>
          <w:cols w:space="425" w:num="1"/>
          <w:vAlign w:val="top"/>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jc w:val="left"/>
        <w:textAlignment w:val="baseline"/>
        <w:rPr>
          <w:rStyle w:val="13"/>
          <w:rFonts w:hint="eastAsia" w:ascii="黑体" w:hAnsi="黑体" w:eastAsia="黑体" w:cs="黑体"/>
          <w:b w:val="0"/>
          <w:bCs w:val="0"/>
          <w:i w:val="0"/>
          <w:caps w:val="0"/>
          <w:color w:val="000000"/>
          <w:spacing w:val="0"/>
          <w:w w:val="100"/>
          <w:kern w:val="2"/>
          <w:sz w:val="32"/>
          <w:szCs w:val="32"/>
          <w:lang w:val="en-US" w:eastAsia="zh-CN" w:bidi="ar-SA"/>
        </w:rPr>
      </w:pPr>
      <w:r>
        <w:rPr>
          <w:rStyle w:val="13"/>
          <w:rFonts w:hint="eastAsia" w:ascii="黑体" w:hAnsi="黑体" w:eastAsia="黑体" w:cs="黑体"/>
          <w:b w:val="0"/>
          <w:bCs w:val="0"/>
          <w:i w:val="0"/>
          <w:caps w:val="0"/>
          <w:color w:val="000000"/>
          <w:spacing w:val="0"/>
          <w:w w:val="100"/>
          <w:kern w:val="2"/>
          <w:sz w:val="32"/>
          <w:szCs w:val="32"/>
          <w:lang w:val="en-US" w:eastAsia="zh-CN" w:bidi="ar-SA"/>
        </w:rPr>
        <w:t>附件1</w:t>
      </w:r>
    </w:p>
    <w:p>
      <w:pPr>
        <w:widowControl/>
        <w:snapToGrid/>
        <w:spacing w:before="0" w:beforeAutospacing="0" w:after="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邵东市征地补偿标准（2021年调整）</w:t>
      </w:r>
    </w:p>
    <w:p>
      <w:pPr>
        <w:widowControl/>
        <w:wordWrap w:val="0"/>
        <w:snapToGrid/>
        <w:spacing w:before="0" w:beforeAutospacing="0" w:after="0" w:afterAutospacing="0" w:line="240" w:lineRule="auto"/>
        <w:jc w:val="right"/>
        <w:textAlignment w:val="baseline"/>
        <w:rPr>
          <w:rStyle w:val="13"/>
          <w:rFonts w:hint="default" w:ascii="楷体_GB2312" w:hAnsi="楷体_GB2312" w:eastAsia="楷体_GB2312" w:cs="楷体_GB2312"/>
          <w:b w:val="0"/>
          <w:bCs w:val="0"/>
          <w:i w:val="0"/>
          <w:caps w:val="0"/>
          <w:strike/>
          <w:color w:val="000000"/>
          <w:spacing w:val="0"/>
          <w:w w:val="100"/>
          <w:kern w:val="0"/>
          <w:sz w:val="28"/>
          <w:szCs w:val="28"/>
          <w:lang w:val="en-US" w:eastAsia="zh-CN" w:bidi="ar-SA"/>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9"/>
        <w:tblW w:w="105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3530"/>
        <w:gridCol w:w="870"/>
        <w:gridCol w:w="877"/>
        <w:gridCol w:w="836"/>
        <w:gridCol w:w="1365"/>
        <w:gridCol w:w="12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区域</w:t>
            </w:r>
            <w:r>
              <w:rPr>
                <w:rStyle w:val="13"/>
                <w:rFonts w:hint="eastAsia" w:ascii="黑体" w:hAnsi="黑体" w:eastAsia="黑体" w:cs="黑体"/>
                <w:b w:val="0"/>
                <w:bCs w:val="0"/>
                <w:i w:val="0"/>
                <w:caps w:val="0"/>
                <w:color w:val="000000"/>
                <w:spacing w:val="0"/>
                <w:w w:val="100"/>
                <w:kern w:val="0"/>
                <w:sz w:val="24"/>
                <w:szCs w:val="24"/>
                <w:lang w:val="en-US" w:eastAsia="zh-CN"/>
              </w:rPr>
              <w:br w:type="textWrapping"/>
            </w:r>
            <w:r>
              <w:rPr>
                <w:rStyle w:val="13"/>
                <w:rFonts w:hint="eastAsia" w:ascii="黑体" w:hAnsi="黑体" w:eastAsia="黑体" w:cs="黑体"/>
                <w:b w:val="0"/>
                <w:bCs w:val="0"/>
                <w:i w:val="0"/>
                <w:caps w:val="0"/>
                <w:color w:val="000000"/>
                <w:spacing w:val="0"/>
                <w:w w:val="100"/>
                <w:kern w:val="0"/>
                <w:sz w:val="24"/>
                <w:szCs w:val="24"/>
                <w:lang w:val="en-US" w:eastAsia="zh-CN"/>
              </w:rPr>
              <w:t>编号</w:t>
            </w:r>
          </w:p>
        </w:tc>
        <w:tc>
          <w:tcPr>
            <w:tcW w:w="353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区域范围描述</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征地补偿标准</w:t>
            </w:r>
          </w:p>
        </w:tc>
        <w:tc>
          <w:tcPr>
            <w:tcW w:w="528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地类系数及补偿标准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0"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p>
        </w:tc>
        <w:tc>
          <w:tcPr>
            <w:tcW w:w="353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永久</w:t>
            </w:r>
            <w:r>
              <w:rPr>
                <w:rStyle w:val="13"/>
                <w:rFonts w:hint="eastAsia" w:ascii="黑体" w:hAnsi="黑体" w:eastAsia="黑体" w:cs="黑体"/>
                <w:b w:val="0"/>
                <w:bCs w:val="0"/>
                <w:i w:val="0"/>
                <w:caps w:val="0"/>
                <w:color w:val="000000"/>
                <w:spacing w:val="0"/>
                <w:w w:val="100"/>
                <w:kern w:val="0"/>
                <w:sz w:val="24"/>
                <w:szCs w:val="24"/>
                <w:lang w:val="en-US" w:eastAsia="zh-CN"/>
              </w:rPr>
              <w:br w:type="textWrapping"/>
            </w:r>
            <w:r>
              <w:rPr>
                <w:rStyle w:val="13"/>
                <w:rFonts w:hint="eastAsia" w:ascii="黑体" w:hAnsi="黑体" w:eastAsia="黑体" w:cs="黑体"/>
                <w:b w:val="0"/>
                <w:bCs w:val="0"/>
                <w:i w:val="0"/>
                <w:caps w:val="0"/>
                <w:color w:val="000000"/>
                <w:spacing w:val="0"/>
                <w:w w:val="100"/>
                <w:kern w:val="0"/>
                <w:sz w:val="24"/>
                <w:szCs w:val="24"/>
                <w:lang w:val="en-US" w:eastAsia="zh-CN"/>
              </w:rPr>
              <w:t>基本</w:t>
            </w:r>
            <w:r>
              <w:rPr>
                <w:rStyle w:val="13"/>
                <w:rFonts w:hint="eastAsia" w:ascii="黑体" w:hAnsi="黑体" w:eastAsia="黑体" w:cs="黑体"/>
                <w:b w:val="0"/>
                <w:bCs w:val="0"/>
                <w:i w:val="0"/>
                <w:caps w:val="0"/>
                <w:color w:val="000000"/>
                <w:spacing w:val="0"/>
                <w:w w:val="100"/>
                <w:kern w:val="0"/>
                <w:sz w:val="24"/>
                <w:szCs w:val="24"/>
                <w:lang w:val="en-US" w:eastAsia="zh-CN"/>
              </w:rPr>
              <w:br w:type="textWrapping"/>
            </w:r>
            <w:r>
              <w:rPr>
                <w:rStyle w:val="13"/>
                <w:rFonts w:hint="eastAsia" w:ascii="黑体" w:hAnsi="黑体" w:eastAsia="黑体" w:cs="黑体"/>
                <w:b w:val="0"/>
                <w:bCs w:val="0"/>
                <w:i w:val="0"/>
                <w:caps w:val="0"/>
                <w:color w:val="000000"/>
                <w:spacing w:val="0"/>
                <w:w w:val="100"/>
                <w:kern w:val="0"/>
                <w:sz w:val="24"/>
                <w:szCs w:val="24"/>
                <w:lang w:val="en-US" w:eastAsia="zh-CN"/>
              </w:rPr>
              <w:t>农田</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水田(属永久基本农田的除外)</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旱地、水浇地、农村道路、坑塘水面、沟渠、田坎；宅基地、交通运输、水工建筑等建设用地</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0"/>
                <w:sz w:val="24"/>
                <w:szCs w:val="24"/>
                <w:lang w:val="en-US" w:eastAsia="zh-CN"/>
              </w:rPr>
            </w:pPr>
            <w:r>
              <w:rPr>
                <w:rStyle w:val="13"/>
                <w:rFonts w:hint="eastAsia" w:ascii="黑体" w:hAnsi="黑体" w:eastAsia="黑体" w:cs="黑体"/>
                <w:b w:val="0"/>
                <w:bCs w:val="0"/>
                <w:i w:val="0"/>
                <w:caps w:val="0"/>
                <w:color w:val="000000"/>
                <w:spacing w:val="0"/>
                <w:w w:val="100"/>
                <w:kern w:val="0"/>
                <w:sz w:val="24"/>
                <w:szCs w:val="24"/>
                <w:lang w:val="en-US" w:eastAsia="zh-CN"/>
              </w:rPr>
              <w:t>园地、</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林地</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rPr>
              <w:t>未利</w:t>
            </w:r>
            <w:r>
              <w:rPr>
                <w:rStyle w:val="13"/>
                <w:rFonts w:hint="eastAsia" w:ascii="黑体" w:hAnsi="黑体" w:eastAsia="黑体" w:cs="黑体"/>
                <w:b w:val="0"/>
                <w:bCs w:val="0"/>
                <w:i w:val="0"/>
                <w:caps w:val="0"/>
                <w:color w:val="000000"/>
                <w:spacing w:val="0"/>
                <w:w w:val="100"/>
                <w:kern w:val="0"/>
                <w:sz w:val="24"/>
                <w:szCs w:val="24"/>
                <w:lang w:val="en-US" w:eastAsia="zh-CN"/>
              </w:rPr>
              <w:br w:type="textWrapping"/>
            </w:r>
            <w:r>
              <w:rPr>
                <w:rStyle w:val="13"/>
                <w:rFonts w:hint="eastAsia" w:ascii="黑体" w:hAnsi="黑体" w:eastAsia="黑体" w:cs="黑体"/>
                <w:b w:val="0"/>
                <w:bCs w:val="0"/>
                <w:i w:val="0"/>
                <w:caps w:val="0"/>
                <w:color w:val="000000"/>
                <w:spacing w:val="0"/>
                <w:w w:val="100"/>
                <w:kern w:val="0"/>
                <w:sz w:val="24"/>
                <w:szCs w:val="24"/>
                <w:lang w:val="en-US" w:eastAsia="zh-CN"/>
              </w:rPr>
              <w:t>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Ⅰ区</w:t>
            </w:r>
          </w:p>
        </w:tc>
        <w:tc>
          <w:tcPr>
            <w:tcW w:w="3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both"/>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两市塘街道【胜利社区、文化社区、和平社区、港南社区、城南社区、三兴社区、高田社区、坝上新村、永旺村、九江村、峦兴村、云山村、园艺场】▲大禾塘街道【城东社区、大田社区、荷田社区、福田社区、红土岭社区、红旗社区、太和社区、大坪弯社区、新凤社区、梅岭社区、里安社区、礼经社区、利农村、观山村、排头村、晨光村、同意村、龙石村、余桥村、东山曲丝村、桐江茶场】▲宋家塘街道【新辉社区、荷花社区、公园社区、宋家塘社区、广场社区、新铺台社区、金兴社区、赛田社区、湖塘社区、麦子口社区、金泉社区、软塘社区、丘田村、巨轮村】▲黑田铺镇【城北新村】▲周官桥乡【桥口新村、联合村】▲农科所</w:t>
            </w:r>
          </w:p>
        </w:tc>
        <w:tc>
          <w:tcPr>
            <w:tcW w:w="870" w:type="dxa"/>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65520</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2.0 </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1.2</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1.0 </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0.8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5" w:hRule="atLeas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35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0"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131040</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78624 </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65520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52416</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39312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Ⅱ区</w:t>
            </w:r>
          </w:p>
        </w:tc>
        <w:tc>
          <w:tcPr>
            <w:tcW w:w="35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Ⅰ区未描述的其他所有</w:t>
            </w: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br w:type="textWrapping"/>
            </w: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乡（镇、街道）村（社区）</w:t>
            </w:r>
          </w:p>
        </w:tc>
        <w:tc>
          <w:tcPr>
            <w:tcW w:w="870" w:type="dxa"/>
            <w:vMerge w:val="restart"/>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58695</w:t>
            </w:r>
          </w:p>
        </w:tc>
        <w:tc>
          <w:tcPr>
            <w:tcW w:w="8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2.0 </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1.2</w:t>
            </w:r>
          </w:p>
        </w:tc>
        <w:tc>
          <w:tcPr>
            <w:tcW w:w="13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1.0 </w:t>
            </w:r>
          </w:p>
        </w:tc>
        <w:tc>
          <w:tcPr>
            <w:tcW w:w="12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0.8</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353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0" w:type="dxa"/>
            <w:vMerge w:val="continue"/>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117390 </w:t>
            </w:r>
          </w:p>
        </w:tc>
        <w:tc>
          <w:tcPr>
            <w:tcW w:w="8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70434 </w:t>
            </w:r>
          </w:p>
        </w:tc>
        <w:tc>
          <w:tcPr>
            <w:tcW w:w="13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58695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46956 </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cente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rPr>
              <w:t xml:space="preserve">35217 </w:t>
            </w:r>
          </w:p>
        </w:tc>
      </w:tr>
    </w:tbl>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jc w:val="left"/>
        <w:textAlignment w:val="baseline"/>
        <w:rPr>
          <w:rStyle w:val="13"/>
          <w:rFonts w:hint="eastAsia" w:ascii="黑体" w:hAnsi="黑体" w:eastAsia="黑体" w:cs="黑体"/>
          <w:b w:val="0"/>
          <w:bCs w:val="0"/>
          <w:i w:val="0"/>
          <w:caps w:val="0"/>
          <w:color w:val="000000"/>
          <w:spacing w:val="0"/>
          <w:w w:val="100"/>
          <w:kern w:val="2"/>
          <w:sz w:val="32"/>
          <w:szCs w:val="32"/>
          <w:lang w:val="en-US" w:eastAsia="zh-CN" w:bidi="ar-SA"/>
        </w:rPr>
      </w:pPr>
      <w:r>
        <w:rPr>
          <w:rStyle w:val="13"/>
          <w:rFonts w:hint="eastAsia" w:ascii="黑体" w:hAnsi="黑体" w:eastAsia="黑体" w:cs="黑体"/>
          <w:b w:val="0"/>
          <w:bCs w:val="0"/>
          <w:i w:val="0"/>
          <w:caps w:val="0"/>
          <w:color w:val="000000"/>
          <w:spacing w:val="0"/>
          <w:w w:val="100"/>
          <w:kern w:val="2"/>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附件2</w:t>
      </w:r>
    </w:p>
    <w:p>
      <w:pPr>
        <w:widowControl/>
        <w:snapToGrid/>
        <w:spacing w:before="0" w:beforeAutospacing="0" w:after="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专业菜地、专业鱼塘青苗补偿标准</w:t>
      </w:r>
    </w:p>
    <w:p>
      <w:pPr>
        <w:widowControl/>
        <w:wordWrap w:val="0"/>
        <w:snapToGrid/>
        <w:spacing w:before="0" w:beforeAutospacing="0" w:after="0" w:afterAutospacing="0" w:line="240" w:lineRule="auto"/>
        <w:jc w:val="right"/>
        <w:textAlignment w:val="baseline"/>
        <w:rPr>
          <w:rStyle w:val="13"/>
          <w:rFonts w:hint="default" w:ascii="楷体_GB2312" w:hAnsi="楷体_GB2312" w:eastAsia="楷体_GB2312" w:cs="楷体_GB2312"/>
          <w:b w:val="0"/>
          <w:bCs w:val="0"/>
          <w:i w:val="0"/>
          <w:caps w:val="0"/>
          <w:color w:val="000000"/>
          <w:spacing w:val="0"/>
          <w:w w:val="100"/>
          <w:kern w:val="0"/>
          <w:sz w:val="28"/>
          <w:szCs w:val="28"/>
          <w:lang w:val="en-US" w:eastAsia="zh-CN"/>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 xml:space="preserve">  单位：元/亩    </w:t>
      </w:r>
    </w:p>
    <w:tbl>
      <w:tblPr>
        <w:tblStyle w:val="9"/>
        <w:tblW w:w="8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3"/>
        <w:gridCol w:w="836"/>
        <w:gridCol w:w="981"/>
        <w:gridCol w:w="6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土地</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种类</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类别</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青苗</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补偿费</w:t>
            </w:r>
          </w:p>
        </w:tc>
        <w:tc>
          <w:tcPr>
            <w:tcW w:w="60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882" w:leftChars="20" w:right="42" w:rightChars="20" w:hanging="84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专</w:t>
            </w:r>
          </w:p>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菜</w:t>
            </w:r>
          </w:p>
          <w:p>
            <w:pPr>
              <w:keepNext w:val="0"/>
              <w:keepLines w:val="0"/>
              <w:pageBreakBefore w:val="0"/>
              <w:widowControl/>
              <w:kinsoku/>
              <w:wordWrap/>
              <w:overflowPunct/>
              <w:topLinePunct w:val="0"/>
              <w:autoSpaceDE/>
              <w:autoSpaceDN/>
              <w:bidi w:val="0"/>
              <w:adjustRightInd/>
              <w:snapToGrid/>
              <w:spacing w:before="0" w:beforeAutospacing="0" w:after="0" w:afterAutospacing="0" w:line="419"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地</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一</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9000</w:t>
            </w:r>
          </w:p>
        </w:tc>
        <w:tc>
          <w:tcPr>
            <w:tcW w:w="60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1.专业菜地，指邵东市级（含邵东市级）以上人民政府或农业行政主管部门批准范围内常年耕种且稳产高产的蔬菜基地（蔬菜基地范围以外种植的蔬菜不按此标准补偿）。抛荒未耕种的菜地不补青苗费。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2.邵东市级（含邵东市级）以上人民政府或农业行政主管部门批准的专业蔬菜村，承包农户未种植蔬菜的，按实际种植农作物补偿青苗费。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3.一类菜地为土质肥沃，有灌溉设施、地势平坦、常年耕种的高产菜田或大棚菜地；二类菜地为土质肥沃，自流灌溉，常年耕种的菜田，平土或梯耕菜地。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二</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7000</w:t>
            </w:r>
          </w:p>
        </w:tc>
        <w:tc>
          <w:tcPr>
            <w:tcW w:w="60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专</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业</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鱼</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塘</w:t>
            </w: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一</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6000</w:t>
            </w:r>
          </w:p>
        </w:tc>
        <w:tc>
          <w:tcPr>
            <w:tcW w:w="60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专业鱼塘指邵东市级（含邵东市级）以上人民政府或畜牧水产行政主管部门批准并颁发水产养殖使用证、自动排灌、不承担灌溉任务的精养鱼塘，视产量和排灌充氧设施分一、二类。不符合以上条件的养鱼塘不按此标准补偿青苗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2.邵东市级（含邵东市级）以上人民政府或畜牧水产行政主管部门批准并颁发专业水产养殖证的鱼塘，实施征地时未养殖的，按一般水塘补偿青苗费。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jc w:val="center"/>
        </w:trPr>
        <w:tc>
          <w:tcPr>
            <w:tcW w:w="9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二</w:t>
            </w:r>
          </w:p>
        </w:tc>
        <w:tc>
          <w:tcPr>
            <w:tcW w:w="9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4000</w:t>
            </w:r>
          </w:p>
        </w:tc>
        <w:tc>
          <w:tcPr>
            <w:tcW w:w="60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before="157" w:beforeLines="50" w:beforeAutospacing="0" w:after="0" w:afterAutospacing="0" w:line="419" w:lineRule="exact"/>
        <w:ind w:left="1418" w:leftChars="246" w:hanging="901" w:firstLineChars="0"/>
        <w:jc w:val="both"/>
        <w:textAlignment w:val="baseline"/>
        <w:rPr>
          <w:rStyle w:val="13"/>
          <w:rFonts w:hint="eastAsia" w:ascii="楷体_GB2312" w:hAnsi="楷体_GB2312" w:eastAsia="楷体_GB2312" w:cs="楷体_GB2312"/>
          <w:b w:val="0"/>
          <w:bCs w:val="0"/>
          <w:i w:val="0"/>
          <w:caps w:val="0"/>
          <w:color w:val="000000"/>
          <w:spacing w:val="0"/>
          <w:w w:val="100"/>
          <w:kern w:val="2"/>
          <w:sz w:val="28"/>
          <w:szCs w:val="28"/>
          <w:lang w:val="en-US" w:eastAsia="zh-CN" w:bidi="ar-SA"/>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bidi="ar-SA"/>
        </w:rPr>
        <w:t>说明：</w:t>
      </w:r>
      <w:r>
        <w:rPr>
          <w:rStyle w:val="13"/>
          <w:rFonts w:hint="eastAsia" w:ascii="楷体_GB2312" w:hAnsi="楷体_GB2312" w:eastAsia="楷体_GB2312" w:cs="楷体_GB2312"/>
          <w:b w:val="0"/>
          <w:bCs w:val="0"/>
          <w:i w:val="0"/>
          <w:caps w:val="0"/>
          <w:color w:val="000000"/>
          <w:spacing w:val="0"/>
          <w:w w:val="100"/>
          <w:kern w:val="2"/>
          <w:sz w:val="28"/>
          <w:szCs w:val="28"/>
          <w:lang w:val="en-US" w:eastAsia="zh-CN" w:bidi="ar-SA"/>
        </w:rPr>
        <w:t>专业菜地与专业鱼塘（含专业鱼池）的征地补偿费按湘政发〔2021〕3号文件规定的同片区的水田标准执行。</w:t>
      </w:r>
    </w:p>
    <w:p>
      <w:pPr>
        <w:widowControl/>
        <w:snapToGrid/>
        <w:spacing w:before="0" w:beforeAutospacing="0" w:after="0" w:afterAutospacing="0" w:line="419" w:lineRule="exact"/>
        <w:jc w:val="center"/>
        <w:textAlignment w:val="baseline"/>
        <w:rPr>
          <w:rStyle w:val="13"/>
          <w:rFonts w:ascii="Times New Roman" w:hAnsi="Times New Roman" w:eastAsia="新宋体"/>
          <w:b w:val="0"/>
          <w:bCs w:val="0"/>
          <w:i w:val="0"/>
          <w:caps w:val="0"/>
          <w:color w:val="000000"/>
          <w:spacing w:val="0"/>
          <w:w w:val="100"/>
          <w:kern w:val="0"/>
          <w:sz w:val="36"/>
          <w:szCs w:val="36"/>
          <w:lang w:val="en-US" w:eastAsia="zh-CN" w:bidi="ar-SA"/>
        </w:rPr>
      </w:pPr>
    </w:p>
    <w:p>
      <w:pPr>
        <w:widowControl/>
        <w:snapToGrid/>
        <w:spacing w:before="0" w:beforeAutospacing="0" w:after="0" w:afterAutospacing="0" w:line="419" w:lineRule="exact"/>
        <w:jc w:val="center"/>
        <w:textAlignment w:val="baseline"/>
        <w:rPr>
          <w:rStyle w:val="13"/>
          <w:rFonts w:ascii="Times New Roman" w:hAnsi="Times New Roman"/>
          <w:b w:val="0"/>
          <w:bCs w:val="0"/>
          <w:i w:val="0"/>
          <w:caps w:val="0"/>
          <w:color w:val="000000"/>
          <w:spacing w:val="0"/>
          <w:w w:val="100"/>
          <w:kern w:val="0"/>
          <w:sz w:val="23"/>
          <w:szCs w:val="23"/>
          <w:lang w:val="en-US" w:eastAsia="zh-CN" w:bidi="ar-SA"/>
        </w:rPr>
      </w:pPr>
      <w:r>
        <w:rPr>
          <w:rStyle w:val="13"/>
          <w:rFonts w:ascii="Times New Roman" w:hAnsi="Times New Roman" w:eastAsia="新宋体"/>
          <w:b w:val="0"/>
          <w:bCs w:val="0"/>
          <w:i w:val="0"/>
          <w:caps w:val="0"/>
          <w:color w:val="000000"/>
          <w:spacing w:val="0"/>
          <w:w w:val="100"/>
          <w:kern w:val="0"/>
          <w:sz w:val="36"/>
          <w:szCs w:val="36"/>
          <w:lang w:val="en-US" w:eastAsia="zh-CN" w:bidi="ar-SA"/>
        </w:rPr>
        <w:t>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363"/>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Times New Roman" w:hAnsi="Times New Roman" w:eastAsia="黑体"/>
          <w:b w:val="0"/>
          <w:bCs w:val="0"/>
          <w:i w:val="0"/>
          <w:caps w:val="0"/>
          <w:color w:val="000000"/>
          <w:spacing w:val="0"/>
          <w:w w:val="100"/>
          <w:kern w:val="0"/>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附件3</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耕地青苗补偿标准</w:t>
      </w:r>
    </w:p>
    <w:p>
      <w:pPr>
        <w:widowControl/>
        <w:wordWrap w:val="0"/>
        <w:snapToGrid/>
        <w:spacing w:before="0" w:beforeAutospacing="0" w:after="0" w:afterAutospacing="0" w:line="240" w:lineRule="auto"/>
        <w:jc w:val="right"/>
        <w:textAlignment w:val="baseline"/>
        <w:rPr>
          <w:rStyle w:val="13"/>
          <w:rFonts w:ascii="Times New Roman" w:hAnsi="Times New Roman"/>
          <w:b w:val="0"/>
          <w:bCs w:val="0"/>
          <w:i w:val="0"/>
          <w:caps w:val="0"/>
          <w:color w:val="000000"/>
          <w:spacing w:val="0"/>
          <w:w w:val="100"/>
          <w:kern w:val="0"/>
          <w:sz w:val="21"/>
          <w:szCs w:val="32"/>
          <w:lang w:val="en-US" w:eastAsia="zh-CN" w:bidi="ar-SA"/>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9"/>
        <w:tblW w:w="9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0"/>
        <w:gridCol w:w="1300"/>
        <w:gridCol w:w="1292"/>
        <w:gridCol w:w="1320"/>
        <w:gridCol w:w="1254"/>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土地种类</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补偿费</w:t>
            </w:r>
          </w:p>
        </w:tc>
        <w:tc>
          <w:tcPr>
            <w:tcW w:w="638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水田</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2700</w:t>
            </w:r>
          </w:p>
        </w:tc>
        <w:tc>
          <w:tcPr>
            <w:tcW w:w="6386" w:type="dxa"/>
            <w:gridSpan w:val="4"/>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1.长年(3年以上)未耕种的不给予青苗补偿。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2.改变原承包用途的只能按水田或旱土标准补偿。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旱土</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u w:val="single" w:color="000000"/>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c>
          <w:tcPr>
            <w:tcW w:w="6386" w:type="dxa"/>
            <w:gridSpan w:val="4"/>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水塘或</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山塘</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2700</w:t>
            </w:r>
          </w:p>
        </w:tc>
        <w:tc>
          <w:tcPr>
            <w:tcW w:w="638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兼养鱼的水库按水塘的70%补偿青苗费。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藕田</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（塘）</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三级</w:t>
            </w:r>
          </w:p>
        </w:tc>
        <w:tc>
          <w:tcPr>
            <w:tcW w:w="377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藕田（塘）、荸荠田分级说明：一级为种植密度达到标准密度80%以上，长势良好；二级为种植密度达到标准密度50-80%，长势较好或一般；三级为种植密度在标准密度50%以下，长势较差。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5200</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3000</w:t>
            </w:r>
          </w:p>
        </w:tc>
        <w:tc>
          <w:tcPr>
            <w:tcW w:w="37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荸荠田</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三级</w:t>
            </w:r>
          </w:p>
        </w:tc>
        <w:tc>
          <w:tcPr>
            <w:tcW w:w="37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5000</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3000</w:t>
            </w:r>
          </w:p>
        </w:tc>
        <w:tc>
          <w:tcPr>
            <w:tcW w:w="3774"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草莓田</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育苗期</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初果期</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盛果期</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衰老期</w:t>
            </w:r>
          </w:p>
        </w:tc>
        <w:tc>
          <w:tcPr>
            <w:tcW w:w="25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指征地告知书颁布前一年已耕种的。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6000</w:t>
            </w:r>
          </w:p>
        </w:tc>
        <w:tc>
          <w:tcPr>
            <w:tcW w:w="12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8000</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15000</w:t>
            </w:r>
          </w:p>
        </w:tc>
        <w:tc>
          <w:tcPr>
            <w:tcW w:w="12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3000</w:t>
            </w: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bl>
    <w:p>
      <w:pPr>
        <w:widowControl/>
        <w:snapToGrid/>
        <w:spacing w:before="0" w:beforeAutospacing="0" w:after="0" w:afterAutospacing="0" w:line="240" w:lineRule="auto"/>
        <w:jc w:val="left"/>
        <w:textAlignment w:val="baseline"/>
        <w:rPr>
          <w:rStyle w:val="13"/>
          <w:rFonts w:ascii="Times New Roman" w:hAnsi="Times New Roman" w:eastAsia="宋体"/>
          <w:b w:val="0"/>
          <w:bCs w:val="0"/>
          <w:i w:val="0"/>
          <w:caps w:val="0"/>
          <w:color w:val="000000"/>
          <w:spacing w:val="0"/>
          <w:w w:val="100"/>
          <w:kern w:val="2"/>
          <w:sz w:val="21"/>
          <w:szCs w:val="21"/>
          <w:lang w:val="en-US" w:eastAsia="zh-CN" w:bidi="ar-SA"/>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right="0"/>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Times New Roman" w:hAnsi="Times New Roman"/>
          <w:b w:val="0"/>
          <w:bCs w:val="0"/>
          <w:i w:val="0"/>
          <w:caps w:val="0"/>
          <w:color w:val="000000"/>
          <w:spacing w:val="0"/>
          <w:w w:val="100"/>
          <w:kern w:val="2"/>
          <w:sz w:val="30"/>
          <w:szCs w:val="30"/>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附件4</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果树类经济林青苗补偿标准</w:t>
      </w:r>
    </w:p>
    <w:p>
      <w:pPr>
        <w:widowControl/>
        <w:snapToGrid/>
        <w:spacing w:before="0" w:beforeAutospacing="0" w:after="0" w:afterAutospacing="0" w:line="400" w:lineRule="exact"/>
        <w:jc w:val="center"/>
        <w:textAlignment w:val="baseline"/>
        <w:rPr>
          <w:rStyle w:val="13"/>
          <w:rFonts w:hint="eastAsia" w:ascii="楷体_GB2312" w:hAnsi="楷体_GB2312" w:eastAsia="楷体_GB2312" w:cs="楷体_GB2312"/>
          <w:b w:val="0"/>
          <w:bCs w:val="0"/>
          <w:i w:val="0"/>
          <w:caps w:val="0"/>
          <w:color w:val="000000"/>
          <w:spacing w:val="0"/>
          <w:w w:val="100"/>
          <w:kern w:val="0"/>
          <w:sz w:val="28"/>
          <w:szCs w:val="28"/>
          <w:lang w:val="en-US" w:eastAsia="zh-CN"/>
        </w:rPr>
      </w:pPr>
      <w:r>
        <w:rPr>
          <w:rStyle w:val="13"/>
          <w:rFonts w:ascii="Times New Roman" w:hAnsi="Times New Roman" w:eastAsia="新宋体"/>
          <w:b w:val="0"/>
          <w:bCs w:val="0"/>
          <w:i w:val="0"/>
          <w:caps w:val="0"/>
          <w:color w:val="000000"/>
          <w:spacing w:val="0"/>
          <w:w w:val="100"/>
          <w:kern w:val="0"/>
          <w:sz w:val="36"/>
          <w:szCs w:val="36"/>
          <w:lang w:val="en-US" w:eastAsia="zh-CN" w:bidi="ar-SA"/>
        </w:rPr>
        <w:t> </w:t>
      </w:r>
      <w:r>
        <w:rPr>
          <w:rStyle w:val="13"/>
          <w:rFonts w:ascii="Times New Roman" w:hAnsi="Times New Roman"/>
          <w:b w:val="0"/>
          <w:bCs w:val="0"/>
          <w:i w:val="0"/>
          <w:caps w:val="0"/>
          <w:color w:val="000000"/>
          <w:spacing w:val="0"/>
          <w:w w:val="100"/>
          <w:kern w:val="0"/>
          <w:sz w:val="21"/>
          <w:szCs w:val="32"/>
          <w:lang w:val="en-US" w:eastAsia="zh-CN" w:bidi="ar-SA"/>
        </w:rPr>
        <w:t xml:space="preserve">                                                  </w:t>
      </w: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单位：元/株</w:t>
      </w:r>
    </w:p>
    <w:tbl>
      <w:tblPr>
        <w:tblStyle w:val="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738"/>
        <w:gridCol w:w="1188"/>
        <w:gridCol w:w="1630"/>
        <w:gridCol w:w="1731"/>
        <w:gridCol w:w="1519"/>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1800" w:firstLineChars="750"/>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11430</wp:posOffset>
                      </wp:positionV>
                      <wp:extent cx="630555" cy="991235"/>
                      <wp:effectExtent l="3810" t="2540" r="13335" b="15875"/>
                      <wp:wrapNone/>
                      <wp:docPr id="2" name="直线 42"/>
                      <wp:cNvGraphicFramePr/>
                      <a:graphic xmlns:a="http://schemas.openxmlformats.org/drawingml/2006/main">
                        <a:graphicData uri="http://schemas.microsoft.com/office/word/2010/wordprocessingShape">
                          <wps:wsp>
                            <wps:cNvSpPr/>
                            <wps:spPr>
                              <a:xfrm>
                                <a:off x="0" y="0"/>
                                <a:ext cx="630555" cy="9912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0.25pt;margin-top:0.9pt;height:78.05pt;width:49.65pt;z-index:251660288;mso-width-relative:page;mso-height-relative:page;" filled="f" stroked="t" coordsize="21600,21600" o:gfxdata="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93pdR0wAA&#10;AAUBAAAPAAAAAAAAAAEAIAAAACIAAABkcnMvZG93bnJldi54bWxQSwECFAAUAAAACACHTuJAR/Ag&#10;E+oBAADgAwAADgAAAAAAAAABACAAAAAiAQAAZHJzL2Uyb0RvYy54bWxQSwUGAAAAAAYABgBZAQAA&#10;fgUAAAAA&#10;">
                      <v:fill on="f" focussize="0,0"/>
                      <v:stroke color="#000000" joinstyle="round"/>
                      <v:imagedata o:title=""/>
                      <o:lock v:ext="edit" aspectratio="f"/>
                    </v:line>
                  </w:pict>
                </mc:Fallback>
              </mc:AlternateContent>
            </w:r>
            <w:r>
              <w:rPr>
                <w:rStyle w:val="13"/>
                <w:rFonts w:hint="eastAsia" w:ascii="黑体" w:hAnsi="黑体" w:eastAsia="黑体" w:cs="黑体"/>
                <w:b w:val="0"/>
                <w:bCs w:val="0"/>
                <w:i w:val="0"/>
                <w:caps w:val="0"/>
                <w:color w:val="00000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11430</wp:posOffset>
                      </wp:positionV>
                      <wp:extent cx="1769110" cy="423545"/>
                      <wp:effectExtent l="1270" t="4445" r="1270" b="10160"/>
                      <wp:wrapNone/>
                      <wp:docPr id="3" name="直线 40"/>
                      <wp:cNvGraphicFramePr/>
                      <a:graphic xmlns:a="http://schemas.openxmlformats.org/drawingml/2006/main">
                        <a:graphicData uri="http://schemas.microsoft.com/office/word/2010/wordprocessingShape">
                          <wps:wsp>
                            <wps:cNvSpPr/>
                            <wps:spPr>
                              <a:xfrm>
                                <a:off x="0" y="0"/>
                                <a:ext cx="1769110" cy="423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0.5pt;margin-top:0.9pt;height:33.35pt;width:139.3pt;z-index:251660288;mso-width-relative:page;mso-height-relative:page;" filled="f" stroked="t" coordsize="21600,21600" o:gfxdata="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i7LwfU&#10;AAAABgEAAA8AAAAAAAAAAQAgAAAAIgAAAGRycy9kb3ducmV2LnhtbFBLAQIUABQAAAAIAIdO4kDq&#10;8Xfm6wEAAOEDAAAOAAAAAAAAAAEAIAAAACMBAABkcnMvZTJvRG9jLnhtbFBLBQYAAAAABgAGAFkB&#10;AACABQAAAAA=&#10;">
                      <v:fill on="f" focussize="0,0"/>
                      <v:stroke color="#000000" joinstyle="round"/>
                      <v:imagedata o:title=""/>
                      <o:lock v:ext="edit" aspectratio="f"/>
                    </v:line>
                  </w:pict>
                </mc:Fallback>
              </mc:AlternateContent>
            </w:r>
            <w:r>
              <w:rPr>
                <w:rStyle w:val="13"/>
                <w:rFonts w:hint="eastAsia" w:ascii="黑体" w:hAnsi="黑体" w:eastAsia="黑体" w:cs="黑体"/>
                <w:b w:val="0"/>
                <w:bCs w:val="0"/>
                <w:i w:val="0"/>
                <w:caps w:val="0"/>
                <w:color w:val="00000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10795</wp:posOffset>
                      </wp:positionV>
                      <wp:extent cx="1522730" cy="985520"/>
                      <wp:effectExtent l="2540" t="3810" r="17780" b="20320"/>
                      <wp:wrapNone/>
                      <wp:docPr id="4" name="直线 41"/>
                      <wp:cNvGraphicFramePr/>
                      <a:graphic xmlns:a="http://schemas.openxmlformats.org/drawingml/2006/main">
                        <a:graphicData uri="http://schemas.microsoft.com/office/word/2010/wordprocessingShape">
                          <wps:wsp>
                            <wps:cNvSpPr/>
                            <wps:spPr>
                              <a:xfrm>
                                <a:off x="0" y="0"/>
                                <a:ext cx="1522730" cy="9855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0.1pt;margin-top:0.85pt;height:77.6pt;width:119.9pt;z-index:251660288;mso-width-relative:page;mso-height-relative:page;" filled="f" stroked="t" coordsize="21600,21600" o:gfxdata="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hud&#10;PtQAAAAGAQAADwAAAAAAAAABACAAAAAiAAAAZHJzL2Rvd25yZXYueG1sUEsBAhQAFAAAAAgAh07i&#10;QHm8KjbtAQAA4QMAAA4AAAAAAAAAAQAgAAAAIwEAAGRycy9lMm9Eb2MueG1sUEsFBgAAAAAGAAYA&#10;WQEAAIIFAAAAAA==&#10;">
                      <v:fill on="f" focussize="0,0"/>
                      <v:stroke color="#000000" joinstyle="round"/>
                      <v:imagedata o:title=""/>
                      <o:lock v:ext="edit" aspectratio="f"/>
                    </v:line>
                  </w:pict>
                </mc:Fallback>
              </mc:AlternateContent>
            </w:r>
            <w:r>
              <w:rPr>
                <w:rStyle w:val="13"/>
                <w:rFonts w:hint="eastAsia" w:ascii="黑体" w:hAnsi="黑体" w:eastAsia="黑体" w:cs="黑体"/>
                <w:b w:val="0"/>
                <w:bCs w:val="0"/>
                <w:i w:val="0"/>
                <w:caps w:val="0"/>
                <w:color w:val="000000"/>
                <w:spacing w:val="0"/>
                <w:w w:val="100"/>
                <w:kern w:val="0"/>
                <w:sz w:val="24"/>
                <w:szCs w:val="24"/>
                <w:lang w:val="en-US" w:eastAsia="zh-CN" w:bidi="ar-SA"/>
              </w:rPr>
              <w:t>果  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1200" w:firstLineChars="500"/>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类</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240" w:firstLineChars="100"/>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种  金      别</w:t>
            </w:r>
          </w:p>
          <w:p>
            <w:pPr>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240" w:firstLineChars="100"/>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类     额</w:t>
            </w:r>
          </w:p>
        </w:tc>
        <w:tc>
          <w:tcPr>
            <w:tcW w:w="16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幼  树</w:t>
            </w:r>
          </w:p>
        </w:tc>
        <w:tc>
          <w:tcPr>
            <w:tcW w:w="457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成      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6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挂果前</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盛果期</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衰老期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脐橙</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140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柑桔</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26</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梨、桃、李、梅、</w:t>
            </w:r>
          </w:p>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枇杷、石榴</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26</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柚、板栗、核桃</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酸枣、臭柑</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枣、柿、山楂</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8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葡萄</w:t>
            </w: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（零星种植的）</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90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87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92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（专业葡萄园）</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55</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油  茶</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32</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60</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27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油  桐</w:t>
            </w:r>
          </w:p>
        </w:tc>
        <w:tc>
          <w:tcPr>
            <w:tcW w:w="163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26</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72</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0" w:hRule="atLeast"/>
          <w:jc w:val="center"/>
        </w:trPr>
        <w:tc>
          <w:tcPr>
            <w:tcW w:w="161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说明</w:t>
            </w:r>
          </w:p>
        </w:tc>
        <w:tc>
          <w:tcPr>
            <w:tcW w:w="739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1.成片脐橙园地按80株/亩计算；成片桔园园地按70株/亩计算；成片葡萄园地按80株/亩计算；其它成片果树类园地按70株/亩计算。成片油茶树按90株/亩计算。</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2.经省级农业部门批准的优质果树经济林基地,可适当提高标准，但最多不超过20%。</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3.其他水果参照梨、桃标准进行补偿。</w:t>
            </w:r>
          </w:p>
        </w:tc>
      </w:tr>
    </w:tbl>
    <w:p>
      <w:pPr>
        <w:widowControl/>
        <w:snapToGrid/>
        <w:spacing w:before="0" w:beforeAutospacing="0" w:after="0" w:afterAutospacing="0" w:line="419" w:lineRule="exact"/>
        <w:ind w:right="-361"/>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Times New Roman" w:hAnsi="Times New Roman" w:eastAsia="黑体"/>
          <w:b w:val="0"/>
          <w:bCs w:val="0"/>
          <w:i w:val="0"/>
          <w:caps w:val="0"/>
          <w:color w:val="000000"/>
          <w:spacing w:val="0"/>
          <w:w w:val="100"/>
          <w:kern w:val="0"/>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附件5</w:t>
      </w:r>
    </w:p>
    <w:p>
      <w:pPr>
        <w:widowControl/>
        <w:shd w:val="clear" w:color="auto" w:fill="FFFFFF"/>
        <w:snapToGrid/>
        <w:spacing w:before="156" w:beforeAutospacing="0" w:after="0" w:afterAutospacing="0" w:line="58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成片林、疏林、零星树木、竹类及</w:t>
      </w:r>
    </w:p>
    <w:p>
      <w:pPr>
        <w:widowControl/>
        <w:shd w:val="clear" w:color="auto" w:fill="FFFFFF"/>
        <w:snapToGrid/>
        <w:spacing w:before="0" w:beforeAutospacing="0" w:after="156" w:afterAutospacing="0" w:line="58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经农林部门批准的苗木苗圃青苗补偿标准</w:t>
      </w:r>
    </w:p>
    <w:p>
      <w:pPr>
        <w:widowControl/>
        <w:shd w:val="clear" w:color="auto" w:fill="FFFFFF"/>
        <w:wordWrap w:val="0"/>
        <w:snapToGrid/>
        <w:spacing w:before="0" w:beforeAutospacing="0" w:after="0" w:afterAutospacing="0" w:line="480" w:lineRule="exact"/>
        <w:jc w:val="right"/>
        <w:textAlignment w:val="baseline"/>
        <w:rPr>
          <w:rStyle w:val="13"/>
          <w:rFonts w:hint="default" w:ascii="Times New Roman" w:hAnsi="Times New Roman" w:eastAsia="楷体_GB2312"/>
          <w:b w:val="0"/>
          <w:bCs w:val="0"/>
          <w:i w:val="0"/>
          <w:caps w:val="0"/>
          <w:color w:val="000000"/>
          <w:spacing w:val="0"/>
          <w:w w:val="100"/>
          <w:kern w:val="0"/>
          <w:sz w:val="21"/>
          <w:szCs w:val="32"/>
          <w:lang w:val="en-US" w:eastAsia="zh-CN" w:bidi="ar-SA"/>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单位：元/株</w:t>
      </w:r>
      <w:r>
        <w:rPr>
          <w:rStyle w:val="13"/>
          <w:rFonts w:hint="eastAsia" w:ascii="Times New Roman" w:hAnsi="Times New Roman" w:eastAsia="楷体_GB2312"/>
          <w:b w:val="0"/>
          <w:bCs w:val="0"/>
          <w:i w:val="0"/>
          <w:caps w:val="0"/>
          <w:color w:val="000000"/>
          <w:spacing w:val="0"/>
          <w:w w:val="100"/>
          <w:kern w:val="0"/>
          <w:sz w:val="21"/>
          <w:szCs w:val="32"/>
          <w:lang w:val="en-US" w:eastAsia="zh-CN" w:bidi="ar-SA"/>
        </w:rPr>
        <w:t xml:space="preserve">    </w:t>
      </w:r>
    </w:p>
    <w:tbl>
      <w:tblPr>
        <w:tblStyle w:val="9"/>
        <w:tblW w:w="94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1360"/>
        <w:gridCol w:w="69"/>
        <w:gridCol w:w="336"/>
        <w:gridCol w:w="774"/>
        <w:gridCol w:w="1086"/>
        <w:gridCol w:w="51"/>
        <w:gridCol w:w="1146"/>
        <w:gridCol w:w="708"/>
        <w:gridCol w:w="456"/>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1470" w:firstLineChars="700"/>
              <w:jc w:val="left"/>
              <w:textAlignment w:val="baseline"/>
              <w:rPr>
                <w:rFonts w:hint="eastAsia" w:ascii="黑体" w:hAnsi="黑体" w:eastAsia="黑体" w:cs="黑体"/>
                <w:lang w:val="en-US" w:eastAsia="zh-CN"/>
              </w:rPr>
            </w:pPr>
            <w:r>
              <w:rPr>
                <w:rFonts w:hint="eastAsia" w:ascii="黑体" w:hAnsi="黑体" w:eastAsia="黑体" w:cs="黑体"/>
                <w:lang w:val="en-US" w:eastAsia="zh-CN"/>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8890</wp:posOffset>
                      </wp:positionV>
                      <wp:extent cx="1369060" cy="584200"/>
                      <wp:effectExtent l="1905" t="4445" r="19685" b="20955"/>
                      <wp:wrapNone/>
                      <wp:docPr id="1" name="直线 36"/>
                      <wp:cNvGraphicFramePr/>
                      <a:graphic xmlns:a="http://schemas.openxmlformats.org/drawingml/2006/main">
                        <a:graphicData uri="http://schemas.microsoft.com/office/word/2010/wordprocessingShape">
                          <wps:wsp>
                            <wps:cNvSpPr/>
                            <wps:spPr>
                              <a:xfrm>
                                <a:off x="0" y="0"/>
                                <a:ext cx="1369060" cy="584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1.6pt;margin-top:0.7pt;height:46pt;width:107.8pt;z-index:251659264;mso-width-relative:page;mso-height-relative:page;" filled="f" stroked="t" coordsize="21600,21600" o:gfxdata="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SLS&#10;1QAAAAYBAAAPAAAAAAAAAAEAIAAAACIAAABkcnMvZG93bnJldi54bWxQSwECFAAUAAAACACHTuJA&#10;P2kHQ+sBAADhAwAADgAAAAAAAAABACAAAAAk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lang w:val="en-US" w:eastAsia="zh-CN"/>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6350</wp:posOffset>
                      </wp:positionV>
                      <wp:extent cx="765810" cy="759460"/>
                      <wp:effectExtent l="3175" t="3175" r="12065" b="18415"/>
                      <wp:wrapNone/>
                      <wp:docPr id="5" name="直线 37"/>
                      <wp:cNvGraphicFramePr/>
                      <a:graphic xmlns:a="http://schemas.openxmlformats.org/drawingml/2006/main">
                        <a:graphicData uri="http://schemas.microsoft.com/office/word/2010/wordprocessingShape">
                          <wps:wsp>
                            <wps:cNvSpPr/>
                            <wps:spPr>
                              <a:xfrm>
                                <a:off x="0" y="0"/>
                                <a:ext cx="765810" cy="7594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0.65pt;margin-top:0.5pt;height:59.8pt;width:60.3pt;z-index:251660288;mso-width-relative:page;mso-height-relative:page;" filled="f" stroked="t" coordsize="21600,21600" o:gfxdata="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geG&#10;WdMAAAAHAQAADwAAAAAAAAABACAAAAAiAAAAZHJzL2Rvd25yZXYueG1sUEsBAhQAFAAAAAgAh07i&#10;QH2kcWvuAQAA4AMAAA4AAAAAAAAAAQAgAAAAIgEAAGRycy9lMm9Eb2MueG1sUEsFBgAAAAAGAAYA&#10;WQEAAIIFAAAAAA==&#10;">
                      <v:fill on="f" focussize="0,0"/>
                      <v:stroke color="#000000" joinstyle="round"/>
                      <v:imagedata o:title=""/>
                      <o:lock v:ext="edit" aspectratio="f"/>
                    </v:line>
                  </w:pict>
                </mc:Fallback>
              </mc:AlternateContent>
            </w:r>
            <w:r>
              <w:rPr>
                <w:rFonts w:hint="eastAsia" w:ascii="黑体" w:hAnsi="黑体" w:eastAsia="黑体" w:cs="黑体"/>
                <w:lang w:val="en-US" w:eastAsia="zh-CN"/>
              </w:rPr>
              <w:t>规格</w:t>
            </w:r>
          </w:p>
          <w:p>
            <w:pPr>
              <w:pStyle w:val="6"/>
              <w:keepNext w:val="0"/>
              <w:keepLines w:val="0"/>
              <w:pageBreakBefore w:val="0"/>
              <w:widowControl/>
              <w:kinsoku/>
              <w:wordWrap/>
              <w:overflowPunct/>
              <w:topLinePunct w:val="0"/>
              <w:autoSpaceDE/>
              <w:autoSpaceDN/>
              <w:bidi w:val="0"/>
              <w:adjustRightInd/>
              <w:snapToGrid/>
              <w:spacing w:line="500" w:lineRule="exact"/>
              <w:ind w:left="63" w:leftChars="30" w:firstLine="840" w:firstLineChars="400"/>
              <w:textAlignment w:val="baseline"/>
              <w:rPr>
                <w:rStyle w:val="13"/>
                <w:rFonts w:hint="eastAsia" w:ascii="黑体" w:hAnsi="黑体" w:eastAsia="黑体" w:cs="黑体"/>
                <w:b w:val="0"/>
                <w:bCs w:val="0"/>
                <w:i w:val="0"/>
                <w:caps w:val="0"/>
                <w:color w:val="000000"/>
                <w:spacing w:val="0"/>
                <w:w w:val="100"/>
                <w:kern w:val="0"/>
                <w:sz w:val="21"/>
                <w:szCs w:val="21"/>
                <w:lang w:val="en-US" w:eastAsia="zh-CN" w:bidi="ar-SA"/>
              </w:rPr>
            </w:pPr>
            <w:r>
              <w:rPr>
                <w:rStyle w:val="13"/>
                <w:rFonts w:hint="eastAsia" w:ascii="黑体" w:hAnsi="黑体" w:eastAsia="黑体" w:cs="黑体"/>
                <w:b w:val="0"/>
                <w:bCs w:val="0"/>
                <w:i w:val="0"/>
                <w:caps w:val="0"/>
                <w:color w:val="000000"/>
                <w:spacing w:val="0"/>
                <w:w w:val="100"/>
                <w:kern w:val="0"/>
                <w:sz w:val="21"/>
                <w:szCs w:val="21"/>
                <w:lang w:val="en-US" w:eastAsia="zh-CN" w:bidi="ar-SA"/>
              </w:rPr>
              <w:t>金额</w:t>
            </w:r>
          </w:p>
          <w:p>
            <w:pPr>
              <w:pStyle w:val="6"/>
              <w:keepNext w:val="0"/>
              <w:keepLines w:val="0"/>
              <w:pageBreakBefore w:val="0"/>
              <w:widowControl/>
              <w:kinsoku/>
              <w:wordWrap/>
              <w:overflowPunct/>
              <w:topLinePunct w:val="0"/>
              <w:autoSpaceDE/>
              <w:autoSpaceDN/>
              <w:bidi w:val="0"/>
              <w:adjustRightInd/>
              <w:snapToGrid/>
              <w:spacing w:line="260" w:lineRule="exact"/>
              <w:ind w:left="0" w:leftChars="0" w:firstLine="0" w:firstLineChars="0"/>
              <w:textAlignment w:val="baseline"/>
              <w:rPr>
                <w:rStyle w:val="13"/>
                <w:rFonts w:hint="eastAsia" w:ascii="黑体" w:hAnsi="黑体" w:eastAsia="黑体" w:cs="黑体"/>
                <w:b w:val="0"/>
                <w:bCs w:val="0"/>
                <w:i w:val="0"/>
                <w:caps w:val="0"/>
                <w:color w:val="000000"/>
                <w:spacing w:val="0"/>
                <w:w w:val="100"/>
                <w:kern w:val="0"/>
                <w:sz w:val="21"/>
                <w:szCs w:val="21"/>
                <w:lang w:val="en-US" w:eastAsia="zh-CN" w:bidi="ar-SA"/>
              </w:rPr>
            </w:pPr>
            <w:r>
              <w:rPr>
                <w:rStyle w:val="13"/>
                <w:rFonts w:hint="eastAsia" w:ascii="黑体" w:hAnsi="黑体" w:eastAsia="黑体" w:cs="黑体"/>
                <w:b w:val="0"/>
                <w:bCs w:val="0"/>
                <w:i w:val="0"/>
                <w:caps w:val="0"/>
                <w:color w:val="000000"/>
                <w:spacing w:val="0"/>
                <w:w w:val="100"/>
                <w:kern w:val="0"/>
                <w:sz w:val="21"/>
                <w:szCs w:val="21"/>
                <w:lang w:val="en-US" w:eastAsia="zh-CN" w:bidi="ar-SA"/>
              </w:rPr>
              <w:t xml:space="preserve">  种类</w:t>
            </w:r>
          </w:p>
        </w:tc>
        <w:tc>
          <w:tcPr>
            <w:tcW w:w="3676"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1160" w:hanging="84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苗高（幼树）</w:t>
            </w:r>
          </w:p>
        </w:tc>
        <w:tc>
          <w:tcPr>
            <w:tcW w:w="3601"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1160" w:hanging="84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胸围（成树）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p>
        </w:tc>
        <w:tc>
          <w:tcPr>
            <w:tcW w:w="136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0.6米以下</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0.6-2米</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2米以上</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20-30</w:t>
            </w:r>
          </w:p>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公分</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30-40</w:t>
            </w:r>
          </w:p>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公分</w:t>
            </w:r>
          </w:p>
        </w:tc>
        <w:tc>
          <w:tcPr>
            <w:tcW w:w="1291"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40公分</w:t>
            </w:r>
          </w:p>
          <w:p>
            <w:pPr>
              <w:widowControl/>
              <w:snapToGrid/>
              <w:spacing w:before="0" w:beforeAutospacing="0" w:after="0" w:afterAutospacing="0" w:line="30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28"/>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杉、柏、松、</w:t>
            </w:r>
          </w:p>
          <w:p>
            <w:pPr>
              <w:widowControl/>
              <w:snapToGrid/>
              <w:spacing w:before="0" w:beforeAutospacing="0" w:after="0" w:afterAutospacing="0" w:line="300" w:lineRule="exact"/>
              <w:ind w:left="28"/>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梓、楠、香椿</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10</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20</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桐、苦楝、杂树</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10</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20</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樟树、玉兰</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35</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100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200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桂花树</w:t>
            </w:r>
          </w:p>
        </w:tc>
        <w:tc>
          <w:tcPr>
            <w:tcW w:w="13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1179"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100</w:t>
            </w: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200</w:t>
            </w:r>
          </w:p>
        </w:tc>
        <w:tc>
          <w:tcPr>
            <w:tcW w:w="1164"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129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植树造林</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1年内不按苗高补偿，每亩补偿造林费1500元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灌木林</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每亩补500元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楠竹（按胸围计）</w:t>
            </w:r>
          </w:p>
        </w:tc>
        <w:tc>
          <w:tcPr>
            <w:tcW w:w="176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10-20公分</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20-25公分</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25-30公分</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30公分以上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76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水竹、丛竹</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70" w:firstLine="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1500元/亩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成片林地</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70" w:firstLine="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8000元/亩（按标准密度达到60%以上的）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疏林地</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70" w:firstLine="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3000元/亩（按标准密度在60%以下的）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18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经农林部门批准的</w:t>
            </w:r>
          </w:p>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苗木、苗圃(花卉)</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幼苗期</w:t>
            </w:r>
          </w:p>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12000元/亩</w:t>
            </w:r>
          </w:p>
        </w:tc>
        <w:tc>
          <w:tcPr>
            <w:tcW w:w="5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该标准含移栽、场地租赁和损耗等一切费用。按每亩1000株计算，每缺少100株，核减1200元/亩。每亩超过1000株的，超过部分不增加补偿。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成长期</w:t>
            </w:r>
          </w:p>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15000元/亩</w:t>
            </w:r>
          </w:p>
        </w:tc>
        <w:tc>
          <w:tcPr>
            <w:tcW w:w="5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该标准含移栽、场地租赁和损耗等一切费用。按每亩600株计算，每缺少60株，核减1500元/亩。每亩超过600株的，超过部分不增加补偿。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1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成型(熟)期</w:t>
            </w:r>
          </w:p>
          <w:p>
            <w:pPr>
              <w:widowControl/>
              <w:snapToGrid/>
              <w:spacing w:before="0" w:beforeAutospacing="0" w:after="0" w:afterAutospacing="0" w:line="30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18000元/亩</w:t>
            </w:r>
          </w:p>
        </w:tc>
        <w:tc>
          <w:tcPr>
            <w:tcW w:w="5848"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该标准含移栽、场地租赁和损耗等一切费用。按每亩200株计算，每缺少20株，核减1800元/亩。每亩超过200株的，超过部分不增加补偿。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2182"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00" w:lineRule="exact"/>
              <w:ind w:left="31"/>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说  明</w:t>
            </w:r>
          </w:p>
        </w:tc>
        <w:tc>
          <w:tcPr>
            <w:tcW w:w="7277"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1.各种树木从根部分支生长的按一株补偿。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2.珍稀名贵树木按国家有关规定处理。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3.盆栽苗木、花卉不予补偿。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left="113" w:firstLine="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4.抢栽、抢种的不予补偿。</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Times New Roman" w:hAnsi="Times New Roman" w:eastAsia="黑体"/>
          <w:b w:val="0"/>
          <w:bCs w:val="0"/>
          <w:i w:val="0"/>
          <w:caps w:val="0"/>
          <w:color w:val="000000"/>
          <w:spacing w:val="0"/>
          <w:w w:val="100"/>
          <w:kern w:val="0"/>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附件6</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茶叶青苗补偿标准</w:t>
      </w:r>
    </w:p>
    <w:p>
      <w:pPr>
        <w:widowControl/>
        <w:shd w:val="clear" w:color="auto" w:fill="FFFFFF"/>
        <w:wordWrap w:val="0"/>
        <w:snapToGrid/>
        <w:spacing w:before="0" w:beforeAutospacing="0" w:after="0" w:afterAutospacing="0" w:line="480" w:lineRule="exact"/>
        <w:jc w:val="right"/>
        <w:textAlignment w:val="baseline"/>
        <w:rPr>
          <w:rStyle w:val="13"/>
          <w:rFonts w:hint="default" w:ascii="楷体_GB2312" w:hAnsi="楷体_GB2312" w:eastAsia="楷体_GB2312" w:cs="楷体_GB2312"/>
          <w:b w:val="0"/>
          <w:bCs w:val="0"/>
          <w:i w:val="0"/>
          <w:caps w:val="0"/>
          <w:color w:val="000000"/>
          <w:spacing w:val="0"/>
          <w:w w:val="100"/>
          <w:kern w:val="0"/>
          <w:sz w:val="28"/>
          <w:szCs w:val="28"/>
          <w:lang w:val="en-US" w:eastAsia="zh-CN"/>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9"/>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2351"/>
        <w:gridCol w:w="2310"/>
        <w:gridCol w:w="1167"/>
        <w:gridCol w:w="1205"/>
        <w:gridCol w:w="13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生长期</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苗期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（栽种1年内）</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firstLine="23"/>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定植管理期</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firstLine="23"/>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（第2年至采茶）</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采茶期</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盛产期</w:t>
            </w:r>
          </w:p>
        </w:tc>
        <w:tc>
          <w:tcPr>
            <w:tcW w:w="13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衰老期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补偿金额</w:t>
            </w:r>
          </w:p>
        </w:tc>
        <w:tc>
          <w:tcPr>
            <w:tcW w:w="23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550</w:t>
            </w:r>
          </w:p>
        </w:tc>
        <w:tc>
          <w:tcPr>
            <w:tcW w:w="23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900</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1700</w:t>
            </w:r>
          </w:p>
        </w:tc>
        <w:tc>
          <w:tcPr>
            <w:tcW w:w="12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2300</w:t>
            </w:r>
          </w:p>
        </w:tc>
        <w:tc>
          <w:tcPr>
            <w:tcW w:w="13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4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32"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说  明</w:t>
            </w:r>
          </w:p>
        </w:tc>
        <w:tc>
          <w:tcPr>
            <w:tcW w:w="838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left="42" w:leftChars="20" w:right="42" w:rightChars="20"/>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零星茶叶，苗期每株5元、定植期每株10元、采茶后每株15元。</w:t>
            </w:r>
          </w:p>
        </w:tc>
      </w:tr>
    </w:tbl>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widowControl/>
        <w:snapToGrid/>
        <w:spacing w:before="0" w:beforeAutospacing="0" w:after="0" w:afterAutospacing="0" w:line="419" w:lineRule="exact"/>
        <w:ind w:right="-361"/>
        <w:jc w:val="left"/>
        <w:textAlignment w:val="baseline"/>
        <w:rPr>
          <w:rStyle w:val="13"/>
          <w:rFonts w:ascii="Times New Roman" w:hAnsi="Times New Roman" w:eastAsia="黑体"/>
          <w:b w:val="0"/>
          <w:bCs w:val="0"/>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Times New Roman" w:hAnsi="Times New Roman" w:eastAsia="黑体"/>
          <w:b w:val="0"/>
          <w:bCs w:val="0"/>
          <w:i w:val="0"/>
          <w:caps w:val="0"/>
          <w:color w:val="000000"/>
          <w:spacing w:val="0"/>
          <w:w w:val="100"/>
          <w:kern w:val="0"/>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附件7</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药材青苗补偿标准</w:t>
      </w:r>
    </w:p>
    <w:p>
      <w:pPr>
        <w:widowControl/>
        <w:shd w:val="clear" w:color="auto" w:fill="FFFFFF"/>
        <w:wordWrap w:val="0"/>
        <w:snapToGrid/>
        <w:spacing w:before="0" w:beforeAutospacing="0" w:after="0" w:afterAutospacing="0" w:line="480" w:lineRule="exact"/>
        <w:jc w:val="right"/>
        <w:textAlignment w:val="baseline"/>
        <w:rPr>
          <w:rStyle w:val="13"/>
          <w:rFonts w:hint="default" w:ascii="楷体_GB2312" w:hAnsi="楷体_GB2312" w:eastAsia="楷体_GB2312" w:cs="楷体_GB2312"/>
          <w:b w:val="0"/>
          <w:bCs w:val="0"/>
          <w:i w:val="0"/>
          <w:caps w:val="0"/>
          <w:color w:val="000000"/>
          <w:spacing w:val="0"/>
          <w:w w:val="100"/>
          <w:kern w:val="0"/>
          <w:sz w:val="28"/>
          <w:szCs w:val="28"/>
          <w:lang w:val="en-US" w:eastAsia="zh-CN"/>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 xml:space="preserve">单位：元/亩    </w:t>
      </w:r>
    </w:p>
    <w:tbl>
      <w:tblPr>
        <w:tblStyle w:val="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8"/>
        <w:gridCol w:w="2238"/>
        <w:gridCol w:w="2066"/>
        <w:gridCol w:w="2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1560" w:firstLineChars="650"/>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-2540</wp:posOffset>
                      </wp:positionV>
                      <wp:extent cx="1541145" cy="544830"/>
                      <wp:effectExtent l="1270" t="4445" r="19685" b="22225"/>
                      <wp:wrapNone/>
                      <wp:docPr id="6" name="直线 38"/>
                      <wp:cNvGraphicFramePr/>
                      <a:graphic xmlns:a="http://schemas.openxmlformats.org/drawingml/2006/main">
                        <a:graphicData uri="http://schemas.microsoft.com/office/word/2010/wordprocessingShape">
                          <wps:wsp>
                            <wps:cNvSpPr/>
                            <wps:spPr>
                              <a:xfrm>
                                <a:off x="0" y="0"/>
                                <a:ext cx="1541145" cy="5448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0.05pt;margin-top:-0.2pt;height:42.9pt;width:121.35pt;z-index:251660288;mso-width-relative:page;mso-height-relative:page;" filled="f" stroked="t" coordsize="21600,21600" o:gfxdata="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y&#10;kdQAAAAFAQAADwAAAAAAAAABACAAAAAiAAAAZHJzL2Rvd25yZXYueG1sUEsBAhQAFAAAAAgAh07i&#10;QLAvL7PtAQAA4QMAAA4AAAAAAAAAAQAgAAAAIwEAAGRycy9lMm9Eb2MueG1sUEsFBgAAAAAGAAYA&#10;WQEAAIIFAAAAAA==&#10;">
                      <v:fill on="f" focussize="0,0"/>
                      <v:stroke color="#000000" joinstyle="round"/>
                      <v:imagedata o:title=""/>
                      <o:lock v:ext="edit" aspectratio="f"/>
                    </v:line>
                  </w:pict>
                </mc:Fallback>
              </mc:AlternateContent>
            </w:r>
            <w:r>
              <w:rPr>
                <w:rStyle w:val="13"/>
                <w:rFonts w:hint="eastAsia" w:ascii="黑体" w:hAnsi="黑体" w:eastAsia="黑体" w:cs="黑体"/>
                <w:b w:val="0"/>
                <w:bCs w:val="0"/>
                <w:i w:val="0"/>
                <w:caps w:val="0"/>
                <w:color w:val="000000"/>
                <w:spacing w:val="0"/>
                <w:w w:val="100"/>
                <w:kern w:val="2"/>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6350</wp:posOffset>
                      </wp:positionV>
                      <wp:extent cx="648970" cy="783590"/>
                      <wp:effectExtent l="3810" t="3175" r="13970" b="13335"/>
                      <wp:wrapNone/>
                      <wp:docPr id="7" name="直线 39"/>
                      <wp:cNvGraphicFramePr/>
                      <a:graphic xmlns:a="http://schemas.openxmlformats.org/drawingml/2006/main">
                        <a:graphicData uri="http://schemas.microsoft.com/office/word/2010/wordprocessingShape">
                          <wps:wsp>
                            <wps:cNvSpPr/>
                            <wps:spPr>
                              <a:xfrm>
                                <a:off x="0" y="0"/>
                                <a:ext cx="648970" cy="7835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0.3pt;margin-top:0.5pt;height:61.7pt;width:51.1pt;z-index:251660288;mso-width-relative:page;mso-height-relative:page;" filled="f" stroked="t" coordsize="21600,21600" o:gfxdata="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c&#10;Bh/UAAAABgEAAA8AAAAAAAAAAQAgAAAAIgAAAGRycy9kb3ducmV2LnhtbFBLAQIUABQAAAAIAIdO&#10;4kDUzOsY7gEAAOADAAAOAAAAAAAAAAEAIAAAACMBAABkcnMvZTJvRG9jLnhtbFBLBQYAAAAABgAG&#10;AFkBAACDBQAAAAA=&#10;">
                      <v:fill on="f" focussize="0,0"/>
                      <v:stroke color="#000000" joinstyle="round"/>
                      <v:imagedata o:title=""/>
                      <o:lock v:ext="edit" aspectratio="f"/>
                    </v:line>
                  </w:pict>
                </mc:Fallback>
              </mc:AlternateContent>
            </w:r>
            <w:r>
              <w:rPr>
                <w:rStyle w:val="13"/>
                <w:rFonts w:hint="eastAsia" w:ascii="黑体" w:hAnsi="黑体" w:eastAsia="黑体" w:cs="黑体"/>
                <w:b w:val="0"/>
                <w:bCs w:val="0"/>
                <w:i w:val="0"/>
                <w:caps w:val="0"/>
                <w:color w:val="000000"/>
                <w:spacing w:val="0"/>
                <w:w w:val="100"/>
                <w:kern w:val="0"/>
                <w:sz w:val="24"/>
                <w:szCs w:val="24"/>
                <w:lang w:val="en-US" w:eastAsia="zh-CN" w:bidi="ar-SA"/>
              </w:rPr>
              <w:t>规格</w:t>
            </w:r>
          </w:p>
          <w:p>
            <w:pPr>
              <w:keepNext w:val="0"/>
              <w:keepLines w:val="0"/>
              <w:pageBreakBefore w:val="0"/>
              <w:widowControl/>
              <w:tabs>
                <w:tab w:val="left" w:pos="2202"/>
              </w:tabs>
              <w:kinsoku/>
              <w:wordWrap/>
              <w:overflowPunct/>
              <w:topLinePunct w:val="0"/>
              <w:autoSpaceDE/>
              <w:autoSpaceDN/>
              <w:bidi w:val="0"/>
              <w:adjustRightInd/>
              <w:snapToGrid/>
              <w:spacing w:before="95" w:beforeLines="30" w:beforeAutospacing="0" w:after="0" w:afterAutospacing="0" w:line="280" w:lineRule="exact"/>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 xml:space="preserve">        补偿</w:t>
            </w:r>
          </w:p>
          <w:p>
            <w:pPr>
              <w:widowControl/>
              <w:tabs>
                <w:tab w:val="left" w:pos="2202"/>
              </w:tabs>
              <w:snapToGrid/>
              <w:spacing w:before="0" w:beforeAutospacing="0" w:after="0" w:afterAutospacing="0" w:line="280" w:lineRule="exact"/>
              <w:jc w:val="left"/>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 xml:space="preserve"> 名称    金额   </w:t>
            </w:r>
          </w:p>
        </w:tc>
        <w:tc>
          <w:tcPr>
            <w:tcW w:w="22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第一期</w:t>
            </w: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第二期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第三期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3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下种到苗出土期</w:t>
            </w:r>
          </w:p>
        </w:tc>
        <w:tc>
          <w:tcPr>
            <w:tcW w:w="2066"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生长管理期</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432"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接近收获期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半夏</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4900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前胡</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1200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1600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白术</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4700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黄柏</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1700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2100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荆芥</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1900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桔梗</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1700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2100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南沙参</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1100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1400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百花蛇舌草</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1100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1400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栀子</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1000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川牛膝</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1900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3200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百合</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5800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金银花</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1200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1700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玉竹</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4300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5800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黄花</w:t>
            </w:r>
          </w:p>
        </w:tc>
        <w:tc>
          <w:tcPr>
            <w:tcW w:w="223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1100</w:t>
            </w:r>
          </w:p>
        </w:tc>
        <w:tc>
          <w:tcPr>
            <w:tcW w:w="206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1400</w:t>
            </w:r>
          </w:p>
        </w:tc>
        <w:tc>
          <w:tcPr>
            <w:tcW w:w="227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1" w:hRule="atLeast"/>
          <w:jc w:val="center"/>
        </w:trPr>
        <w:tc>
          <w:tcPr>
            <w:tcW w:w="241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36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说明</w:t>
            </w:r>
          </w:p>
        </w:tc>
        <w:tc>
          <w:tcPr>
            <w:tcW w:w="65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1.成片种植的药材，区分不同的生长期予以补偿。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2.其他普通药材按1200-2200元/亩补偿，名贵药材（销售价格等于或高于白术、半夏价格的药材），按2800-5200元/亩补偿。</w:t>
            </w:r>
          </w:p>
        </w:tc>
      </w:tr>
    </w:tbl>
    <w:p>
      <w:pPr>
        <w:snapToGrid/>
        <w:spacing w:before="0" w:beforeAutospacing="0" w:after="0" w:afterAutospacing="0" w:line="20" w:lineRule="exact"/>
        <w:jc w:val="both"/>
        <w:textAlignment w:val="baseline"/>
        <w:rPr>
          <w:rStyle w:val="13"/>
          <w:rFonts w:ascii="Times New Roman" w:hAnsi="Times New Roman"/>
          <w:b w:val="0"/>
          <w:bCs w:val="0"/>
          <w:i w:val="0"/>
          <w:caps w:val="0"/>
          <w:color w:val="000000"/>
          <w:spacing w:val="0"/>
          <w:w w:val="100"/>
          <w:kern w:val="2"/>
          <w:sz w:val="21"/>
          <w:szCs w:val="24"/>
          <w:lang w:val="en-US" w:eastAsia="zh-CN" w:bidi="ar-SA"/>
        </w:rPr>
      </w:pPr>
    </w:p>
    <w:p>
      <w:pPr>
        <w:snapToGrid/>
        <w:spacing w:before="0" w:beforeAutospacing="0" w:after="0" w:afterAutospacing="0" w:line="20" w:lineRule="exact"/>
        <w:jc w:val="both"/>
        <w:textAlignment w:val="baseline"/>
        <w:rPr>
          <w:rStyle w:val="13"/>
          <w:rFonts w:ascii="Times New Roman" w:hAnsi="Times New Roman"/>
          <w:b w:val="0"/>
          <w:bCs w:val="0"/>
          <w:i w:val="0"/>
          <w:caps w:val="0"/>
          <w:color w:val="000000"/>
          <w:spacing w:val="0"/>
          <w:w w:val="100"/>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right="0"/>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hint="eastAsia" w:ascii="黑体" w:hAnsi="黑体" w:eastAsia="黑体" w:cs="黑体"/>
          <w:b w:val="0"/>
          <w:bCs w:val="0"/>
          <w:i w:val="0"/>
          <w:caps w:val="0"/>
          <w:color w:val="000000"/>
          <w:spacing w:val="0"/>
          <w:w w:val="100"/>
          <w:kern w:val="2"/>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附件8</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房屋室内装修和室外生产、生活设施补偿标准</w:t>
      </w:r>
    </w:p>
    <w:tbl>
      <w:tblPr>
        <w:tblStyle w:val="9"/>
        <w:tblW w:w="9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2"/>
        <w:gridCol w:w="2762"/>
        <w:gridCol w:w="628"/>
        <w:gridCol w:w="1318"/>
        <w:gridCol w:w="4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blHeader/>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序号</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项目名称</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单位</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补偿金额（元）</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复合地板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木地板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大地板砖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3"/>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30cm×30cm以上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小地板砖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3"/>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30cm×30cm及以下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面砖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3"/>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水磨石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3"/>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马赛克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r>
              <w:rPr>
                <w:rStyle w:val="13"/>
                <w:rFonts w:hint="eastAsia" w:ascii="仿宋_GB2312" w:hAnsi="仿宋_GB2312" w:eastAsia="仿宋_GB2312" w:cs="仿宋_GB2312"/>
                <w:b w:val="0"/>
                <w:bCs w:val="0"/>
                <w:i w:val="0"/>
                <w:caps w:val="0"/>
                <w:color w:val="000000"/>
                <w:spacing w:val="0"/>
                <w:w w:val="100"/>
                <w:kern w:val="0"/>
                <w:sz w:val="24"/>
                <w:szCs w:val="24"/>
                <w:vertAlign w:val="superscript"/>
                <w:lang w:val="en-US" w:eastAsia="zh-CN" w:bidi="ar-SA"/>
              </w:rPr>
              <w:t>2</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24眠墙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24斗墙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土砖墙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水管（水井）</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电线（水井）</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m</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固定灶台</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组</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无油烟灶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套</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简易防盗门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高档防盗门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普通防盗网</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不锈钢防盗网</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空调移机（立）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分体机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空调移机（挂）</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分体机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热水器移装</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墙体内木衣柜</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水泥电杆（8m以上）</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根</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水泥电杆（5-8m）</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根</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水泥电杆（5m以下）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根</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含配件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铝合金卷闸门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铝合金门窗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宽带网移装</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有线电视</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户</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电话</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台</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木扶手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不锈钢扶手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铁扶手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浴缸</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座便器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陶瓷洗脸盆</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吊灯</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组</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普通型（三盏）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吊灯</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组</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三盏以上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硫璃瓦</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造型加200元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大包门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600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门及框均包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小包门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大包窗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窗及框均包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小包窗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普通吊顶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吊顶造型</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含龙骨架及油漆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铝塑板吊顶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扣板及简易吊顶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组合柜</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120～150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能搬走的不予补偿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大灶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热水灶</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不锈钢防盗窗</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厨房墙柜</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不锈钢水塔</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座</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塑钢门</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扇</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能搬走的不予补偿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陶瓷葫芦</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水池（砖、石）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土水（粪）池</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氨水池、沼气池</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露天井（砖、石）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4"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机钻井(摇泵井)</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口</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2500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以深度8米为单位，每超1米增加300元，废弃不用的不予补偿。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泥结卵石路面</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表面平整（含碎石路面）。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水泥坪</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水渠（砖、石）</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地表设施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排水暗渠（沟）</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地下设施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无筋混凝土</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按体积计算。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钢筋混凝土</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按体积计算。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预制板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简易棚</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指有围护棚；无围护的按20元/m</w:t>
            </w:r>
            <w:r>
              <w:rPr>
                <w:rStyle w:val="13"/>
                <w:rFonts w:hint="eastAsia" w:ascii="仿宋_GB2312" w:hAnsi="仿宋_GB2312" w:eastAsia="仿宋_GB2312" w:cs="仿宋_GB2312"/>
                <w:b w:val="0"/>
                <w:bCs w:val="0"/>
                <w:i w:val="0"/>
                <w:caps w:val="0"/>
                <w:color w:val="000000"/>
                <w:spacing w:val="0"/>
                <w:w w:val="100"/>
                <w:kern w:val="2"/>
                <w:sz w:val="24"/>
                <w:szCs w:val="24"/>
                <w:vertAlign w:val="superscript"/>
                <w:lang w:val="en-US" w:eastAsia="zh-CN" w:bidi="ar-SA"/>
              </w:rPr>
              <w:t>2</w:t>
            </w: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钢架棚</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指有围护棚；无围护的按120元/m</w:t>
            </w:r>
            <w:r>
              <w:rPr>
                <w:rStyle w:val="13"/>
                <w:rFonts w:hint="eastAsia" w:ascii="仿宋_GB2312" w:hAnsi="仿宋_GB2312" w:eastAsia="仿宋_GB2312" w:cs="仿宋_GB2312"/>
                <w:b w:val="0"/>
                <w:bCs w:val="0"/>
                <w:i w:val="0"/>
                <w:caps w:val="0"/>
                <w:color w:val="000000"/>
                <w:spacing w:val="0"/>
                <w:w w:val="100"/>
                <w:kern w:val="2"/>
                <w:sz w:val="24"/>
                <w:szCs w:val="24"/>
                <w:vertAlign w:val="superscript"/>
                <w:lang w:val="en-US" w:eastAsia="zh-CN" w:bidi="ar-SA"/>
              </w:rPr>
              <w:t>2</w:t>
            </w: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水泥涵管￠300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水泥涵管￠400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水泥涵管￠500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74</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水泥涵管￠600</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75</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方整石堡坎</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220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堡坎基础按实际丈量体积的20%计算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76</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片石堡坎</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堡坎基础按实际丈量体积的20%计算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77</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砖堡坎</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m³</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280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堡坎基础按实际丈量体积的20%计算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78</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围墙（24眠墙）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75</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贴瓷片每面增加10元/平方米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79</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default"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围墙(18砖墙、24斗墙)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60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贴瓷片每面增加10元/平方米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80</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围墙（12墙）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贴瓷片每面增加10元/平方米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81</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土砖墙</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82</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地窖</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个</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400</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61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83</w:t>
            </w:r>
          </w:p>
        </w:tc>
        <w:tc>
          <w:tcPr>
            <w:tcW w:w="276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水泥四方花板</w:t>
            </w:r>
          </w:p>
        </w:tc>
        <w:tc>
          <w:tcPr>
            <w:tcW w:w="62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块</w:t>
            </w:r>
          </w:p>
        </w:tc>
        <w:tc>
          <w:tcPr>
            <w:tcW w:w="131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8</w:t>
            </w:r>
          </w:p>
        </w:tc>
        <w:tc>
          <w:tcPr>
            <w:tcW w:w="443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0" w:firstLineChars="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before="157" w:beforeLines="50" w:beforeAutospacing="0" w:after="0" w:afterAutospacing="0" w:line="460" w:lineRule="exact"/>
        <w:ind w:left="1156" w:leftChars="0" w:right="0" w:hanging="1156" w:hangingChars="413"/>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说明：1.表中未列入项目，原则上按现行建筑定额直接费的50%-70%予以补偿。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right="0" w:firstLine="840" w:firstLineChars="300"/>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2.已废弃的生产设施不予补偿。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1120" w:leftChars="400" w:right="0" w:hanging="280" w:hangingChars="100"/>
        <w:jc w:val="both"/>
        <w:textAlignment w:val="baseline"/>
        <w:rPr>
          <w:rStyle w:val="13"/>
          <w:rFonts w:hint="eastAsia" w:ascii="仿宋_GB2312" w:hAnsi="仿宋_GB2312" w:eastAsia="仿宋_GB2312" w:cs="仿宋_GB2312"/>
          <w:b w:val="0"/>
          <w:bCs w:val="0"/>
          <w:i w:val="0"/>
          <w:caps w:val="0"/>
          <w:color w:val="000000"/>
          <w:spacing w:val="0"/>
          <w:w w:val="100"/>
          <w:kern w:val="2"/>
          <w:sz w:val="28"/>
          <w:szCs w:val="28"/>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8"/>
          <w:szCs w:val="28"/>
          <w:lang w:val="en-US" w:eastAsia="zh-CN" w:bidi="ar-SA"/>
        </w:rPr>
        <w:t>3.凡属非固定性生产或生活的炉灶、装配或水池、非固定猪（牛）槽，活动水泥板，谷仓等均不予补偿。</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60" w:lineRule="exact"/>
        <w:ind w:left="1120" w:leftChars="400" w:right="0" w:hanging="280" w:hangingChars="100"/>
        <w:jc w:val="both"/>
        <w:textAlignment w:val="baseline"/>
        <w:rPr>
          <w:rStyle w:val="13"/>
          <w:rFonts w:hint="eastAsia" w:ascii="仿宋_GB2312" w:hAnsi="仿宋_GB2312" w:eastAsia="仿宋_GB2312" w:cs="仿宋_GB2312"/>
          <w:b w:val="0"/>
          <w:bCs w:val="0"/>
          <w:i w:val="0"/>
          <w:caps w:val="0"/>
          <w:color w:val="000000"/>
          <w:spacing w:val="0"/>
          <w:w w:val="100"/>
          <w:kern w:val="2"/>
          <w:sz w:val="28"/>
          <w:szCs w:val="28"/>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8"/>
          <w:szCs w:val="28"/>
          <w:lang w:val="en-US" w:eastAsia="zh-CN" w:bidi="ar-SA"/>
        </w:rPr>
        <w:t>4.房屋的屋檐滴水明沟，进屋的踏步、上楼的楼梯等均为房屋的必要配套设施，已包括在房屋的补偿单价中，不再另行补偿。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Times New Roman" w:hAnsi="Times New Roman" w:eastAsia="仿宋_GB2312"/>
          <w:b w:val="0"/>
          <w:bCs w:val="0"/>
          <w:i w:val="0"/>
          <w:caps w:val="0"/>
          <w:color w:val="000000"/>
          <w:spacing w:val="0"/>
          <w:w w:val="100"/>
          <w:kern w:val="2"/>
          <w:sz w:val="28"/>
          <w:szCs w:val="28"/>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附件9</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251" w:afterLines="80" w:afterAutospacing="0" w:line="70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迁坟、迁移电杆和拉线补偿标准</w:t>
      </w:r>
    </w:p>
    <w:tbl>
      <w:tblPr>
        <w:tblStyle w:val="9"/>
        <w:tblW w:w="87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7"/>
        <w:gridCol w:w="2468"/>
        <w:gridCol w:w="3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类别</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补偿标准</w:t>
            </w:r>
          </w:p>
        </w:tc>
        <w:tc>
          <w:tcPr>
            <w:tcW w:w="38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2"/>
                <w:sz w:val="24"/>
                <w:szCs w:val="24"/>
                <w:lang w:val="en-US" w:eastAsia="zh-CN" w:bidi="ar-SA"/>
              </w:rPr>
            </w:pPr>
            <w:r>
              <w:rPr>
                <w:rStyle w:val="13"/>
                <w:rFonts w:hint="eastAsia" w:ascii="黑体" w:hAnsi="黑体" w:eastAsia="黑体" w:cs="黑体"/>
                <w:b w:val="0"/>
                <w:bCs w:val="0"/>
                <w:i w:val="0"/>
                <w:caps w:val="0"/>
                <w:color w:val="000000"/>
                <w:spacing w:val="0"/>
                <w:w w:val="100"/>
                <w:kern w:val="2"/>
                <w:sz w:val="24"/>
                <w:szCs w:val="24"/>
                <w:lang w:val="en-US" w:eastAsia="zh-CN" w:bidi="ar-SA"/>
              </w:rPr>
              <w:t>说 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无棺木坟只迁骸骨</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2200元/座</w:t>
            </w:r>
          </w:p>
        </w:tc>
        <w:tc>
          <w:tcPr>
            <w:tcW w:w="384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1.已公告迁坟期限，逾期不迁的，视为无主坟，由项目业主单位迁移处理，不再补偿。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2.埋电杆、拉线补偿包括土地补偿、安置补助、青苗补偿费。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3.砖坟、石坟包括坟圈、坟台。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土筑坟</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4000元/座</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砖坟、石坟</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7000元/座</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迁移电杆</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360元/根</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exact"/>
          <w:jc w:val="center"/>
        </w:trPr>
        <w:tc>
          <w:tcPr>
            <w:tcW w:w="2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拉线</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260元/根</w:t>
            </w:r>
          </w:p>
        </w:tc>
        <w:tc>
          <w:tcPr>
            <w:tcW w:w="3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3"/>
          <w:rFonts w:ascii="方正小标宋简体" w:hAnsi="方正小标宋简体" w:eastAsia="方正小标宋简体"/>
          <w:b w:val="0"/>
          <w:bCs w:val="0"/>
          <w:i w:val="0"/>
          <w:caps w:val="0"/>
          <w:color w:val="000000"/>
          <w:spacing w:val="0"/>
          <w:w w:val="100"/>
          <w:kern w:val="2"/>
          <w:sz w:val="32"/>
          <w:szCs w:val="32"/>
          <w:lang w:val="en-US" w:eastAsia="zh-CN" w:bidi="ar-SA"/>
        </w:rPr>
        <w:sectPr>
          <w:pgSz w:w="11906" w:h="16838"/>
          <w:pgMar w:top="1701" w:right="1531" w:bottom="1134" w:left="1531" w:header="851" w:footer="992" w:gutter="0"/>
          <w:lnNumType w:countBy="0"/>
          <w:pgNumType w:fmt="numberInDash"/>
          <w:cols w:space="425" w:num="1"/>
          <w:vAlign w:val="top"/>
          <w:docGrid w:type="lines" w:linePitch="312" w:charSpace="0"/>
        </w:sect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hint="eastAsia" w:ascii="黑体" w:hAnsi="黑体" w:eastAsia="黑体" w:cs="黑体"/>
          <w:b w:val="0"/>
          <w:bCs w:val="0"/>
          <w:i w:val="0"/>
          <w:caps w:val="0"/>
          <w:color w:val="000000"/>
          <w:spacing w:val="0"/>
          <w:w w:val="100"/>
          <w:kern w:val="2"/>
          <w:sz w:val="32"/>
          <w:szCs w:val="32"/>
          <w:lang w:val="en-US" w:eastAsia="zh-CN" w:bidi="ar-SA"/>
        </w:rPr>
        <w:t>附件10</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251" w:afterLines="8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征收房屋结构等级标准</w:t>
      </w:r>
    </w:p>
    <w:tbl>
      <w:tblPr>
        <w:tblStyle w:val="9"/>
        <w:tblW w:w="9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157"/>
        <w:gridCol w:w="673"/>
        <w:gridCol w:w="8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blHeader/>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房屋结构</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 xml:space="preserve">等级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 xml:space="preserve">主  要  特  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0" w:hRule="atLeast"/>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钢混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结构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桩基础或独立基础，承重部分（梁、板、柱）全部为钢筋混凝土框架结构，现浇楼面、屋面、楼梯、天沟、层高3m，屋面上部有隔热层（包括平顶、青瓦型），24cm眠墙，厨房、洗漱间、厕所等设施齐全,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jc w:val="center"/>
        </w:trPr>
        <w:tc>
          <w:tcPr>
            <w:tcW w:w="62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混 </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2层以上建筑物，24cm眠墙，层层串梁,现浇或预制楼梯踏步,预制空心板楼面,预制空心板或钢丝网砼防水屋面,屋面上有隔热层（包括平顶、青瓦型）,现浇天沟排水,层高3m,室内为水泥地面,室内外水、电设施齐全。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2层以上建筑物，部分24cm眠墙或空心墙,预制空心板楼面,青瓦屋面,挑阳台,层高3m,水泥地面,厨房、洗漱间、厕所等设施齐全,室内外水、电设施齐全。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三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2层以上建筑物，部分24cm眠墙或空心墙,预制或小板楼面,青瓦屋面,有柱檐廊,层高3m,水泥地面,室内外水、电设施齐全。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62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木 </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2层以上建筑物，砖石基础，24cm眠墙，木架青瓦屋面，木板楼面,木质平顶,屋面四周水泥砖砌排水明沟或暗沟,水泥地面,室内外水、电设施齐全。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7"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纯木结构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标准砖石基础，基础深度0.5m以上，木桩屋梁，木板墙或卡砖墙，瓦屋面，前后檐口高度2.8m以上，油漆木制门窗，水电进户（含室内管线），三合土地面或水泥地面。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62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 </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级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砖石基础，木屋架墙,部分24cm眠墙或空心墙,木架青瓦屋面,木制楼面,前后径墙3m以上，水泥地面;室内外水、电设施齐全。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土木类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土砖、土筑或节砖墙,青瓦屋面,前后径墙3m以上，水泥地面,水、电设施齐全。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jc w:val="center"/>
        </w:trPr>
        <w:tc>
          <w:tcPr>
            <w:tcW w:w="129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偏屋类 </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土砖、土筑或节砖墙,其中一面借墙（无独立山墙）瓦屋顶,檐口高度在2.2m以下。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杂屋类 </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杂屋</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内外24厘米眠墙，现浇或预制平顶门窗齐全内有粉刷水泥地面。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其他</w:t>
            </w:r>
          </w:p>
        </w:tc>
        <w:tc>
          <w:tcPr>
            <w:tcW w:w="8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left="42" w:leftChars="20" w:right="42" w:rightChars="2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土砖、土筑或节砖墙,青瓦或石棉瓦屋面,檐口高度在1.8m以下。</w:t>
            </w:r>
          </w:p>
        </w:tc>
      </w:tr>
    </w:tbl>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说明：1.上述房屋主要特征中的子项目，如有增减，按有关规定增减补偿；</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2.钢混和砖混一级房屋有隔热层的增加4%系数，外墙抹灰面，面砖的按实际墙面数增加1%系数。层高在上述标准增减10cm以内的，不增加或减少补偿；层高增加或减少超过10cm以上的，每增减10cm，其补偿标准增减1%；</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3.各类房屋应具备木制门窗，无门窗的减4%系数、无水电的减4%系数、借墙的减4%系数，具体可根据房屋实际情况酌减；</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4.饲养栏舍按照上表确定建筑类别和等级,不符合上表类别等级的，按杂屋补偿标准的70%补偿；</w:t>
      </w:r>
    </w:p>
    <w:p>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958" w:leftChars="342" w:hanging="240" w:hangingChars="100"/>
        <w:jc w:val="both"/>
        <w:textAlignment w:val="baseline"/>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5</w:t>
      </w: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w:t>
      </w:r>
      <w:r>
        <w:rPr>
          <w:rStyle w:val="13"/>
          <w:rFonts w:hint="eastAsia" w:ascii="仿宋_GB2312" w:hAnsi="仿宋_GB2312" w:eastAsia="仿宋_GB2312" w:cs="仿宋_GB2312"/>
          <w:b w:val="0"/>
          <w:bCs w:val="0"/>
          <w:i w:val="0"/>
          <w:caps w:val="0"/>
          <w:color w:val="000000"/>
          <w:spacing w:val="0"/>
          <w:w w:val="100"/>
          <w:kern w:val="2"/>
          <w:sz w:val="24"/>
          <w:szCs w:val="24"/>
          <w:lang w:val="en-US" w:eastAsia="zh-CN" w:bidi="ar-SA"/>
        </w:rPr>
        <w:t>房屋拆迁补偿标准按房屋成新度予以核减：9成新-3%，8成新-6%，7成新-9%，6成新-12%，5成新及5成新以下-15%。</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hint="eastAsia" w:ascii="黑体" w:hAnsi="黑体" w:eastAsia="黑体" w:cs="黑体"/>
          <w:b w:val="0"/>
          <w:bCs w:val="0"/>
          <w:i w:val="0"/>
          <w:caps w:val="0"/>
          <w:color w:val="000000"/>
          <w:spacing w:val="0"/>
          <w:w w:val="100"/>
          <w:kern w:val="2"/>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附件11</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征收房屋补偿标准（货币安置、安置房安置）</w:t>
      </w:r>
    </w:p>
    <w:p>
      <w:pPr>
        <w:widowControl/>
        <w:shd w:val="clear" w:color="auto" w:fill="FFFFFF"/>
        <w:snapToGrid/>
        <w:spacing w:before="312" w:beforeAutospacing="1" w:after="312" w:afterAutospacing="1" w:line="280" w:lineRule="exact"/>
        <w:jc w:val="center"/>
        <w:textAlignment w:val="baseline"/>
        <w:rPr>
          <w:rStyle w:val="13"/>
          <w:rFonts w:hint="eastAsia" w:ascii="楷体_GB2312" w:hAnsi="楷体_GB2312" w:eastAsia="楷体_GB2312" w:cs="楷体_GB2312"/>
          <w:b w:val="0"/>
          <w:bCs w:val="0"/>
          <w:i w:val="0"/>
          <w:caps w:val="0"/>
          <w:color w:val="000000"/>
          <w:spacing w:val="0"/>
          <w:w w:val="100"/>
          <w:kern w:val="0"/>
          <w:sz w:val="28"/>
          <w:szCs w:val="28"/>
          <w:lang w:val="en-US" w:eastAsia="zh-CN"/>
        </w:rPr>
      </w:pPr>
      <w:r>
        <w:rPr>
          <w:rStyle w:val="13"/>
          <w:rFonts w:ascii="Times New Roman" w:hAnsi="Times New Roman" w:eastAsia="仿宋_GB2312"/>
          <w:b w:val="0"/>
          <w:bCs w:val="0"/>
          <w:i w:val="0"/>
          <w:caps w:val="0"/>
          <w:color w:val="000000"/>
          <w:spacing w:val="0"/>
          <w:w w:val="100"/>
          <w:kern w:val="0"/>
          <w:sz w:val="32"/>
          <w:szCs w:val="32"/>
          <w:lang w:val="en-US" w:eastAsia="zh-CN" w:bidi="ar-SA"/>
        </w:rPr>
        <w:t xml:space="preserve">                               </w:t>
      </w:r>
      <w:r>
        <w:rPr>
          <w:rStyle w:val="13"/>
          <w:rFonts w:hint="eastAsia" w:ascii="楷体_GB2312" w:hAnsi="楷体_GB2312" w:eastAsia="楷体_GB2312" w:cs="楷体_GB2312"/>
          <w:b w:val="0"/>
          <w:bCs w:val="0"/>
          <w:i w:val="0"/>
          <w:caps w:val="0"/>
          <w:color w:val="000000"/>
          <w:spacing w:val="0"/>
          <w:w w:val="100"/>
          <w:kern w:val="0"/>
          <w:sz w:val="28"/>
          <w:szCs w:val="28"/>
          <w:lang w:val="en-US" w:eastAsia="zh-CN"/>
        </w:rPr>
        <w:t xml:space="preserve">    单位：元/㎡</w:t>
      </w:r>
    </w:p>
    <w:tbl>
      <w:tblPr>
        <w:tblStyle w:val="9"/>
        <w:tblW w:w="8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9"/>
        <w:gridCol w:w="120"/>
        <w:gridCol w:w="1197"/>
        <w:gridCol w:w="3173"/>
        <w:gridCol w:w="2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房屋类别</w:t>
            </w:r>
          </w:p>
        </w:tc>
        <w:tc>
          <w:tcPr>
            <w:tcW w:w="31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房屋结构补偿</w:t>
            </w:r>
          </w:p>
        </w:tc>
        <w:tc>
          <w:tcPr>
            <w:tcW w:w="28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宅基地使用权</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补偿费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钢混</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1320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1080</w:t>
            </w:r>
          </w:p>
        </w:tc>
        <w:tc>
          <w:tcPr>
            <w:tcW w:w="2820" w:type="dxa"/>
            <w:tcBorders>
              <w:top w:val="nil"/>
              <w:left w:val="single" w:color="000000" w:sz="4" w:space="0"/>
              <w:bottom w:val="nil"/>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1020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三级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960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砖木</w:t>
            </w: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一级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840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纯木</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780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31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二级</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720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土木（正房）</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600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274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偏屋</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jc w:val="center"/>
        </w:trPr>
        <w:tc>
          <w:tcPr>
            <w:tcW w:w="15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杂屋</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450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exact"/>
          <w:jc w:val="center"/>
        </w:trPr>
        <w:tc>
          <w:tcPr>
            <w:tcW w:w="1549"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其他</w:t>
            </w:r>
          </w:p>
        </w:tc>
        <w:tc>
          <w:tcPr>
            <w:tcW w:w="3173"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282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r>
    </w:tbl>
    <w:p>
      <w:pPr>
        <w:snapToGrid/>
        <w:spacing w:before="0" w:beforeAutospacing="0" w:after="0" w:afterAutospacing="0" w:line="360" w:lineRule="exact"/>
        <w:ind w:left="1120" w:hanging="1120"/>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23" w:hanging="1123"/>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说明:1.宅基地使用权补偿只对拆迁合法正房底层占地面积进行补偿；</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123" w:hanging="1123"/>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     2.偏屋、杂屋房屋补偿包含土地补偿费，不给予宅基地补偿。</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hint="eastAsia" w:ascii="黑体" w:hAnsi="黑体" w:eastAsia="黑体" w:cs="黑体"/>
          <w:b w:val="0"/>
          <w:bCs w:val="0"/>
          <w:i w:val="0"/>
          <w:caps w:val="0"/>
          <w:color w:val="000000"/>
          <w:spacing w:val="0"/>
          <w:w w:val="100"/>
          <w:kern w:val="2"/>
          <w:sz w:val="32"/>
          <w:szCs w:val="32"/>
          <w:lang w:val="en-US" w:eastAsia="zh-CN" w:bidi="ar-SA"/>
        </w:rPr>
        <w:t xml:space="preserve">      </w:t>
      </w:r>
      <w:r>
        <w:rPr>
          <w:rStyle w:val="13"/>
          <w:rFonts w:hint="eastAsia" w:ascii="黑体" w:hAnsi="黑体" w:eastAsia="黑体" w:cs="黑体"/>
          <w:b w:val="0"/>
          <w:bCs w:val="0"/>
          <w:i w:val="0"/>
          <w:caps w:val="0"/>
          <w:color w:val="000000"/>
          <w:spacing w:val="0"/>
          <w:w w:val="100"/>
          <w:kern w:val="2"/>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附件12</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 xml:space="preserve">征收房屋补偿标准（迁建安置） </w:t>
      </w:r>
    </w:p>
    <w:p>
      <w:pPr>
        <w:widowControl/>
        <w:shd w:val="clear" w:color="auto" w:fill="FFFFFF"/>
        <w:wordWrap w:val="0"/>
        <w:snapToGrid/>
        <w:spacing w:before="312" w:beforeAutospacing="1" w:after="312" w:afterAutospacing="1" w:line="280" w:lineRule="exact"/>
        <w:jc w:val="right"/>
        <w:textAlignment w:val="baseline"/>
        <w:rPr>
          <w:rStyle w:val="13"/>
          <w:rFonts w:hint="default" w:ascii="楷体_GB2312" w:hAnsi="楷体_GB2312" w:eastAsia="楷体_GB2312" w:cs="楷体_GB2312"/>
          <w:b w:val="0"/>
          <w:bCs w:val="0"/>
          <w:i w:val="0"/>
          <w:caps w:val="0"/>
          <w:color w:val="000000"/>
          <w:spacing w:val="0"/>
          <w:w w:val="100"/>
          <w:kern w:val="0"/>
          <w:sz w:val="28"/>
          <w:szCs w:val="28"/>
          <w:lang w:val="en-US" w:eastAsia="zh-CN" w:bidi="ar-SA"/>
        </w:rPr>
      </w:pPr>
      <w:r>
        <w:rPr>
          <w:rStyle w:val="13"/>
          <w:rFonts w:hint="eastAsia" w:ascii="楷体_GB2312" w:hAnsi="楷体_GB2312" w:eastAsia="楷体_GB2312" w:cs="楷体_GB2312"/>
          <w:b w:val="0"/>
          <w:bCs w:val="0"/>
          <w:i w:val="0"/>
          <w:caps w:val="0"/>
          <w:color w:val="000000"/>
          <w:spacing w:val="0"/>
          <w:w w:val="100"/>
          <w:kern w:val="0"/>
          <w:sz w:val="28"/>
          <w:szCs w:val="28"/>
          <w:lang w:val="en-US" w:eastAsia="zh-CN" w:bidi="ar-SA"/>
        </w:rPr>
        <w:t xml:space="preserve">  单位：元/㎡       </w:t>
      </w:r>
    </w:p>
    <w:tbl>
      <w:tblPr>
        <w:tblStyle w:val="9"/>
        <w:tblW w:w="8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4"/>
        <w:gridCol w:w="2268"/>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 xml:space="preserve">房屋类别 </w:t>
            </w:r>
          </w:p>
        </w:tc>
        <w:tc>
          <w:tcPr>
            <w:tcW w:w="3827" w:type="dxa"/>
            <w:tcBorders>
              <w:top w:val="single" w:color="000000" w:sz="4" w:space="0"/>
              <w:left w:val="single" w:color="000000" w:sz="4" w:space="0"/>
              <w:bottom w:val="single" w:color="000000" w:sz="4" w:space="0"/>
              <w:right w:val="single" w:color="000000" w:sz="4" w:space="0"/>
            </w:tcBorders>
            <w:vAlign w:val="center"/>
          </w:tcPr>
          <w:p>
            <w:pPr>
              <w:snapToGrid/>
              <w:spacing w:before="100" w:beforeAutospacing="0" w:after="100" w:afterAutospacing="0" w:line="320" w:lineRule="exact"/>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 xml:space="preserve">房屋结构补偿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钢混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strike/>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砖混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三级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砖木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一级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纯木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320" w:lineRule="exact"/>
              <w:jc w:val="left"/>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二级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土木（正房）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42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偏屋 </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杂屋 </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砖混</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 xml:space="preserve"> 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jc w:val="center"/>
        </w:trPr>
        <w:tc>
          <w:tcPr>
            <w:tcW w:w="19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100" w:beforeAutospacing="0" w:after="100" w:afterAutospacing="0" w:line="32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其他</w:t>
            </w:r>
          </w:p>
        </w:tc>
        <w:tc>
          <w:tcPr>
            <w:tcW w:w="382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80" w:lineRule="exact"/>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r>
    </w:tbl>
    <w:p>
      <w:pPr>
        <w:widowControl/>
        <w:snapToGrid/>
        <w:spacing w:before="0" w:beforeAutospacing="0" w:after="0" w:afterAutospacing="0" w:line="419" w:lineRule="exact"/>
        <w:ind w:right="-361"/>
        <w:jc w:val="left"/>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方正小标宋简体" w:hAnsi="方正小标宋简体" w:eastAsia="方正小标宋简体"/>
          <w:b w:val="0"/>
          <w:bCs w:val="0"/>
          <w:i w:val="0"/>
          <w:caps w:val="0"/>
          <w:color w:val="000000"/>
          <w:spacing w:val="0"/>
          <w:w w:val="100"/>
          <w:kern w:val="2"/>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附件13</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分散迁建安置土地、水、电、路、</w:t>
      </w:r>
    </w:p>
    <w:p>
      <w:pPr>
        <w:keepNext w:val="0"/>
        <w:keepLines w:val="0"/>
        <w:pageBreakBefore w:val="0"/>
        <w:widowControl/>
        <w:shd w:val="clear" w:color="auto" w:fill="FFFFFF"/>
        <w:kinsoku/>
        <w:wordWrap/>
        <w:overflowPunct/>
        <w:topLinePunct w:val="0"/>
        <w:autoSpaceDE/>
        <w:autoSpaceDN/>
        <w:bidi w:val="0"/>
        <w:adjustRightInd/>
        <w:snapToGrid w:val="0"/>
        <w:spacing w:before="0" w:beforeAutospacing="0" w:after="157" w:afterLines="5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超深基础等补助标准</w:t>
      </w:r>
    </w:p>
    <w:tbl>
      <w:tblPr>
        <w:tblStyle w:val="9"/>
        <w:tblW w:w="86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00"/>
        <w:gridCol w:w="4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名    称</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补助金额（元/㎡）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宅基地调换补助</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水、电源</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道路</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超深基础</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场地平整</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报建报批</w:t>
            </w:r>
          </w:p>
        </w:tc>
        <w:tc>
          <w:tcPr>
            <w:tcW w:w="4300"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1" w:after="0" w:afterAutospacing="1" w:line="240" w:lineRule="auto"/>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w:t>
            </w:r>
          </w:p>
        </w:tc>
      </w:tr>
    </w:tbl>
    <w:p>
      <w:pPr>
        <w:keepNext w:val="0"/>
        <w:keepLines w:val="0"/>
        <w:pageBreakBefore w:val="0"/>
        <w:widowControl/>
        <w:kinsoku/>
        <w:wordWrap/>
        <w:overflowPunct/>
        <w:topLinePunct w:val="0"/>
        <w:autoSpaceDE/>
        <w:autoSpaceDN/>
        <w:bidi w:val="0"/>
        <w:adjustRightInd/>
        <w:snapToGrid/>
        <w:spacing w:before="156" w:beforeAutospacing="0" w:after="0" w:afterAutospacing="0" w:line="440" w:lineRule="exact"/>
        <w:ind w:firstLine="560" w:firstLineChars="200"/>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说明：1.宅基地调换补助按合法正房底层占地面积计算；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1654" w:leftChars="532" w:hanging="537" w:hangingChars="192"/>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  2.水、电一次性包干补助的对象为被征收人的房屋具备水、电设备的，房屋无或缺的则不补助或只补助具备的项目； </w:t>
      </w:r>
    </w:p>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1120" w:firstLineChars="400"/>
        <w:jc w:val="both"/>
        <w:textAlignment w:val="baseline"/>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8"/>
          <w:szCs w:val="32"/>
          <w:lang w:val="en-US" w:eastAsia="zh-CN" w:bidi="ar-SA"/>
        </w:rPr>
        <w:t xml:space="preserve">  3.超深基础的补助包括地基到正负零。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jc w:val="both"/>
        <w:textAlignment w:val="baseline"/>
        <w:rPr>
          <w:rStyle w:val="13"/>
          <w:rFonts w:hint="default" w:ascii="黑体" w:hAnsi="黑体" w:eastAsia="黑体" w:cs="黑体"/>
          <w:b w:val="0"/>
          <w:bCs w:val="0"/>
          <w:i w:val="0"/>
          <w:caps w:val="0"/>
          <w:color w:val="000000"/>
          <w:spacing w:val="0"/>
          <w:w w:val="100"/>
          <w:kern w:val="2"/>
          <w:sz w:val="32"/>
          <w:szCs w:val="32"/>
          <w:lang w:val="en-US" w:eastAsia="zh-CN" w:bidi="ar-SA"/>
        </w:rPr>
      </w:pPr>
      <w:r>
        <w:rPr>
          <w:rStyle w:val="13"/>
          <w:rFonts w:ascii="方正小标宋简体" w:hAnsi="方正小标宋简体" w:eastAsia="方正小标宋简体"/>
          <w:b w:val="0"/>
          <w:bCs w:val="0"/>
          <w:i w:val="0"/>
          <w:caps w:val="0"/>
          <w:color w:val="000000"/>
          <w:spacing w:val="0"/>
          <w:w w:val="100"/>
          <w:kern w:val="2"/>
          <w:sz w:val="32"/>
          <w:szCs w:val="32"/>
          <w:lang w:val="en-US" w:eastAsia="zh-CN" w:bidi="ar-SA"/>
        </w:rPr>
        <w:br w:type="page"/>
      </w:r>
      <w:r>
        <w:rPr>
          <w:rStyle w:val="13"/>
          <w:rFonts w:hint="eastAsia" w:ascii="黑体" w:hAnsi="黑体" w:eastAsia="黑体" w:cs="黑体"/>
          <w:b w:val="0"/>
          <w:bCs w:val="0"/>
          <w:i w:val="0"/>
          <w:caps w:val="0"/>
          <w:color w:val="000000"/>
          <w:spacing w:val="0"/>
          <w:w w:val="100"/>
          <w:kern w:val="2"/>
          <w:sz w:val="32"/>
          <w:szCs w:val="32"/>
          <w:lang w:val="en-US" w:eastAsia="zh-CN" w:bidi="ar-SA"/>
        </w:rPr>
        <w:t>附件14</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157" w:afterLines="50" w:afterAutospacing="0" w:line="640" w:lineRule="exact"/>
        <w:jc w:val="center"/>
        <w:textAlignment w:val="baseline"/>
        <w:rPr>
          <w:rStyle w:val="13"/>
          <w:rFonts w:ascii="Times New Roman" w:hAnsi="Times New Roman" w:eastAsia="方正小标宋简体"/>
          <w:b w:val="0"/>
          <w:bCs w:val="0"/>
          <w:i w:val="0"/>
          <w:caps w:val="0"/>
          <w:color w:val="000000"/>
          <w:spacing w:val="0"/>
          <w:w w:val="100"/>
          <w:kern w:val="0"/>
          <w:sz w:val="44"/>
          <w:szCs w:val="44"/>
          <w:lang w:val="en-US" w:eastAsia="zh-CN" w:bidi="ar-SA"/>
        </w:rPr>
      </w:pPr>
      <w:r>
        <w:rPr>
          <w:rStyle w:val="13"/>
          <w:rFonts w:ascii="Times New Roman" w:hAnsi="Times New Roman" w:eastAsia="方正小标宋简体"/>
          <w:b w:val="0"/>
          <w:bCs w:val="0"/>
          <w:i w:val="0"/>
          <w:caps w:val="0"/>
          <w:color w:val="000000"/>
          <w:spacing w:val="0"/>
          <w:w w:val="100"/>
          <w:kern w:val="0"/>
          <w:sz w:val="44"/>
          <w:szCs w:val="44"/>
          <w:lang w:val="en-US" w:eastAsia="zh-CN" w:bidi="ar-SA"/>
        </w:rPr>
        <w:t>过渡费、搬家费标准</w:t>
      </w:r>
    </w:p>
    <w:tbl>
      <w:tblPr>
        <w:tblStyle w:val="9"/>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7"/>
        <w:gridCol w:w="4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过渡费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（元/人·月）</w:t>
            </w:r>
          </w:p>
        </w:tc>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搬家费</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left="42" w:leftChars="20" w:right="42" w:rightChars="20"/>
              <w:jc w:val="center"/>
              <w:textAlignment w:val="baseline"/>
              <w:rPr>
                <w:rStyle w:val="13"/>
                <w:rFonts w:hint="eastAsia" w:ascii="黑体" w:hAnsi="黑体" w:eastAsia="黑体" w:cs="黑体"/>
                <w:b w:val="0"/>
                <w:bCs w:val="0"/>
                <w:i w:val="0"/>
                <w:caps w:val="0"/>
                <w:color w:val="000000"/>
                <w:spacing w:val="0"/>
                <w:w w:val="100"/>
                <w:kern w:val="0"/>
                <w:sz w:val="24"/>
                <w:szCs w:val="24"/>
                <w:lang w:val="en-US" w:eastAsia="zh-CN" w:bidi="ar-SA"/>
              </w:rPr>
            </w:pPr>
            <w:r>
              <w:rPr>
                <w:rStyle w:val="13"/>
                <w:rFonts w:hint="eastAsia" w:ascii="黑体" w:hAnsi="黑体" w:eastAsia="黑体" w:cs="黑体"/>
                <w:b w:val="0"/>
                <w:bCs w:val="0"/>
                <w:i w:val="0"/>
                <w:caps w:val="0"/>
                <w:color w:val="000000"/>
                <w:spacing w:val="0"/>
                <w:w w:val="100"/>
                <w:kern w:val="0"/>
                <w:sz w:val="24"/>
                <w:szCs w:val="24"/>
                <w:lang w:val="en-US" w:eastAsia="zh-CN" w:bidi="ar-SA"/>
              </w:rPr>
              <w:t>（元/人·次）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 w:hRule="atLeast"/>
          <w:jc w:val="center"/>
        </w:trPr>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300</w:t>
            </w:r>
          </w:p>
        </w:tc>
        <w:tc>
          <w:tcPr>
            <w:tcW w:w="4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leftChars="20" w:right="42" w:rightChars="20"/>
              <w:jc w:val="center"/>
              <w:textAlignment w:val="baseline"/>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pPr>
            <w:r>
              <w:rPr>
                <w:rStyle w:val="13"/>
                <w:rFonts w:hint="eastAsia" w:ascii="仿宋_GB2312" w:hAnsi="仿宋_GB2312" w:eastAsia="仿宋_GB2312" w:cs="仿宋_GB2312"/>
                <w:b w:val="0"/>
                <w:bCs w:val="0"/>
                <w:i w:val="0"/>
                <w:caps w:val="0"/>
                <w:color w:val="000000"/>
                <w:spacing w:val="0"/>
                <w:w w:val="100"/>
                <w:kern w:val="0"/>
                <w:sz w:val="24"/>
                <w:szCs w:val="24"/>
                <w:lang w:val="en-US" w:eastAsia="zh-CN" w:bidi="ar-SA"/>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89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right="42" w:rightChars="20"/>
              <w:jc w:val="both"/>
              <w:textAlignment w:val="baselin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说明：单次搬家费低于3000元的，按3000元标准计算。</w:t>
            </w:r>
          </w:p>
          <w:p>
            <w:pPr>
              <w:pStyle w:val="6"/>
              <w:rPr>
                <w:rFonts w:hint="eastAsia"/>
                <w:lang w:val="en-US" w:eastAsia="zh-CN"/>
              </w:rPr>
            </w:pPr>
          </w:p>
        </w:tc>
      </w:tr>
    </w:tbl>
    <w:p>
      <w:pPr>
        <w:snapToGrid/>
        <w:spacing w:before="0" w:beforeAutospacing="0" w:after="0" w:afterAutospacing="0" w:line="100" w:lineRule="exact"/>
        <w:jc w:val="both"/>
        <w:textAlignment w:val="baseline"/>
        <w:rPr>
          <w:rStyle w:val="13"/>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snapToGrid/>
        <w:spacing w:before="0" w:beforeAutospacing="0" w:after="0" w:afterAutospacing="0" w:line="100" w:lineRule="exact"/>
        <w:jc w:val="both"/>
        <w:textAlignment w:val="baseline"/>
        <w:rPr>
          <w:rStyle w:val="13"/>
          <w:rFonts w:ascii="Times New Roman" w:hAnsi="Times New Roman" w:eastAsia="仿宋_GB2312"/>
          <w:b w:val="0"/>
          <w:bCs w:val="0"/>
          <w:i w:val="0"/>
          <w:caps w:val="0"/>
          <w:color w:val="000000"/>
          <w:spacing w:val="0"/>
          <w:w w:val="100"/>
          <w:kern w:val="0"/>
          <w:sz w:val="24"/>
          <w:szCs w:val="24"/>
          <w:u w:val="single" w:color="000000"/>
          <w:lang w:val="en-US" w:eastAsia="zh-CN" w:bidi="ar-SA"/>
        </w:rPr>
      </w:pPr>
    </w:p>
    <w:p>
      <w:pPr>
        <w:pStyle w:val="6"/>
        <w:keepNext w:val="0"/>
        <w:keepLines w:val="0"/>
        <w:pageBreakBefore w:val="0"/>
        <w:widowControl w:val="0"/>
        <w:kinsoku/>
        <w:overflowPunct/>
        <w:topLinePunct w:val="0"/>
        <w:autoSpaceDE/>
        <w:autoSpaceDN/>
        <w:bidi w:val="0"/>
        <w:adjustRightInd/>
        <w:textAlignment w:val="auto"/>
        <w:rPr>
          <w:rStyle w:val="13"/>
          <w:rFonts w:ascii="Times New Roman" w:hAnsi="Times New Roman" w:eastAsia="仿宋_GB2312"/>
          <w:b w:val="0"/>
          <w:bCs w:val="0"/>
          <w:i w:val="0"/>
          <w:caps w:val="0"/>
          <w:color w:val="000000"/>
          <w:spacing w:val="0"/>
          <w:w w:val="100"/>
          <w:kern w:val="0"/>
          <w:sz w:val="24"/>
          <w:szCs w:val="24"/>
          <w:u w:val="single" w:color="000000"/>
          <w:lang w:val="en-US" w:eastAsia="zh-CN" w:bidi="ar-SA"/>
        </w:rPr>
      </w:pPr>
    </w:p>
    <w:sectPr>
      <w:pgSz w:w="11906" w:h="16838"/>
      <w:pgMar w:top="1701" w:right="1531" w:bottom="1417" w:left="1531" w:header="851" w:footer="680" w:gutter="0"/>
      <w:lnNumType w:countBy="0"/>
      <w:pgNumType w:fmt="numberInDash"/>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3"/>
        <w:rFonts w:ascii="Calibri" w:hAnsi="Calibri"/>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Style w:val="13"/>
        <w:rFonts w:ascii="Calibri" w:hAnsi="Calibr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8"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pPr>
                            <w:pStyle w:val="4"/>
                            <w:widowControl/>
                            <w:snapToGrid w:val="0"/>
                            <w:jc w:val="left"/>
                            <w:textAlignment w:val="baseline"/>
                            <w:rPr>
                              <w:rStyle w:val="13"/>
                              <w:rFonts w:ascii="宋体" w:hAnsi="宋体"/>
                              <w:kern w:val="2"/>
                              <w:sz w:val="28"/>
                              <w:szCs w:val="28"/>
                              <w:lang w:val="en-US" w:eastAsia="zh-CN" w:bidi="ar-SA"/>
                            </w:rPr>
                          </w:pPr>
                        </w:p>
                        <w:p>
                          <w:pPr>
                            <w:jc w:val="both"/>
                            <w:textAlignment w:val="baseline"/>
                            <w:rPr>
                              <w:rStyle w:val="13"/>
                              <w:rFonts w:ascii="Calibri" w:hAnsi="Calibri"/>
                              <w:kern w:val="2"/>
                              <w:sz w:val="21"/>
                              <w:szCs w:val="24"/>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18.15pt;width:42.05pt;mso-position-horizontal:outside;mso-position-horizontal-relative:margin;z-index:251659264;mso-width-relative:page;mso-height-relative:page;" filled="f" stroked="f" coordsize="21600,21600" o:gfxdata="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E8L8PTAAAAAwEAAA8AAAAAAAAAAQAgAAAAIgAAAGRycy9kb3ducmV2LnhtbFBL&#10;AQIUABQAAAAIAIdO4kBXYontwgEAAHoDAAAOAAAAAAAAAAEAIAAAACIBAABkcnMvZTJvRG9jLnht&#10;bFBLBQYAAAAABgAGAFkBAABWBQAAAAA=&#10;">
              <v:fill on="f" focussize="0,0"/>
              <v:stroke on="f" weight="0.5pt"/>
              <v:imagedata o:title=""/>
              <o:lock v:ext="edit" aspectratio="f"/>
              <v:textbox inset="0mm,0mm,0mm,0mm">
                <w:txbxContent>
                  <w:p>
                    <w:pPr>
                      <w:pStyle w:val="4"/>
                      <w:widowControl/>
                      <w:snapToGrid w:val="0"/>
                      <w:jc w:val="left"/>
                      <w:textAlignment w:val="baseline"/>
                      <w:rPr>
                        <w:rStyle w:val="13"/>
                        <w:rFonts w:ascii="宋体" w:hAnsi="宋体"/>
                        <w:kern w:val="2"/>
                        <w:sz w:val="28"/>
                        <w:szCs w:val="28"/>
                        <w:lang w:val="en-US" w:eastAsia="zh-CN" w:bidi="ar-SA"/>
                      </w:rPr>
                    </w:pPr>
                  </w:p>
                  <w:p>
                    <w:pPr>
                      <w:jc w:val="both"/>
                      <w:textAlignment w:val="baseline"/>
                      <w:rPr>
                        <w:rStyle w:val="13"/>
                        <w:rFonts w:ascii="Calibri" w:hAnsi="Calibri"/>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NWUzM2FjMmI1NjVmZGEwNTdhNWJjNTYxZGM1NTcifQ=="/>
  </w:docVars>
  <w:rsids>
    <w:rsidRoot w:val="00000000"/>
    <w:rsid w:val="02C86101"/>
    <w:rsid w:val="03031491"/>
    <w:rsid w:val="03F44718"/>
    <w:rsid w:val="04EB042F"/>
    <w:rsid w:val="0588271A"/>
    <w:rsid w:val="061A5470"/>
    <w:rsid w:val="06A13572"/>
    <w:rsid w:val="06C64D5B"/>
    <w:rsid w:val="07955F08"/>
    <w:rsid w:val="07B20C1C"/>
    <w:rsid w:val="08415732"/>
    <w:rsid w:val="08BB7D26"/>
    <w:rsid w:val="09C0632E"/>
    <w:rsid w:val="0A587B48"/>
    <w:rsid w:val="0A79028B"/>
    <w:rsid w:val="0BE21832"/>
    <w:rsid w:val="0DA45021"/>
    <w:rsid w:val="0DC14423"/>
    <w:rsid w:val="11132B48"/>
    <w:rsid w:val="119A56B6"/>
    <w:rsid w:val="12E024D3"/>
    <w:rsid w:val="14CF2DFF"/>
    <w:rsid w:val="168D57EA"/>
    <w:rsid w:val="18514491"/>
    <w:rsid w:val="1AD05CA5"/>
    <w:rsid w:val="1B1F7529"/>
    <w:rsid w:val="1C197B20"/>
    <w:rsid w:val="1E957931"/>
    <w:rsid w:val="1F533349"/>
    <w:rsid w:val="246B4C91"/>
    <w:rsid w:val="25180974"/>
    <w:rsid w:val="257227BA"/>
    <w:rsid w:val="274A3283"/>
    <w:rsid w:val="29902E29"/>
    <w:rsid w:val="2AF84251"/>
    <w:rsid w:val="2B807273"/>
    <w:rsid w:val="2CDF446E"/>
    <w:rsid w:val="2D18223F"/>
    <w:rsid w:val="2D3327C9"/>
    <w:rsid w:val="2E173476"/>
    <w:rsid w:val="30233EAF"/>
    <w:rsid w:val="321E5800"/>
    <w:rsid w:val="326A4E14"/>
    <w:rsid w:val="32C43EEA"/>
    <w:rsid w:val="338F56A4"/>
    <w:rsid w:val="33A03BEC"/>
    <w:rsid w:val="33F56325"/>
    <w:rsid w:val="34B363E5"/>
    <w:rsid w:val="37D47B5E"/>
    <w:rsid w:val="388008B3"/>
    <w:rsid w:val="38D31E3C"/>
    <w:rsid w:val="39CA7C94"/>
    <w:rsid w:val="3A2B0CF2"/>
    <w:rsid w:val="3B4C7172"/>
    <w:rsid w:val="3C0C7849"/>
    <w:rsid w:val="3C255EC8"/>
    <w:rsid w:val="3C5250A5"/>
    <w:rsid w:val="3ECB4852"/>
    <w:rsid w:val="3F9D4347"/>
    <w:rsid w:val="3FEE4D48"/>
    <w:rsid w:val="40056133"/>
    <w:rsid w:val="40231F80"/>
    <w:rsid w:val="41A4543F"/>
    <w:rsid w:val="42D552A6"/>
    <w:rsid w:val="43D9531B"/>
    <w:rsid w:val="43F00EA1"/>
    <w:rsid w:val="440525B4"/>
    <w:rsid w:val="44C05ACA"/>
    <w:rsid w:val="45B222C8"/>
    <w:rsid w:val="45F64CE4"/>
    <w:rsid w:val="4600368D"/>
    <w:rsid w:val="46A53457"/>
    <w:rsid w:val="46C54618"/>
    <w:rsid w:val="48BD7DF2"/>
    <w:rsid w:val="48CB07F4"/>
    <w:rsid w:val="4A080708"/>
    <w:rsid w:val="4A121587"/>
    <w:rsid w:val="4A180D54"/>
    <w:rsid w:val="4C5B6284"/>
    <w:rsid w:val="4D2D2EC6"/>
    <w:rsid w:val="4F1D6A04"/>
    <w:rsid w:val="4F500C99"/>
    <w:rsid w:val="4FBE01E7"/>
    <w:rsid w:val="4FC86C1C"/>
    <w:rsid w:val="50EE4AFC"/>
    <w:rsid w:val="51B15232"/>
    <w:rsid w:val="52CB2081"/>
    <w:rsid w:val="53623447"/>
    <w:rsid w:val="573D4215"/>
    <w:rsid w:val="57B95737"/>
    <w:rsid w:val="583A6097"/>
    <w:rsid w:val="58937FD0"/>
    <w:rsid w:val="59831B59"/>
    <w:rsid w:val="5ADC3248"/>
    <w:rsid w:val="5B182775"/>
    <w:rsid w:val="5B370E4D"/>
    <w:rsid w:val="5BB4249E"/>
    <w:rsid w:val="5C337866"/>
    <w:rsid w:val="5C5477DD"/>
    <w:rsid w:val="5CD64176"/>
    <w:rsid w:val="5F74333D"/>
    <w:rsid w:val="60D64C64"/>
    <w:rsid w:val="64095351"/>
    <w:rsid w:val="64296F6B"/>
    <w:rsid w:val="659438DB"/>
    <w:rsid w:val="668F2F5B"/>
    <w:rsid w:val="68CF4DBB"/>
    <w:rsid w:val="6A0953F7"/>
    <w:rsid w:val="6B2E61E0"/>
    <w:rsid w:val="6B6A2B79"/>
    <w:rsid w:val="6C125021"/>
    <w:rsid w:val="6E094833"/>
    <w:rsid w:val="6ED03C4B"/>
    <w:rsid w:val="77E43CB3"/>
    <w:rsid w:val="78D7413D"/>
    <w:rsid w:val="79E65AC0"/>
    <w:rsid w:val="7A6C2327"/>
    <w:rsid w:val="7B057F1B"/>
    <w:rsid w:val="7C242826"/>
    <w:rsid w:val="7C94044F"/>
    <w:rsid w:val="7DE40569"/>
    <w:rsid w:val="7E4F4EC8"/>
    <w:rsid w:val="7EB566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left="420" w:leftChars="200"/>
    </w:pPr>
  </w:style>
  <w:style w:type="paragraph" w:styleId="4">
    <w:name w:val="footer"/>
    <w:basedOn w:val="1"/>
    <w:qFormat/>
    <w:uiPriority w:val="0"/>
    <w:pPr>
      <w:tabs>
        <w:tab w:val="center" w:pos="4153"/>
        <w:tab w:val="right" w:pos="8306"/>
      </w:tabs>
      <w:snapToGrid w:val="0"/>
      <w:jc w:val="left"/>
      <w:textAlignment w:val="baseline"/>
    </w:pPr>
    <w:rPr>
      <w:rFonts w:ascii="Calibri" w:hAnsi="Calibri"/>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kern w:val="2"/>
      <w:sz w:val="18"/>
      <w:szCs w:val="24"/>
      <w:lang w:val="en-US" w:eastAsia="zh-CN" w:bidi="ar-SA"/>
    </w:rPr>
  </w:style>
  <w:style w:type="paragraph" w:styleId="6">
    <w:name w:val="Body Text First Indent 2"/>
    <w:basedOn w:val="7"/>
    <w:qFormat/>
    <w:uiPriority w:val="99"/>
    <w:pPr>
      <w:ind w:firstLine="420" w:firstLineChars="200"/>
    </w:pPr>
  </w:style>
  <w:style w:type="paragraph" w:customStyle="1" w:styleId="7">
    <w:name w:val="正文缩进1"/>
    <w:basedOn w:val="8"/>
    <w:qFormat/>
    <w:uiPriority w:val="0"/>
    <w:pPr>
      <w:spacing w:line="580" w:lineRule="exact"/>
      <w:ind w:firstLine="0" w:firstLineChars="200"/>
    </w:pPr>
    <w:rPr>
      <w:rFonts w:ascii="仿宋_GB2312" w:hAnsi="仿宋_GB2312" w:eastAsia="仿宋_GB2312"/>
      <w:sz w:val="32"/>
      <w:szCs w:val="20"/>
    </w:rPr>
  </w:style>
  <w:style w:type="paragraph" w:customStyle="1" w:styleId="8">
    <w:name w:val="正文1"/>
    <w:qFormat/>
    <w:uiPriority w:val="0"/>
    <w:pPr>
      <w:widowControl w:val="0"/>
      <w:suppressAutoHyphens w:val="0"/>
      <w:bidi w:val="0"/>
      <w:spacing w:beforeLines="0" w:beforeAutospacing="0" w:afterLines="0" w:afterAutospacing="0"/>
      <w:jc w:val="both"/>
    </w:pPr>
    <w:rPr>
      <w:rFonts w:ascii="Calibri" w:hAnsi="Calibri" w:eastAsia="新宋体" w:cs="Times New Roman"/>
      <w:color w:val="auto"/>
      <w:kern w:val="2"/>
      <w:sz w:val="21"/>
      <w:szCs w:val="24"/>
      <w:lang w:val="en-US" w:eastAsia="zh-CN" w:bidi="hi-I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3"/>
    <w:link w:val="1"/>
    <w:qFormat/>
    <w:uiPriority w:val="0"/>
    <w:rPr>
      <w:b/>
    </w:rPr>
  </w:style>
  <w:style w:type="character" w:customStyle="1" w:styleId="13">
    <w:name w:val="NormalCharacter"/>
    <w:link w:val="1"/>
    <w:qFormat/>
    <w:uiPriority w:val="0"/>
  </w:style>
  <w:style w:type="table" w:customStyle="1" w:styleId="14">
    <w:name w:val="TableNormal"/>
    <w:qFormat/>
    <w:uiPriority w:val="0"/>
  </w:style>
  <w:style w:type="character" w:customStyle="1" w:styleId="15">
    <w:name w:val="PageNumber"/>
    <w:basedOn w:val="13"/>
    <w:link w:val="1"/>
    <w:qFormat/>
    <w:uiPriority w:val="0"/>
  </w:style>
  <w:style w:type="paragraph" w:customStyle="1" w:styleId="16">
    <w:name w:val="BodyText"/>
    <w:basedOn w:val="1"/>
    <w:qFormat/>
    <w:uiPriority w:val="0"/>
    <w:pPr>
      <w:ind w:left="106"/>
      <w:jc w:val="left"/>
      <w:textAlignment w:val="baseline"/>
    </w:pPr>
    <w:rPr>
      <w:rFonts w:ascii="仿宋_GB2312" w:hAnsi="Times New Roman" w:eastAsia="仿宋_GB2312"/>
      <w:kern w:val="0"/>
      <w:sz w:val="32"/>
      <w:szCs w:val="32"/>
      <w:lang w:val="en-US" w:eastAsia="zh-CN" w:bidi="ar-SA"/>
    </w:rPr>
  </w:style>
  <w:style w:type="paragraph" w:customStyle="1" w:styleId="17">
    <w:name w:val="HtmlNormal"/>
    <w:basedOn w:val="1"/>
    <w:qFormat/>
    <w:uiPriority w:val="0"/>
    <w:pPr>
      <w:jc w:val="left"/>
      <w:textAlignment w:val="baseline"/>
    </w:pPr>
    <w:rPr>
      <w:rFonts w:ascii="Calibri" w:hAnsi="Calibri" w:eastAsia="宋体"/>
      <w:kern w:val="0"/>
      <w:sz w:val="24"/>
      <w:szCs w:val="24"/>
      <w:lang w:val="en-US" w:eastAsia="zh-CN" w:bidi="ar-SA"/>
    </w:rPr>
  </w:style>
  <w:style w:type="table" w:customStyle="1" w:styleId="18">
    <w:name w:val="TableGrid"/>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13209</Words>
  <Characters>14291</Characters>
  <TotalTime>14</TotalTime>
  <ScaleCrop>false</ScaleCrop>
  <LinksUpToDate>false</LinksUpToDate>
  <CharactersWithSpaces>14703</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2022-06-20T09:00:00Z</dcterms:created>
  <dc:creator>Administrator</dc:creator>
  <cp:lastModifiedBy>等风的旗</cp:lastModifiedBy>
  <cp:lastPrinted>2022-07-14T01:36:00Z</cp:lastPrinted>
  <dcterms:modified xsi:type="dcterms:W3CDTF">2022-10-10T08:07:41Z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91292F8DD1D04CFE9928EFE7E92525B6</vt:lpwstr>
  </property>
</Properties>
</file>