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D277">
      <w:pPr>
        <w:spacing w:line="291" w:lineRule="auto"/>
      </w:pPr>
      <w:bookmarkStart w:id="0" w:name="_GoBack"/>
      <w:bookmarkEnd w:id="0"/>
    </w:p>
    <w:p w14:paraId="26F5B26D">
      <w:pPr>
        <w:spacing w:before="202" w:line="260" w:lineRule="auto"/>
        <w:ind w:right="748"/>
        <w:jc w:val="center"/>
        <w:rPr>
          <w:rFonts w:ascii="微软雅黑" w:hAnsi="微软雅黑" w:eastAsia="微软雅黑" w:cs="微软雅黑"/>
          <w:sz w:val="47"/>
          <w:szCs w:val="47"/>
          <w:lang w:eastAsia="zh-CN"/>
        </w:rPr>
      </w:pPr>
      <w:r>
        <w:rPr>
          <w:rFonts w:hint="eastAsia" w:ascii="Times New Roman" w:hAnsi="Times New Roman" w:eastAsia="Times New Roman" w:cs="Times New Roman"/>
          <w:sz w:val="47"/>
          <w:szCs w:val="47"/>
          <w:lang w:val="en-US" w:eastAsia="zh-CN"/>
        </w:rPr>
        <w:t>2024</w:t>
      </w:r>
      <w:r>
        <w:rPr>
          <w:rFonts w:ascii="微软雅黑" w:hAnsi="微软雅黑" w:eastAsia="微软雅黑" w:cs="微软雅黑"/>
          <w:sz w:val="47"/>
          <w:szCs w:val="47"/>
          <w:lang w:eastAsia="zh-CN"/>
        </w:rPr>
        <w:t>年度</w:t>
      </w:r>
      <w:r>
        <w:rPr>
          <w:rFonts w:hint="eastAsia" w:ascii="微软雅黑" w:hAnsi="微软雅黑" w:eastAsia="微软雅黑" w:cs="微软雅黑"/>
          <w:sz w:val="47"/>
          <w:szCs w:val="47"/>
          <w:lang w:val="en-US" w:eastAsia="zh-CN"/>
        </w:rPr>
        <w:t>流光岭镇人民政府</w:t>
      </w:r>
      <w:r>
        <w:rPr>
          <w:rFonts w:ascii="微软雅黑" w:hAnsi="微软雅黑" w:eastAsia="微软雅黑" w:cs="微软雅黑"/>
          <w:sz w:val="47"/>
          <w:szCs w:val="47"/>
          <w:lang w:eastAsia="zh-CN"/>
        </w:rPr>
        <w:t>整体支出 绩效自评报告</w:t>
      </w:r>
    </w:p>
    <w:p w14:paraId="7272B94A">
      <w:pPr>
        <w:spacing w:line="242" w:lineRule="auto"/>
        <w:rPr>
          <w:lang w:eastAsia="zh-CN"/>
        </w:rPr>
      </w:pPr>
    </w:p>
    <w:p w14:paraId="528B29AC">
      <w:pPr>
        <w:spacing w:line="242" w:lineRule="auto"/>
        <w:rPr>
          <w:lang w:eastAsia="zh-CN"/>
        </w:rPr>
      </w:pPr>
    </w:p>
    <w:p w14:paraId="4D621A5E">
      <w:pPr>
        <w:spacing w:line="242" w:lineRule="auto"/>
        <w:rPr>
          <w:lang w:eastAsia="zh-CN"/>
        </w:rPr>
      </w:pPr>
    </w:p>
    <w:p w14:paraId="72711B34">
      <w:pPr>
        <w:spacing w:line="242" w:lineRule="auto"/>
        <w:rPr>
          <w:lang w:eastAsia="zh-CN"/>
        </w:rPr>
      </w:pPr>
    </w:p>
    <w:p w14:paraId="5546539C">
      <w:pPr>
        <w:spacing w:line="242" w:lineRule="auto"/>
        <w:rPr>
          <w:lang w:eastAsia="zh-CN"/>
        </w:rPr>
      </w:pPr>
    </w:p>
    <w:p w14:paraId="3022DF46">
      <w:pPr>
        <w:spacing w:line="242" w:lineRule="auto"/>
        <w:rPr>
          <w:lang w:eastAsia="zh-CN"/>
        </w:rPr>
      </w:pPr>
    </w:p>
    <w:p w14:paraId="2A8DEA40">
      <w:pPr>
        <w:spacing w:line="242" w:lineRule="auto"/>
        <w:rPr>
          <w:lang w:eastAsia="zh-CN"/>
        </w:rPr>
      </w:pPr>
    </w:p>
    <w:p w14:paraId="768BFC77">
      <w:pPr>
        <w:spacing w:line="243" w:lineRule="auto"/>
        <w:rPr>
          <w:lang w:eastAsia="zh-CN"/>
        </w:rPr>
      </w:pPr>
    </w:p>
    <w:p w14:paraId="72B58038">
      <w:pPr>
        <w:spacing w:line="243" w:lineRule="auto"/>
        <w:rPr>
          <w:lang w:eastAsia="zh-CN"/>
        </w:rPr>
      </w:pPr>
    </w:p>
    <w:p w14:paraId="6DF8B022">
      <w:pPr>
        <w:spacing w:line="243" w:lineRule="auto"/>
        <w:rPr>
          <w:lang w:eastAsia="zh-CN"/>
        </w:rPr>
      </w:pPr>
    </w:p>
    <w:p w14:paraId="7E0634E2">
      <w:pPr>
        <w:spacing w:line="243" w:lineRule="auto"/>
        <w:rPr>
          <w:lang w:eastAsia="zh-CN"/>
        </w:rPr>
      </w:pPr>
    </w:p>
    <w:p w14:paraId="0F298BD9">
      <w:pPr>
        <w:spacing w:line="243" w:lineRule="auto"/>
        <w:rPr>
          <w:lang w:eastAsia="zh-CN"/>
        </w:rPr>
      </w:pPr>
    </w:p>
    <w:p w14:paraId="29149897">
      <w:pPr>
        <w:spacing w:line="243" w:lineRule="auto"/>
        <w:rPr>
          <w:lang w:eastAsia="zh-CN"/>
        </w:rPr>
      </w:pPr>
    </w:p>
    <w:p w14:paraId="268697AB">
      <w:pPr>
        <w:spacing w:line="243" w:lineRule="auto"/>
        <w:rPr>
          <w:lang w:eastAsia="zh-CN"/>
        </w:rPr>
      </w:pPr>
    </w:p>
    <w:p w14:paraId="1E548633">
      <w:pPr>
        <w:spacing w:line="243" w:lineRule="auto"/>
        <w:rPr>
          <w:lang w:eastAsia="zh-CN"/>
        </w:rPr>
      </w:pPr>
    </w:p>
    <w:p w14:paraId="2F7C0EF4">
      <w:pPr>
        <w:spacing w:line="243" w:lineRule="auto"/>
        <w:rPr>
          <w:lang w:eastAsia="zh-CN"/>
        </w:rPr>
      </w:pPr>
    </w:p>
    <w:p w14:paraId="6C80FA60">
      <w:pPr>
        <w:spacing w:line="243" w:lineRule="auto"/>
        <w:rPr>
          <w:lang w:eastAsia="zh-CN"/>
        </w:rPr>
      </w:pPr>
    </w:p>
    <w:p w14:paraId="732DFBA1">
      <w:pPr>
        <w:spacing w:line="243" w:lineRule="auto"/>
        <w:rPr>
          <w:lang w:eastAsia="zh-CN"/>
        </w:rPr>
      </w:pPr>
    </w:p>
    <w:p w14:paraId="744DC7BC">
      <w:pPr>
        <w:spacing w:line="243" w:lineRule="auto"/>
        <w:rPr>
          <w:lang w:eastAsia="zh-CN"/>
        </w:rPr>
      </w:pPr>
    </w:p>
    <w:p w14:paraId="3C25FEB1">
      <w:pPr>
        <w:spacing w:line="243" w:lineRule="auto"/>
        <w:rPr>
          <w:lang w:eastAsia="zh-CN"/>
        </w:rPr>
      </w:pPr>
    </w:p>
    <w:p w14:paraId="4C27D763">
      <w:pPr>
        <w:spacing w:line="243" w:lineRule="auto"/>
        <w:rPr>
          <w:lang w:eastAsia="zh-CN"/>
        </w:rPr>
      </w:pPr>
    </w:p>
    <w:p w14:paraId="614F9D3A">
      <w:pPr>
        <w:spacing w:line="243" w:lineRule="auto"/>
        <w:rPr>
          <w:lang w:eastAsia="zh-CN"/>
        </w:rPr>
      </w:pPr>
    </w:p>
    <w:p w14:paraId="637D94F7">
      <w:pPr>
        <w:spacing w:line="243" w:lineRule="auto"/>
        <w:rPr>
          <w:lang w:eastAsia="zh-CN"/>
        </w:rPr>
      </w:pPr>
    </w:p>
    <w:p w14:paraId="2A19B8B8">
      <w:pPr>
        <w:spacing w:line="243" w:lineRule="auto"/>
        <w:rPr>
          <w:lang w:eastAsia="zh-CN"/>
        </w:rPr>
      </w:pPr>
    </w:p>
    <w:p w14:paraId="28376653">
      <w:pPr>
        <w:spacing w:line="243" w:lineRule="auto"/>
        <w:rPr>
          <w:lang w:eastAsia="zh-CN"/>
        </w:rPr>
      </w:pPr>
    </w:p>
    <w:p w14:paraId="2973900B">
      <w:pPr>
        <w:spacing w:line="243" w:lineRule="auto"/>
        <w:rPr>
          <w:lang w:eastAsia="zh-CN"/>
        </w:rPr>
      </w:pPr>
    </w:p>
    <w:p w14:paraId="671FE16E">
      <w:pPr>
        <w:spacing w:before="114" w:line="227" w:lineRule="auto"/>
        <w:ind w:left="2929"/>
        <w:rPr>
          <w:rFonts w:ascii="黑体" w:hAnsi="黑体" w:eastAsia="黑体" w:cs="黑体"/>
          <w:sz w:val="35"/>
          <w:szCs w:val="35"/>
          <w:lang w:eastAsia="zh-CN"/>
        </w:rPr>
      </w:pPr>
      <w:r>
        <w:rPr>
          <w:rFonts w:ascii="黑体" w:hAnsi="黑体" w:eastAsia="黑体" w:cs="黑体"/>
          <w:sz w:val="35"/>
          <w:szCs w:val="35"/>
          <w:lang w:eastAsia="zh-CN"/>
        </w:rPr>
        <w:t>单位名称（盖章）：</w:t>
      </w:r>
    </w:p>
    <w:p w14:paraId="0E9AF672">
      <w:pPr>
        <w:spacing w:line="227" w:lineRule="auto"/>
        <w:rPr>
          <w:rFonts w:ascii="黑体" w:hAnsi="黑体" w:eastAsia="黑体" w:cs="黑体"/>
          <w:sz w:val="35"/>
          <w:szCs w:val="35"/>
          <w:lang w:eastAsia="zh-CN"/>
        </w:rPr>
        <w:sectPr>
          <w:pgSz w:w="11906" w:h="16839"/>
          <w:pgMar w:top="1431" w:right="1785" w:bottom="403" w:left="1785" w:header="851" w:footer="851" w:gutter="0"/>
          <w:cols w:space="720" w:num="1"/>
        </w:sectPr>
      </w:pPr>
    </w:p>
    <w:p w14:paraId="71E58D73">
      <w:pPr>
        <w:spacing w:line="640" w:lineRule="exact"/>
        <w:ind w:firstLine="960" w:firstLineChars="300"/>
        <w:outlineLvl w:val="2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一、基本情况</w:t>
      </w:r>
    </w:p>
    <w:p w14:paraId="4667C592">
      <w:pPr>
        <w:pStyle w:val="6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一、部门职责</w:t>
      </w:r>
    </w:p>
    <w:p w14:paraId="7ACC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5" w:lineRule="exact"/>
        <w:ind w:firstLine="744" w:firstLineChars="200"/>
        <w:textAlignment w:val="auto"/>
        <w:rPr>
          <w:rFonts w:hint="eastAsia" w:ascii="仿宋" w:hAnsi="仿宋" w:eastAsia="仿宋" w:cs="仿宋"/>
          <w:color w:val="000000"/>
          <w:spacing w:val="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6"/>
          <w:kern w:val="0"/>
          <w:sz w:val="32"/>
          <w:szCs w:val="32"/>
        </w:rPr>
        <w:t>1、宣传、贯彻党的方针政策和国家法律法规，执行上级党委、政府的指示、决议和</w:t>
      </w:r>
      <w:r>
        <w:rPr>
          <w:rFonts w:hint="eastAsia" w:ascii="仿宋" w:hAnsi="仿宋" w:eastAsia="仿宋" w:cs="仿宋"/>
          <w:color w:val="000000"/>
          <w:spacing w:val="33"/>
          <w:kern w:val="0"/>
          <w:sz w:val="32"/>
          <w:szCs w:val="32"/>
        </w:rPr>
        <w:t>决定，在职权范围内发布命令、决定，完成上级下达的各项经济指标和工作任务。</w:t>
      </w:r>
    </w:p>
    <w:p w14:paraId="2CC4E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5" w:lineRule="exact"/>
        <w:ind w:firstLine="728" w:firstLineChars="200"/>
        <w:textAlignment w:val="auto"/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2"/>
          <w:kern w:val="0"/>
          <w:sz w:val="32"/>
          <w:szCs w:val="32"/>
        </w:rPr>
        <w:t>2、在</w:t>
      </w:r>
      <w:r>
        <w:rPr>
          <w:rFonts w:hint="eastAsia" w:ascii="仿宋" w:hAnsi="仿宋" w:eastAsia="仿宋" w:cs="仿宋"/>
          <w:color w:val="000000"/>
          <w:spacing w:val="22"/>
          <w:kern w:val="0"/>
          <w:sz w:val="32"/>
          <w:szCs w:val="32"/>
          <w:lang w:val="en-US" w:eastAsia="zh-CN"/>
        </w:rPr>
        <w:t>乡镇</w:t>
      </w:r>
      <w:r>
        <w:rPr>
          <w:rFonts w:hint="eastAsia" w:ascii="仿宋" w:hAnsi="仿宋" w:eastAsia="仿宋" w:cs="仿宋"/>
          <w:color w:val="000000"/>
          <w:spacing w:val="22"/>
          <w:kern w:val="0"/>
          <w:sz w:val="32"/>
          <w:szCs w:val="32"/>
        </w:rPr>
        <w:t>党委的统一领导下，行使</w:t>
      </w:r>
      <w:r>
        <w:rPr>
          <w:rFonts w:hint="eastAsia" w:ascii="仿宋" w:hAnsi="仿宋" w:eastAsia="仿宋" w:cs="仿宋"/>
          <w:color w:val="000000"/>
          <w:spacing w:val="22"/>
          <w:kern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pacing w:val="22"/>
          <w:kern w:val="0"/>
          <w:sz w:val="32"/>
          <w:szCs w:val="32"/>
        </w:rPr>
        <w:t>政府赋予的权力，负责辖区的行政管理工作，</w:t>
      </w: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  <w:t>执行上级人民代表大会决议。</w:t>
      </w:r>
    </w:p>
    <w:p w14:paraId="18CD0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5" w:lineRule="exact"/>
        <w:ind w:firstLine="728" w:firstLineChars="200"/>
        <w:textAlignment w:val="auto"/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2"/>
          <w:kern w:val="0"/>
          <w:sz w:val="32"/>
          <w:szCs w:val="32"/>
        </w:rPr>
        <w:t>3、负责制订并实施职权范围内的工作计划、工作制度以及完成计划的行政措施，领</w:t>
      </w: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  <w:t>导和监督机关各部门按时、保质、保量完成工作任务。</w:t>
      </w:r>
    </w:p>
    <w:p w14:paraId="030F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728" w:firstLineChars="200"/>
        <w:textAlignment w:val="auto"/>
        <w:rPr>
          <w:rFonts w:hint="eastAsia" w:ascii="仿宋" w:hAnsi="仿宋" w:eastAsia="仿宋" w:cs="仿宋"/>
          <w:color w:val="000000"/>
          <w:spacing w:val="6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2"/>
          <w:kern w:val="0"/>
          <w:sz w:val="32"/>
          <w:szCs w:val="32"/>
        </w:rPr>
        <w:t>4、负责管理经济和社会事务，开展科技兴农、兴企工作，完成农业、工业生产指标</w:t>
      </w:r>
      <w:r>
        <w:rPr>
          <w:rFonts w:hint="eastAsia" w:ascii="仿宋" w:hAnsi="仿宋" w:eastAsia="仿宋" w:cs="仿宋"/>
          <w:color w:val="000000"/>
          <w:spacing w:val="64"/>
          <w:kern w:val="0"/>
          <w:sz w:val="32"/>
          <w:szCs w:val="32"/>
        </w:rPr>
        <w:t>及其他各项工作任务，积极发展社区服务业，发展多元的</w:t>
      </w:r>
      <w:r>
        <w:rPr>
          <w:rFonts w:hint="eastAsia" w:ascii="仿宋" w:hAnsi="仿宋" w:eastAsia="仿宋" w:cs="仿宋"/>
          <w:color w:val="000000"/>
          <w:spacing w:val="64"/>
          <w:kern w:val="0"/>
          <w:sz w:val="32"/>
          <w:szCs w:val="32"/>
          <w:lang w:val="en-US" w:eastAsia="zh-CN"/>
        </w:rPr>
        <w:t>乡镇</w:t>
      </w:r>
      <w:r>
        <w:rPr>
          <w:rFonts w:hint="eastAsia" w:ascii="仿宋" w:hAnsi="仿宋" w:eastAsia="仿宋" w:cs="仿宋"/>
          <w:color w:val="000000"/>
          <w:spacing w:val="64"/>
          <w:kern w:val="0"/>
          <w:sz w:val="32"/>
          <w:szCs w:val="32"/>
        </w:rPr>
        <w:t>经济。</w:t>
      </w:r>
    </w:p>
    <w:p w14:paraId="4D67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724" w:firstLineChars="200"/>
        <w:textAlignment w:val="auto"/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1"/>
          <w:kern w:val="0"/>
          <w:sz w:val="32"/>
          <w:szCs w:val="32"/>
        </w:rPr>
        <w:t>5、加强社会治安综合治理，做好外来人口管理、青少年教育、做好武装工作；落实</w:t>
      </w:r>
      <w:r>
        <w:rPr>
          <w:rFonts w:hint="eastAsia" w:ascii="仿宋" w:hAnsi="仿宋" w:eastAsia="仿宋" w:cs="仿宋"/>
          <w:color w:val="000000"/>
          <w:spacing w:val="24"/>
          <w:kern w:val="0"/>
          <w:sz w:val="32"/>
          <w:szCs w:val="32"/>
        </w:rPr>
        <w:t>人口计划指标，加强流动人口计生管理，搞好计生工作；做好拥军优属、社会救济等基</w:t>
      </w: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  <w:t>层社会保障工作。</w:t>
      </w:r>
    </w:p>
    <w:p w14:paraId="29379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736" w:firstLineChars="200"/>
        <w:textAlignment w:val="auto"/>
        <w:rPr>
          <w:rFonts w:hint="eastAsia" w:ascii="仿宋" w:hAnsi="仿宋" w:eastAsia="仿宋" w:cs="仿宋"/>
          <w:color w:val="000000"/>
          <w:spacing w:val="2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4"/>
          <w:kern w:val="0"/>
          <w:sz w:val="32"/>
          <w:szCs w:val="32"/>
        </w:rPr>
        <w:t>6、做好社区教育、文化、体育活动的组织指导和协调工作，协助做好侨台事务。</w:t>
      </w:r>
    </w:p>
    <w:p w14:paraId="2C8B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804" w:firstLineChars="200"/>
        <w:textAlignment w:val="auto"/>
        <w:rPr>
          <w:rFonts w:hint="eastAsia" w:ascii="仿宋" w:hAnsi="仿宋" w:eastAsia="仿宋" w:cs="仿宋"/>
          <w:color w:val="000000"/>
          <w:spacing w:val="4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41"/>
          <w:kern w:val="0"/>
          <w:sz w:val="32"/>
          <w:szCs w:val="32"/>
        </w:rPr>
        <w:t>7、编制</w:t>
      </w:r>
      <w:r>
        <w:rPr>
          <w:rFonts w:hint="eastAsia" w:ascii="仿宋" w:hAnsi="仿宋" w:eastAsia="仿宋" w:cs="仿宋"/>
          <w:color w:val="000000"/>
          <w:spacing w:val="41"/>
          <w:kern w:val="0"/>
          <w:sz w:val="32"/>
          <w:szCs w:val="32"/>
          <w:lang w:val="en-US" w:eastAsia="zh-CN"/>
        </w:rPr>
        <w:t>乡镇</w:t>
      </w:r>
      <w:r>
        <w:rPr>
          <w:rFonts w:hint="eastAsia" w:ascii="仿宋" w:hAnsi="仿宋" w:eastAsia="仿宋" w:cs="仿宋"/>
          <w:color w:val="000000"/>
          <w:spacing w:val="41"/>
          <w:kern w:val="0"/>
          <w:sz w:val="32"/>
          <w:szCs w:val="32"/>
        </w:rPr>
        <w:t>年度财政预、决算，管理、审查、监督村（居）委会财务。</w:t>
      </w:r>
    </w:p>
    <w:p w14:paraId="33633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708" w:firstLineChars="200"/>
        <w:textAlignment w:val="auto"/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7"/>
          <w:kern w:val="0"/>
          <w:sz w:val="32"/>
          <w:szCs w:val="32"/>
        </w:rPr>
        <w:t>8、指导、协调村（居）委会发展经济，帮助基层解决实际困难，及时向</w:t>
      </w:r>
      <w:r>
        <w:rPr>
          <w:rFonts w:hint="eastAsia" w:ascii="仿宋" w:hAnsi="仿宋" w:eastAsia="仿宋" w:cs="仿宋"/>
          <w:color w:val="000000"/>
          <w:spacing w:val="17"/>
          <w:kern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pacing w:val="17"/>
          <w:kern w:val="0"/>
          <w:sz w:val="32"/>
          <w:szCs w:val="32"/>
        </w:rPr>
        <w:t>政府反映群</w:t>
      </w: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  <w:t>众意见和要求，处理人民来信来访。</w:t>
      </w:r>
    </w:p>
    <w:p w14:paraId="3584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768" w:firstLineChars="200"/>
        <w:textAlignment w:val="auto"/>
        <w:rPr>
          <w:rFonts w:hint="eastAsia" w:ascii="仿宋" w:hAnsi="仿宋" w:eastAsia="仿宋" w:cs="仿宋"/>
          <w:color w:val="000000"/>
          <w:spacing w:val="3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32"/>
          <w:kern w:val="0"/>
          <w:sz w:val="32"/>
          <w:szCs w:val="32"/>
        </w:rPr>
        <w:t>9、协助产业园做好征地拆迁和招商引资工作，及时处理各种工农矛盾。</w:t>
      </w:r>
    </w:p>
    <w:p w14:paraId="4ED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firstLine="696" w:firstLineChars="200"/>
        <w:textAlignment w:val="auto"/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  <w:t>10、承办</w:t>
      </w: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  <w:t>委、</w:t>
      </w: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pacing w:val="14"/>
          <w:kern w:val="0"/>
          <w:sz w:val="32"/>
          <w:szCs w:val="32"/>
        </w:rPr>
        <w:t>政府交办的其他工作。</w:t>
      </w:r>
    </w:p>
    <w:p w14:paraId="67554F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邵东市流光岭镇人民政府</w:t>
      </w:r>
      <w:r>
        <w:rPr>
          <w:rFonts w:hint="eastAsia" w:ascii="仿宋" w:hAnsi="仿宋" w:eastAsia="仿宋" w:cs="仿宋"/>
          <w:sz w:val="32"/>
          <w:szCs w:val="32"/>
        </w:rPr>
        <w:t>下设内设机构分别是人大事务、政协事务、财政事务、纪检、组织、卫计、农业、武装、政法、统战、宣传、妇联、工会、扶贫、统计、重点项目、信访维稳、劳动就业、工业城建、文化广播、环境卫生整治、其他事务等。</w:t>
      </w:r>
    </w:p>
    <w:p w14:paraId="0850F720">
      <w:pPr>
        <w:widowControl/>
        <w:spacing w:line="600" w:lineRule="exact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二、机构设置及决算单位构成</w:t>
      </w:r>
    </w:p>
    <w:p w14:paraId="3F666AAD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本单位内设机构包括：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政府，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便民服务中心，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3、行政执法大队，4、农业综合服务站，5、社会事务中心，6、敬老院，7、财政所，8、退役军人事务服务站。</w:t>
      </w:r>
    </w:p>
    <w:p w14:paraId="6FE157E8">
      <w:pPr>
        <w:pStyle w:val="7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 w:bidi="ar-SA"/>
        </w:rPr>
        <w:t>2024年度本年财政拨款收入1860.13万元，本年财政拨款支出1860.13万元，财政财务管理制度及执行情况良好。</w:t>
      </w:r>
    </w:p>
    <w:p w14:paraId="692D1228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ascii="黑体" w:hAnsi="黑体" w:eastAsia="黑体" w:cs="黑体"/>
          <w:sz w:val="32"/>
          <w:szCs w:val="32"/>
          <w:lang w:eastAsia="zh-CN"/>
        </w:rPr>
        <w:t>、部门整体支出绩效情况</w:t>
      </w:r>
    </w:p>
    <w:p w14:paraId="6556BDB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部门整体支出绩效情况</w:t>
      </w:r>
    </w:p>
    <w:p w14:paraId="7E4924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2024年我单位基本实现整体支出绩效目标，并从运行成本、管理效率、履职效能、绩效目标管理等方面对2024年部门整体支出绩效</w:t>
      </w:r>
      <w:r>
        <w:rPr>
          <w:rFonts w:hint="eastAsia" w:ascii="Times New Roman" w:hAnsi="Times New Roman" w:eastAsia="仿宋_GB2312"/>
          <w:sz w:val="32"/>
          <w:szCs w:val="32"/>
        </w:rPr>
        <w:t>开展了评价，具体情况如下：  </w:t>
      </w:r>
    </w:p>
    <w:p w14:paraId="1DF90F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运行成本</w:t>
      </w:r>
      <w:r>
        <w:rPr>
          <w:rFonts w:hint="eastAsia" w:ascii="Times New Roman" w:hAnsi="Times New Roman" w:eastAsia="仿宋_GB2312"/>
          <w:sz w:val="32"/>
          <w:szCs w:val="32"/>
        </w:rPr>
        <w:t>方面</w:t>
      </w:r>
    </w:p>
    <w:p w14:paraId="4A715B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执行严格的财务制度，控制运行成本，效果良好，部门经济支出分类核算准确、合理。</w:t>
      </w:r>
    </w:p>
    <w:p w14:paraId="4F50E5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管理效率</w:t>
      </w:r>
      <w:r>
        <w:rPr>
          <w:rFonts w:hint="eastAsia" w:ascii="Times New Roman" w:hAnsi="Times New Roman" w:eastAsia="仿宋_GB2312"/>
          <w:sz w:val="32"/>
          <w:szCs w:val="32"/>
        </w:rPr>
        <w:t>方面 </w:t>
      </w:r>
    </w:p>
    <w:p w14:paraId="7712705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加强经费合法合规性审核和预算控制，资金使用合法合规，支出手续齐全，程序到位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。资产管理规范安全，各项资产保存完整，对使用的资产进行经常性核对，有效防止国有资产的流失。</w:t>
      </w:r>
    </w:p>
    <w:p w14:paraId="7F14CE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履职效能方面</w:t>
      </w:r>
    </w:p>
    <w:p w14:paraId="373BBA2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围绕年度工作和部门职能，立足实际，扎实工作，有效促进各项工作的推进和发展，推动镇域经济社会环境效益的不断产出。</w:t>
      </w:r>
    </w:p>
    <w:p w14:paraId="5FA878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</w:rPr>
        <w:t>绩效目标管理方面</w:t>
      </w:r>
    </w:p>
    <w:p w14:paraId="0C4D0F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我单位严格按照年初设立的工作任务和财政支出重点方向，确立开展年度重点评价预算项目，形成评价报告</w:t>
      </w:r>
      <w:r>
        <w:rPr>
          <w:rFonts w:hint="eastAsia" w:ascii="宋体" w:hAnsi="宋体" w:eastAsia="宋体"/>
          <w:sz w:val="32"/>
          <w:szCs w:val="32"/>
        </w:rPr>
        <w:t>。</w:t>
      </w:r>
    </w:p>
    <w:p w14:paraId="515711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</w:p>
    <w:p w14:paraId="545746CD"/>
    <w:p w14:paraId="4B06516C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ascii="黑体" w:hAnsi="黑体" w:eastAsia="黑体" w:cs="黑体"/>
          <w:sz w:val="32"/>
          <w:szCs w:val="32"/>
          <w:lang w:eastAsia="zh-CN"/>
        </w:rPr>
        <w:t>、存在的问题及原因分析</w:t>
      </w:r>
    </w:p>
    <w:p w14:paraId="40041FC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1.管理制度不完善，绩效管理制度不健全。</w:t>
      </w:r>
    </w:p>
    <w:p w14:paraId="05D762F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2.绩效评价工作未能全面开展宣传培训，自评覆盖率低，绩效评价质量不高。</w:t>
      </w:r>
    </w:p>
    <w:p w14:paraId="2E33D3F2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sz w:val="32"/>
          <w:szCs w:val="32"/>
          <w:lang w:eastAsia="zh-CN"/>
        </w:rPr>
        <w:t>、下一步改进措施</w:t>
      </w:r>
    </w:p>
    <w:p w14:paraId="71F3FAB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加强队伍建设及相关业务知识，严格执行预算，提高预算编制的科学性及合理性，为资金管理及绩效评价工作开展创造好的条件。</w:t>
      </w:r>
    </w:p>
    <w:p w14:paraId="22B214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严格按照绩效管理及考核相关工作细化、量化，做准基本支出预算，作全项目支出预算。</w:t>
      </w:r>
    </w:p>
    <w:p w14:paraId="07607EC3">
      <w:pPr>
        <w:rPr>
          <w:rFonts w:hint="eastAsia"/>
        </w:rPr>
      </w:pPr>
    </w:p>
    <w:p w14:paraId="54C196E5"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邵东市流光岭镇人民政府</w:t>
      </w:r>
    </w:p>
    <w:p w14:paraId="63287224"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       2</w:t>
      </w:r>
    </w:p>
    <w:p w14:paraId="649A6735">
      <w:pPr>
        <w:rPr>
          <w:rFonts w:hint="eastAsia"/>
        </w:rPr>
      </w:pPr>
    </w:p>
    <w:p w14:paraId="7197A351">
      <w:pPr>
        <w:rPr>
          <w:rFonts w:hint="eastAsia"/>
        </w:rPr>
      </w:pPr>
    </w:p>
    <w:p w14:paraId="0E4CBEA5">
      <w:pPr>
        <w:rPr>
          <w:rFonts w:hint="eastAsia"/>
        </w:rPr>
      </w:pPr>
    </w:p>
    <w:p w14:paraId="6AB1DD74">
      <w:pPr>
        <w:rPr>
          <w:rFonts w:hint="eastAsia"/>
        </w:rPr>
      </w:pPr>
    </w:p>
    <w:p w14:paraId="29434254">
      <w:pPr>
        <w:rPr>
          <w:rFonts w:hint="eastAsia"/>
        </w:rPr>
      </w:pPr>
    </w:p>
    <w:p w14:paraId="74961CF6">
      <w:pPr>
        <w:rPr>
          <w:rFonts w:hint="eastAsia"/>
        </w:rPr>
      </w:pPr>
    </w:p>
    <w:p w14:paraId="3A544E41">
      <w:pPr>
        <w:rPr>
          <w:rFonts w:hint="eastAsia"/>
        </w:rPr>
      </w:pPr>
    </w:p>
    <w:p w14:paraId="1A110904">
      <w:pPr>
        <w:rPr>
          <w:rFonts w:hint="eastAsia"/>
        </w:rPr>
      </w:pPr>
    </w:p>
    <w:p w14:paraId="74E64CE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35F2"/>
    <w:rsid w:val="0DC827F7"/>
    <w:rsid w:val="26531343"/>
    <w:rsid w:val="2C1A7555"/>
    <w:rsid w:val="48E806ED"/>
    <w:rsid w:val="6A43168A"/>
    <w:rsid w:val="7E4E7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List Paragraph_e859cc04-c854-4906-a69a-2c380d4e37d9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1333</Words>
  <Characters>1360</Characters>
  <Lines>0</Lines>
  <Paragraphs>0</Paragraphs>
  <TotalTime>0</TotalTime>
  <ScaleCrop>false</ScaleCrop>
  <LinksUpToDate>false</LinksUpToDate>
  <CharactersWithSpaces>1449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WPS_1714963044</cp:lastModifiedBy>
  <cp:lastPrinted>2025-04-27T07:30:07Z</cp:lastPrinted>
  <dcterms:modified xsi:type="dcterms:W3CDTF">2025-11-03T01:39:41Z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eyJoZGlkIjoiYjQxZjU3YjhiMjc5YmUzMGQ4NWVlMjA3M2EzN2RkNDkiLCJ1c2VySWQiOiIzNzY3MzkxNDQifQ==</vt:lpwstr>
  </property>
  <property fmtid="{D5CDD505-2E9C-101B-9397-08002B2CF9AE}" pid="4" name="ICV">
    <vt:lpwstr>4F422C890E054639A4449745583F43BC_13</vt:lpwstr>
  </property>
</Properties>
</file>