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2019年度部门整体支出绩效评价报告</w:t>
      </w:r>
    </w:p>
    <w:p>
      <w:pPr>
        <w:pStyle w:val="6"/>
        <w:ind w:firstLine="0" w:firstLineChars="0"/>
        <w:jc w:val="center"/>
        <w:rPr>
          <w:rFonts w:hint="eastAsia" w:asciiTheme="majorEastAsia" w:hAnsiTheme="majorEastAsia" w:eastAsiaTheme="majorEastAsia" w:cstheme="majorEastAsia"/>
          <w:sz w:val="48"/>
          <w:szCs w:val="48"/>
          <w:lang w:val="en-US" w:eastAsia="zh-CN"/>
        </w:rPr>
      </w:pPr>
    </w:p>
    <w:p>
      <w:pPr>
        <w:pStyle w:val="6"/>
        <w:ind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一、部门职责</w:t>
      </w:r>
    </w:p>
    <w:p>
      <w:pPr>
        <w:pStyle w:val="2"/>
        <w:widowControl/>
        <w:shd w:val="clear" w:color="auto" w:fill="FFFFFF"/>
        <w:spacing w:before="150" w:after="150" w:line="435" w:lineRule="atLeast"/>
        <w:ind w:firstLine="560" w:firstLineChars="20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Cs/>
          <w:sz w:val="28"/>
          <w:szCs w:val="28"/>
        </w:rPr>
        <w:t>（1）制定和组织实施经济、科技和社会发展计划，制定资源开发技术改造和产业结构调整方案，组织指导好各业生产，搞好</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"https://www.baidu.com/s?wd=%E5%95%86%E5%93%81%E6%B5%81%E9%80%9A&amp;tn=44039180_cpr&amp;fenlei=mv6quAkxTZn0IZRqIHckPjm4nH00T1d9uycYnWwBPH6LP1Dzn1T40ZwV5Hcvrjm3rH6sPfKWUMw85HfYnjn4nH6sgvPsT6KdThsqpZwYTjCEQLGCpyw9Uz4Bmy-bIi4WUvYETgN-TLwGUv3EPH0vPjRzPjc4"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商品流通</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，协调好本乡镇与外地区的经济交流与合作，抓好招商引资，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"https://www.baidu.com/s?wd=%E4%BA%BA%E6%89%8D%E5%BC%95%E8%BF%9B&amp;tn=44039180_cpr&amp;fenlei=mv6quAkxTZn0IZRqIHckPjm4nH00T1d9uycYnWwBPH6LP1Dzn1T40ZwV5Hcvrjm3rH6sPfKWUMw85HfYnjn4nH6sgvPsT6KdThsqpZwYTjCEQLGCpyw9Uz4Bmy-bIi4WUvYETgN-TLwGUv3EPH0vPjRzPjc4"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人才</w:t>
      </w:r>
      <w:bookmarkStart w:id="0" w:name="_GoBack"/>
      <w:bookmarkEnd w:id="0"/>
      <w:r>
        <w:rPr>
          <w:rFonts w:hint="eastAsia" w:asciiTheme="minorEastAsia" w:hAnsiTheme="minorEastAsia" w:eastAsiaTheme="minorEastAsia" w:cstheme="minorEastAsia"/>
          <w:bCs/>
          <w:sz w:val="28"/>
          <w:szCs w:val="28"/>
        </w:rPr>
        <w:t>引进</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项目开发，不断培育市场体系，组织</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"https://www.baidu.com/s?wd=%E7%BB%8F%E6%B5%8E%E8%BF%90%E8%A1%8C&amp;tn=44039180_cpr&amp;fenlei=mv6quAkxTZn0IZRqIHckPjm4nH00T1d9uycYnWwBPH6LP1Dzn1T40ZwV5Hcvrjm3rH6sPfKWUMw85HfYnjn4nH6sgvPsT6KdThsqpZwYTjCEQLGCpyw9Uz4Bmy-bIi4WUvYETgN-TLwGUv3EPH0vPjRzPjc4"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经济运行</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，促进经济发展。</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2）制定并组织实施村镇建设规划，部署重点工程建设，地方道路建设及公共设施，水利设施的管理，负责土地、林木、水等自然资源和生态环境的保护，做好护林防火工作。（3）负责本行政区域内的民政、计划生育、</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"https://www.baidu.com/s?wd=%E6%96%87%E5%8C%96%E6%95%99%E8%82%B2&amp;tn=44039180_cpr&amp;fenlei=mv6quAkxTZn0IZRqIHckPjm4nH00T1d9uycYnWwBPH6LP1Dzn1T40ZwV5Hcvrjm3rH6sPfKWUMw85HfYnjn4nH6sgvPsT6KdThsqpZwYTjCEQLGCpyw9Uz4Bmy-bIi4WUvYETgN-TLwGUv3EPH0vPjRzPjc4"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文化教育</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、卫生、体育等社会公益事业的综合性工作，维护一切经济单位和个人的正当经济权益，取缔非法经济活动，调解和处理</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"https://www.baidu.com/s?wd=%E6%B0%91%E4%BA%8B%E7%BA%A0%E7%BA%B7&amp;tn=44039180_cpr&amp;fenlei=mv6quAkxTZn0IZRqIHckPjm4nH00T1d9uycYnWwBPH6LP1Dzn1T40ZwV5Hcvrjm3rH6sPfKWUMw85HfYnjn4nH6sgvPsT6KdThsqpZwYTjCEQLGCpyw9Uz4Bmy-bIi4WUvYETgN-TLwGUv3EPH0vPjRzPjc4"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民事纠纷</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，打击刑事犯罪维护社会稳定。（4）按计划组织本级财政收入和地方税的征收，完成国家财政计划，不断培植税源，管好财政资金，增强财政实力。（5）抓好精神文明建设，丰富</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"https://www.baidu.com/s?wd=%E7%BE%A4%E4%BC%97%E6%96%87%E5%8C%96&amp;tn=44039180_cpr&amp;fenlei=mv6quAkxTZn0IZRqIHckPjm4nH00T1d9uycYnWwBPH6LP1Dzn1T40ZwV5Hcvrjm3rH6sPfKWUMw85HfYnjn4nH6sgvPsT6KdThsqpZwYTjCEQLGCpyw9Uz4Bmy-bIi4WUvYETgN-TLwGUv3EPH0vPjRzPjc4" \t "https://zhidao.baidu.com/question/_blank"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群众文化</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生活，提倡移风易俗，反对封建迷信，破除陈规陋习，树立社会主义新风尚。（6）完成上级政府交办的其它事项。</w:t>
      </w:r>
    </w:p>
    <w:p>
      <w:pPr>
        <w:widowControl/>
        <w:spacing w:line="600" w:lineRule="exac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二、机构设置及决算单位构成</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rPr>
        <w:t>内设机构设置。本单位内设机构包括：</w:t>
      </w:r>
      <w:r>
        <w:rPr>
          <w:rFonts w:hint="eastAsia" w:asciiTheme="minorEastAsia" w:hAnsiTheme="minorEastAsia" w:eastAsiaTheme="minorEastAsia" w:cstheme="minorEastAsia"/>
          <w:sz w:val="28"/>
          <w:szCs w:val="28"/>
        </w:rPr>
        <w:t>政府机关下又设有：灵官殿镇财政所、灵官殿镇综合行政执法大队、灵官殿镇农业综合服务中心、灵官殿镇政务（便民）服务中心、灵官殿镇社会事务综合服务中心、灵官殿镇退役军人服务站。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000000"/>
          <w:spacing w:val="0"/>
          <w:kern w:val="0"/>
          <w:sz w:val="28"/>
          <w:szCs w:val="28"/>
          <w:shd w:val="clear" w:fill="FFFFFF"/>
          <w:lang w:val="en-US" w:eastAsia="zh-CN" w:bidi="ar"/>
        </w:rPr>
        <w:t>三、部门整体支出管理及使用情况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（一）、2019年部门决算收支完成情况。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56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1、收入：3669.75万元。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56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其中，一般公共预算财政拨款收入3669.75万元，其他收入0万元。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56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2、支出：3669.75万元。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560"/>
        <w:jc w:val="left"/>
        <w:rPr>
          <w:rFonts w:hint="eastAsia" w:asciiTheme="minorEastAsia" w:hAnsiTheme="minorEastAsia" w:eastAsiaTheme="minorEastAsia" w:cstheme="minorEastAsia"/>
          <w:b w:val="0"/>
          <w:i w:val="0"/>
          <w:caps w:val="0"/>
          <w:color w:val="333333"/>
          <w:spacing w:val="0"/>
          <w:sz w:val="28"/>
          <w:szCs w:val="28"/>
          <w:lang w:eastAsia="zh-CN"/>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其中，</w:t>
      </w:r>
      <w:r>
        <w:rPr>
          <w:rFonts w:hint="eastAsia" w:asciiTheme="minorEastAsia" w:hAnsiTheme="minorEastAsia" w:eastAsiaTheme="minorEastAsia" w:cstheme="minorEastAsia"/>
          <w:sz w:val="28"/>
          <w:szCs w:val="28"/>
        </w:rPr>
        <w:t>基本支出798.88万元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项目支出2870.8</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（二）、专项资金实际使用情况分析</w:t>
      </w:r>
    </w:p>
    <w:p>
      <w:pPr>
        <w:pStyle w:val="7"/>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w:t>
      </w:r>
      <w:r>
        <w:rPr>
          <w:rFonts w:hint="eastAsia" w:asciiTheme="minorEastAsia" w:hAnsiTheme="minorEastAsia" w:eastAsiaTheme="minorEastAsia" w:cstheme="minorEastAsia"/>
          <w:sz w:val="28"/>
          <w:szCs w:val="28"/>
        </w:rPr>
        <w:t>年度财政拨款支出3669.75万元，主要用于以下方面：一般公共服务（类）支出1061.65万元，占28.93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；公共安全（类）支出7.27万元，占 0.2%；教育（类）支出1.3万元，占0.04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科学技术（类）支出1万元，占0.03%；文化旅游体育与传媒（类）支出9.65万元，占0.26%；社会保障和就业（类）支出511.81万元，占13.95%；卫生健康（类）支出78.44万元，占2.14%；节能环保（类）支出32.21万元，占0.88%；城乡社区（类）支出40万元，占1.09%；农林水（类）支出1603.26万元，占43.69%；交通运输（类）支出238.01万元，占6.49%；自然资源海洋气象（类）等支出48.4万元，占1.32%；住房保障（类）支出5万元，占0.13%；灾害防治及应急管理（类）支出13.78万元，占0.37%；其他支出17.97万元，占0.48%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2019年项目支出投入281万元，年初预算数281万元，主要项目是城区综合整治经费17.6万元、法律服务及培训经费11.4万元、控违拆违经费27万元、对附属单位补助支出费用225万元。实际用262.35万元。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(三)、专项资金管理情况分析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我所认真贯彻落实从严从紧控制公务开支要求，从严控经费开支。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组会集体研究，保证资金使用合法合规，同时资金使用无截留、挤占、挪用、虚列支出等情况。我们单位还制定了</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管理制度，并严格执行相关财务制度，资金拨付严格坚持先做事、后验收、再拨付的原则。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000000"/>
          <w:spacing w:val="0"/>
          <w:sz w:val="28"/>
          <w:szCs w:val="28"/>
          <w:shd w:val="clear" w:fill="FFFFFF"/>
        </w:rPr>
        <w:t>四、资金绩效自评情况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从整体上看，2019 年我</w:t>
      </w:r>
      <w:r>
        <w:rPr>
          <w:rFonts w:hint="eastAsia" w:asciiTheme="minorEastAsia" w:hAnsiTheme="minorEastAsia" w:eastAsiaTheme="minorEastAsia" w:cstheme="minorEastAsia"/>
          <w:b w:val="0"/>
          <w:i w:val="0"/>
          <w:caps w:val="0"/>
          <w:color w:val="000000"/>
          <w:spacing w:val="0"/>
          <w:sz w:val="28"/>
          <w:szCs w:val="28"/>
          <w:shd w:val="clear" w:fill="FFFFFF"/>
          <w:lang w:eastAsia="zh-CN"/>
        </w:rPr>
        <w:t>单位</w:t>
      </w:r>
      <w:r>
        <w:rPr>
          <w:rFonts w:hint="eastAsia" w:asciiTheme="minorEastAsia" w:hAnsiTheme="minorEastAsia" w:eastAsiaTheme="minorEastAsia" w:cstheme="minorEastAsia"/>
          <w:b w:val="0"/>
          <w:i w:val="0"/>
          <w:caps w:val="0"/>
          <w:color w:val="000000"/>
          <w:spacing w:val="0"/>
          <w:sz w:val="28"/>
          <w:szCs w:val="28"/>
          <w:shd w:val="clear" w:fill="FFFFFF"/>
        </w:rPr>
        <w:t>资金运行维护决策正确，资金管理规范，项目管理到位，政策执行有力，有效发挥了财政资金的使用效率。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五、存在的问题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一是资金使用效益有待进一步提高。二是完善管理制度，进一步加强资产管理。三是</w:t>
      </w:r>
      <w:r>
        <w:rPr>
          <w:rFonts w:hint="eastAsia" w:asciiTheme="minorEastAsia" w:hAnsiTheme="minorEastAsia" w:eastAsiaTheme="minorEastAsia" w:cstheme="minorEastAsia"/>
          <w:b w:val="0"/>
          <w:i w:val="0"/>
          <w:caps w:val="0"/>
          <w:color w:val="333333"/>
          <w:spacing w:val="0"/>
          <w:sz w:val="28"/>
          <w:szCs w:val="28"/>
          <w:shd w:val="clear" w:fill="FFFFFF"/>
        </w:rPr>
        <w:t>财务制度执行力有待加强，资金使用计划有待细化</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六、有关建议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针对上述存在的问题及整体支出管理工作的需要，拟实施的改进措施如下：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1、继续从严控制车辆购置及运行费、公务接待费等一般性支出。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2、加强财务管理，严格财务审核。在费用报账支付时，按照预算规定的费用项目和用途进行资金使用审核、列报支付、财务核算，杜绝超支现象的发生。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3、加强项目开展进度的跟踪，开展项目绩效评价，确保项目绩效目标的完成。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 xml:space="preserve">                                         </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xml:space="preserve">灵官殿镇人民政府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540" w:lineRule="atLeast"/>
        <w:ind w:left="0" w:right="0" w:firstLine="0"/>
        <w:jc w:val="left"/>
        <w:rPr>
          <w:rFonts w:hint="default"/>
          <w:lang w:val="en-US"/>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xml:space="preserve">                                           2020年9月18日   </w:t>
      </w:r>
      <w:r>
        <w:rPr>
          <w:rFonts w:hint="eastAsia" w:ascii="宋体" w:hAnsi="宋体" w:eastAsia="宋体" w:cs="宋体"/>
          <w:b w:val="0"/>
          <w:i w:val="0"/>
          <w:caps w:val="0"/>
          <w:color w:val="333333"/>
          <w:spacing w:val="0"/>
          <w:kern w:val="0"/>
          <w:sz w:val="28"/>
          <w:szCs w:val="28"/>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82D38"/>
    <w:rsid w:val="251515EE"/>
    <w:rsid w:val="48F5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出段落1"/>
    <w:basedOn w:val="1"/>
    <w:qFormat/>
    <w:uiPriority w:val="99"/>
    <w:pPr>
      <w:ind w:firstLine="420" w:firstLineChars="200"/>
    </w:pPr>
  </w:style>
  <w:style w:type="paragraph" w:customStyle="1" w:styleId="7">
    <w:name w:val="Defaul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2020-09-30T08:31:01Z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