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中共邵东市纪律检查委员会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整体支出绩效自评报告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一、单位基本概况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单位职责：（保密）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内设机构：（保密）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人员构成：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在职行政编制人员125  人，事业单位在编人员6人。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2019年财政拨款收入合计2801.41万元，2019年度财政拨款支出2805.36元，2019年年末固定资产原值463.23万元，累计折旧144.2万元，固定资产净值319.03万元。本年度各项收入支出严格按照财务制度执行，高效完成了财政预算安排的项目工作。</w:t>
      </w:r>
    </w:p>
    <w:p>
      <w:pPr>
        <w:numPr>
          <w:ilvl w:val="0"/>
          <w:numId w:val="1"/>
        </w:num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单位整体支出绩效状况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本单位在2019年完成了财政预算安排的项目工作；保持了机关的正常运转，完成了全年的纪检监察工作及其他各项工作，完成了上级和邵东市委交办的其他各项工作，取得了良好的社会效益。</w:t>
      </w:r>
    </w:p>
    <w:p>
      <w:pPr>
        <w:pStyle w:val="3"/>
        <w:numPr>
          <w:ilvl w:val="0"/>
          <w:numId w:val="2"/>
        </w:numPr>
        <w:ind w:firstLine="643" w:firstLineChars="200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基本支出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基本支出2038.82万元。其中人员经费1708.23万元，公用经费311.79万元，对个人和家庭的补助7.39万元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三公经费支出：14.2万元。其中：公务接待费0.23万元，公务车辆运行费：13.97万元。</w:t>
      </w:r>
    </w:p>
    <w:p>
      <w:pPr>
        <w:pStyle w:val="3"/>
        <w:numPr>
          <w:ilvl w:val="0"/>
          <w:numId w:val="3"/>
        </w:numPr>
        <w:ind w:firstLine="643" w:firstLineChars="200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项目支出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项目支出774.41万元。其中乡镇纪检监察干部办案补助24.34万元；乡镇纪委办案业务</w:t>
      </w:r>
      <w:r>
        <w:rPr>
          <w:rFonts w:hint="eastAsia" w:eastAsia="仿宋_GB2312"/>
          <w:sz w:val="32"/>
          <w:szCs w:val="32"/>
          <w:lang w:val="en-US" w:eastAsia="zh-CN"/>
        </w:rPr>
        <w:t>费104.6万元；纪检监察保障经费494.9万元；两个专项整治办专项经费16.71万元；纪委租党校办公室租赁费20万元；反腐倡廉教育培训中心办公经费8.88万元；互联网+监督中心工作经费32.97万元；其他纪检监察事务支出66万元。</w:t>
      </w:r>
    </w:p>
    <w:p>
      <w:p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三、存在的问题及原因</w:t>
      </w:r>
    </w:p>
    <w:p>
      <w:pPr>
        <w:pStyle w:val="3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1、财务人员为新同志，对财务业务不太熟悉，尤其是支出分类上，所有在做账及编制报表时容易出错。</w:t>
      </w:r>
    </w:p>
    <w:p>
      <w:pPr>
        <w:pStyle w:val="3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2、预决算编制工作要求越来越高，在时间安排上也越来越紧，我单位财务人员只有两名，从事预决算编制人员工作任务重，实际业务人员操作水平有限，财政局对这一块培训不够细致，导致实际操作问题不断。</w:t>
      </w:r>
    </w:p>
    <w:p>
      <w:p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四、提高财政资金绩效的措施与建议</w:t>
      </w:r>
    </w:p>
    <w:p>
      <w:pPr>
        <w:pStyle w:val="3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强化预算管理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财务人员要提高对预算管理重要性的认识，明确财务预算管理的目标，各级领导和全体员工都要统一思想，做到全员参与，形成共识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2、加强财务管理，严格财务审核。加强单位财务管理，健全单位财务管理制度体系，规范单位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采购、差旅费报销等制度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3、加强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对财务人员业务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培训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。开展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针对《预算法》、《行政事业单位会计制度》等学习培训，规范部门预算收支核算，切实提高部门预算收支管理水平。</w:t>
      </w:r>
    </w:p>
    <w:p>
      <w:pPr>
        <w:spacing w:line="52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6FB84"/>
    <w:multiLevelType w:val="singleLevel"/>
    <w:tmpl w:val="3F56F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39DA5C1"/>
    <w:multiLevelType w:val="singleLevel"/>
    <w:tmpl w:val="639DA5C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C503B92"/>
    <w:multiLevelType w:val="singleLevel"/>
    <w:tmpl w:val="7C503B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17C88"/>
    <w:rsid w:val="155F1395"/>
    <w:rsid w:val="1BD729B5"/>
    <w:rsid w:val="2C00204E"/>
    <w:rsid w:val="2D046C77"/>
    <w:rsid w:val="300E07BD"/>
    <w:rsid w:val="33A67F6A"/>
    <w:rsid w:val="37917C88"/>
    <w:rsid w:val="3A8F2355"/>
    <w:rsid w:val="44A32C6F"/>
    <w:rsid w:val="55387017"/>
    <w:rsid w:val="6E70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2020-09-11T03:41:00Z</dcterms:created>
  <dc:creator>acxzz</dc:creator>
  <cp:lastModifiedBy>acxzz</cp:lastModifiedBy>
  <dcterms:modified xsi:type="dcterms:W3CDTF">2020-09-27T00:45:26Z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