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84"/>
          <w:szCs w:val="84"/>
        </w:rPr>
      </w:pPr>
    </w:p>
    <w:p>
      <w:pPr>
        <w:pStyle w:val="4"/>
        <w:jc w:val="center"/>
        <w:rPr>
          <w:sz w:val="84"/>
          <w:szCs w:val="84"/>
        </w:rPr>
      </w:pPr>
    </w:p>
    <w:p>
      <w:pPr>
        <w:pStyle w:val="4"/>
        <w:jc w:val="center"/>
        <w:rPr>
          <w:sz w:val="84"/>
          <w:szCs w:val="84"/>
        </w:rPr>
      </w:pPr>
    </w:p>
    <w:p>
      <w:pPr>
        <w:pStyle w:val="4"/>
        <w:jc w:val="center"/>
        <w:rPr>
          <w:sz w:val="84"/>
          <w:szCs w:val="84"/>
        </w:rPr>
      </w:pPr>
      <w:r>
        <w:rPr>
          <w:sz w:val="84"/>
          <w:szCs w:val="84"/>
        </w:rPr>
        <w:t>20</w:t>
      </w:r>
      <w:r>
        <w:rPr>
          <w:rFonts w:hint="eastAsia"/>
          <w:sz w:val="84"/>
          <w:szCs w:val="84"/>
          <w:lang w:val="en-US" w:eastAsia="zh-CN"/>
        </w:rPr>
        <w:t>20</w:t>
      </w:r>
      <w:r>
        <w:rPr>
          <w:rFonts w:hint="eastAsia"/>
          <w:sz w:val="84"/>
          <w:szCs w:val="84"/>
        </w:rPr>
        <w:t>年度</w:t>
      </w:r>
    </w:p>
    <w:p>
      <w:pPr>
        <w:pStyle w:val="4"/>
        <w:jc w:val="center"/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</w:pPr>
      <w:r>
        <w:rPr>
          <w:rFonts w:hint="eastAsia"/>
          <w:sz w:val="84"/>
          <w:szCs w:val="84"/>
          <w:lang w:eastAsia="zh-CN"/>
        </w:rPr>
        <w:t>邵东市黑田铺镇人民政府</w:t>
      </w:r>
      <w:r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  <w:t>部门整体支出绩效评价报告</w:t>
      </w:r>
    </w:p>
    <w:p>
      <w:pPr>
        <w:pStyle w:val="4"/>
        <w:jc w:val="center"/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</w:pPr>
    </w:p>
    <w:p>
      <w:pPr>
        <w:pStyle w:val="4"/>
        <w:jc w:val="center"/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</w:pPr>
    </w:p>
    <w:p>
      <w:pPr>
        <w:pStyle w:val="4"/>
        <w:jc w:val="center"/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</w:pPr>
    </w:p>
    <w:p>
      <w:pPr>
        <w:pStyle w:val="4"/>
        <w:jc w:val="both"/>
        <w:rPr>
          <w:rFonts w:hint="eastAsia" w:ascii="黑体" w:hAnsi="黑体" w:eastAsia="黑体" w:cs="黑体"/>
          <w:color w:val="000000"/>
          <w:kern w:val="0"/>
          <w:sz w:val="84"/>
          <w:szCs w:val="84"/>
          <w:lang w:val="en-US" w:eastAsia="zh-CN" w:bidi="ar-SA"/>
        </w:rPr>
      </w:pP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部门（单位）基本概况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部门职责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负责全镇的社会和经济发展计划、预算、管理本乡的经济、教育、科技、文化、卫生、体育事业和财政、民政、治安、人民调解、安全生产监督、计划生育事物等行政工作。执行本级人民代表大会决议以及上级国家行政机关的决定和命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eastAsia="zh-CN"/>
        </w:rPr>
        <w:t>）部门概况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</w:rPr>
        <w:t>本单位内设机构包括：黑田铺镇人民政府、黑田铺镇财政所、黑田铺镇综合行政执法大队、黑田铺镇农业综合服务中心、黑田铺镇政务（便民）服务中心、黑田铺镇社会事务综合服务中心、黑田铺镇退役军人服务站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现有行政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单位在职人员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38人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、全额事业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单位在职人员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、直接纳入财政预算的聘用人员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其他人员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eastAsia="zh-CN"/>
        </w:rPr>
        <w:t>）部门财政资金支出情况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020年度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支出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7763.86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万元。与上年相比，增加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4941.06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175.04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%，其中：基本支出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4127.37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53.16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3636.49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46.84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%；人员经费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1582.19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38.33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%,公用经费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2545.18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61.67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年度“三公”经财政拨款支出决算中，公务接待费支出决算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7.41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63.33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%,因公出国（境）费支出决算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4.29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36.67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2020年度财政拨款支出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5131.56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万元，主要用于以下方面：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一般公共服务（类）支出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1173.47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22.87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%；公共安全（类）支出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0.1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%；科学技术（类）支出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5.5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万元，占0.11%；文化旅游体育与传媒（类）支出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32.3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63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%；社会保障和就业（类）支出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188.15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3.67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%；卫生健康（类）支出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149.75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2.92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%；节能环保（类）支出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183.38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3.58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%；城乡社区（类）支出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13.4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0.26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%；农林水（类）支出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1060.15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20.66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%；交通运输（类）支出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246.41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%；资源勘探信息等（类）支出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2042.45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39.8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%；商业服务业等（类）支出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0.39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%；住房保障（类）支出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1.61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%；灾害防治及应急管理（类）支出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0.19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spacing w:line="276" w:lineRule="auto"/>
        <w:ind w:firstLine="617" w:firstLineChars="192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二、部门（单位）整体支出绩效状况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（一）预决算编制情况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预算编制严格按照县预算编制方案科学合理编制本部门预算，提前做好情况摸底、数据收集、填报绩效目标、细化专项预算，根据定员和人员经费标准、日常公用经费定额计算确定经费预算，从严控制事业经费，按照“零增长”的原则编制“三公经费”预算，压缩公业务费。科学编制项目支出，按照“谁申请资金，谁编制目标”</w:t>
      </w:r>
      <w:r>
        <w:rPr>
          <w:rFonts w:hint="eastAsia" w:ascii="宋体" w:hAnsi="宋体"/>
          <w:sz w:val="32"/>
          <w:szCs w:val="32"/>
          <w:lang w:eastAsia="zh-CN"/>
        </w:rPr>
        <w:t>的要求，编制部门预算项目绩效目标。按时完成预算编制报送工作。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（二）执行管理情况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1.加强预算管理和执行力度，本着“以收定支，量入为出，保证重点”的原则，本年度严格按照有关规定和工作需要，合理、科学的对资金进行有序安排，基本支出按照月度均衡原则使用资金，年底预算执行率达</w:t>
      </w:r>
      <w:r>
        <w:rPr>
          <w:rFonts w:hint="eastAsia" w:ascii="宋体" w:hAnsi="宋体"/>
          <w:sz w:val="32"/>
          <w:szCs w:val="32"/>
          <w:lang w:val="en-US" w:eastAsia="zh-CN"/>
        </w:rPr>
        <w:t>100</w:t>
      </w:r>
      <w:r>
        <w:rPr>
          <w:rFonts w:hint="eastAsia" w:ascii="宋体" w:hAnsi="宋体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2.严格按照财务管理制度和财经纪律，实现一把手管财务，一只笔签字的财务管理办法。接待费、差旅费、公务用车、办公用品等按照经办人申请、分管领导审核、单位主要负责人审签的办法执行。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（三）综合管理情况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1.严格按照“八项规定”和《党风廉政建设责任制》要求，制定完善了内部控制管理制度、机关财务管理制度、公务接待制度，加强财务管理，严格财务监督。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.按照例行节约，物尽其用的原则，资产管理采取统一建账，统一录入资产管理系统，对每件固定资产使用明确保管职责，闲置的资产，由办公室统一调整，合理流动，发挥其效益，落实专人负责资产报表，报表数据真实、准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3.按时将部门的预算、决算、绩效评价情况相关信息在公告栏上进行了公开。20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  <w:lang w:eastAsia="zh-CN"/>
        </w:rPr>
        <w:t>年严格按照支出绩效评价指标体系内容开展绩效管理工作，财务状况更加公开、透明。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（四）整体绩效情况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严格执行中央八项规定和财务管理制度，根据年初预算，除优先安排人员基本经费支出外，合理安排日常公用经费资金，做到厉行节约、精打细算，把有效的资金用到刀刃上，保证机关各项工作的正常运转。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（五）评价结果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我镇2020年度部门整体支出与年初预期绩效目标一致，内部控制制度健全，预算管理、资产管理规范，有效的保障了各项工作的开展和完成，并取得了较好的成效。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spacing w:line="360" w:lineRule="auto"/>
        <w:ind w:firstLine="617" w:firstLineChars="192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三、存在的问题及原因</w:t>
      </w:r>
    </w:p>
    <w:p>
      <w:pPr>
        <w:pStyle w:val="4"/>
        <w:spacing w:line="276" w:lineRule="auto"/>
        <w:ind w:firstLine="640" w:firstLineChars="200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年初预算准确度不高，与实际执行数有一定的差距，年中需要做预算调整。 </w:t>
      </w:r>
    </w:p>
    <w:p>
      <w:pPr>
        <w:pStyle w:val="4"/>
        <w:spacing w:line="276" w:lineRule="auto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</w:p>
    <w:p>
      <w:pPr>
        <w:spacing w:line="276" w:lineRule="auto"/>
        <w:ind w:firstLine="617" w:firstLineChars="192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四、提高财政资金绩效的措施与建议</w:t>
      </w:r>
    </w:p>
    <w:p>
      <w:pPr>
        <w:pStyle w:val="4"/>
        <w:spacing w:line="276" w:lineRule="auto"/>
        <w:ind w:firstLine="640" w:firstLineChars="200"/>
        <w:rPr>
          <w:rFonts w:hint="eastAsia" w:asciiTheme="majorEastAsia" w:hAnsiTheme="majorEastAsia" w:eastAsiaTheme="majorEastAsia" w:cstheme="majorEastAsia"/>
          <w:color w:val="53535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为进一步规范和加强预算资金及资产管理，提高财政资金使用效益，我镇将继续坚持按下列要求规范自己：遵循先有预算、后有支出的原则，加强财务管理和内部控制监督。严禁超预算和无预算安排支出，严格开支范围和标准，严格支出报销审核，不报销任何超范围、超标准的费</w:t>
      </w:r>
      <w:r>
        <w:rPr>
          <w:rFonts w:hint="eastAsia" w:asciiTheme="majorEastAsia" w:hAnsiTheme="majorEastAsia" w:eastAsiaTheme="majorEastAsia" w:cstheme="majorEastAsia"/>
          <w:color w:val="535353"/>
          <w:sz w:val="32"/>
          <w:szCs w:val="32"/>
          <w:shd w:val="clear" w:color="auto" w:fill="FFFFFF"/>
        </w:rPr>
        <w:t>用。</w:t>
      </w:r>
    </w:p>
    <w:p>
      <w:pPr>
        <w:pStyle w:val="4"/>
        <w:spacing w:line="276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535353"/>
          <w:sz w:val="32"/>
          <w:szCs w:val="32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E3CF3"/>
    <w:multiLevelType w:val="multilevel"/>
    <w:tmpl w:val="0D3E3CF3"/>
    <w:lvl w:ilvl="0" w:tentative="0">
      <w:start w:val="1"/>
      <w:numFmt w:val="japaneseCounting"/>
      <w:lvlText w:val="%1、"/>
      <w:lvlJc w:val="left"/>
      <w:pPr>
        <w:ind w:left="133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54" w:hanging="420"/>
      </w:pPr>
    </w:lvl>
    <w:lvl w:ilvl="2" w:tentative="0">
      <w:start w:val="1"/>
      <w:numFmt w:val="lowerRoman"/>
      <w:lvlText w:val="%3."/>
      <w:lvlJc w:val="right"/>
      <w:pPr>
        <w:ind w:left="1874" w:hanging="420"/>
      </w:pPr>
    </w:lvl>
    <w:lvl w:ilvl="3" w:tentative="0">
      <w:start w:val="1"/>
      <w:numFmt w:val="decimal"/>
      <w:lvlText w:val="%4."/>
      <w:lvlJc w:val="left"/>
      <w:pPr>
        <w:ind w:left="2294" w:hanging="420"/>
      </w:pPr>
    </w:lvl>
    <w:lvl w:ilvl="4" w:tentative="0">
      <w:start w:val="1"/>
      <w:numFmt w:val="lowerLetter"/>
      <w:lvlText w:val="%5)"/>
      <w:lvlJc w:val="left"/>
      <w:pPr>
        <w:ind w:left="2714" w:hanging="420"/>
      </w:pPr>
    </w:lvl>
    <w:lvl w:ilvl="5" w:tentative="0">
      <w:start w:val="1"/>
      <w:numFmt w:val="lowerRoman"/>
      <w:lvlText w:val="%6."/>
      <w:lvlJc w:val="right"/>
      <w:pPr>
        <w:ind w:left="3134" w:hanging="420"/>
      </w:pPr>
    </w:lvl>
    <w:lvl w:ilvl="6" w:tentative="0">
      <w:start w:val="1"/>
      <w:numFmt w:val="decimal"/>
      <w:lvlText w:val="%7."/>
      <w:lvlJc w:val="left"/>
      <w:pPr>
        <w:ind w:left="3554" w:hanging="420"/>
      </w:pPr>
    </w:lvl>
    <w:lvl w:ilvl="7" w:tentative="0">
      <w:start w:val="1"/>
      <w:numFmt w:val="lowerLetter"/>
      <w:lvlText w:val="%8)"/>
      <w:lvlJc w:val="left"/>
      <w:pPr>
        <w:ind w:left="3974" w:hanging="420"/>
      </w:pPr>
    </w:lvl>
    <w:lvl w:ilvl="8" w:tentative="0">
      <w:start w:val="1"/>
      <w:numFmt w:val="lowerRoman"/>
      <w:lvlText w:val="%9."/>
      <w:lvlJc w:val="right"/>
      <w:pPr>
        <w:ind w:left="43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A0B0C"/>
    <w:rsid w:val="15C3310F"/>
    <w:rsid w:val="19E9207D"/>
    <w:rsid w:val="502E27E7"/>
    <w:rsid w:val="55DF4100"/>
    <w:rsid w:val="58B86F3E"/>
    <w:rsid w:val="58EA0B0C"/>
    <w:rsid w:val="620205C8"/>
    <w:rsid w:val="6FD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1759</Words>
  <Characters>1982</Characters>
  <Lines>0</Lines>
  <Paragraphs>0</Paragraphs>
  <TotalTime>5</TotalTime>
  <ScaleCrop>false</ScaleCrop>
  <LinksUpToDate>false</LinksUpToDate>
  <CharactersWithSpaces>1985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2020-09-21T07:04:00Z</dcterms:created>
  <dc:creator>萧航宇</dc:creator>
  <cp:lastModifiedBy>Administrator</cp:lastModifiedBy>
  <dcterms:modified xsi:type="dcterms:W3CDTF">2021-10-08T02:54:36Z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6DE5F53DCB13430E94FD29D82805BE1B</vt:lpwstr>
  </property>
</Properties>
</file>