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A9F56">
      <w:pPr>
        <w:pStyle w:val="3"/>
        <w:ind w:firstLine="1080" w:firstLineChars="300"/>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202</w:t>
      </w:r>
      <w:r>
        <w:rPr>
          <w:rFonts w:hint="eastAsia" w:ascii="仿宋" w:hAnsi="仿宋" w:eastAsia="仿宋" w:cs="仿宋"/>
          <w:color w:val="000000"/>
          <w:sz w:val="36"/>
          <w:szCs w:val="36"/>
          <w:lang w:val="en-US" w:eastAsia="zh-CN"/>
        </w:rPr>
        <w:t>4</w:t>
      </w:r>
      <w:r>
        <w:rPr>
          <w:rFonts w:hint="eastAsia" w:ascii="仿宋" w:hAnsi="仿宋" w:eastAsia="仿宋" w:cs="仿宋"/>
          <w:color w:val="000000"/>
          <w:sz w:val="36"/>
          <w:szCs w:val="36"/>
        </w:rPr>
        <w:t>年度部门（单位）整体支出绩效自评报告</w:t>
      </w:r>
    </w:p>
    <w:p w14:paraId="613740C8">
      <w:pPr>
        <w:rPr>
          <w:rFonts w:hint="eastAsia"/>
        </w:rPr>
      </w:pPr>
    </w:p>
    <w:p w14:paraId="7777C78A">
      <w:pPr>
        <w:spacing w:line="600" w:lineRule="exact"/>
        <w:jc w:val="both"/>
        <w:rPr>
          <w:rFonts w:hint="eastAsia" w:ascii="仿宋_GB2312" w:hAnsi="仿宋_GB2312" w:eastAsia="仿宋_GB2312" w:cs="仿宋_GB2312"/>
          <w:sz w:val="28"/>
          <w:szCs w:val="28"/>
        </w:rPr>
      </w:pPr>
    </w:p>
    <w:p w14:paraId="1C531E4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一、部门（单位）基本概况</w:t>
      </w:r>
    </w:p>
    <w:p w14:paraId="2F651831">
      <w:pPr>
        <w:widowControl/>
        <w:spacing w:line="600" w:lineRule="exact"/>
        <w:ind w:firstLine="627" w:firstLineChars="196"/>
        <w:jc w:val="left"/>
        <w:rPr>
          <w:rFonts w:eastAsia="仿宋_GB2312"/>
          <w:sz w:val="32"/>
          <w:szCs w:val="32"/>
        </w:rPr>
      </w:pPr>
      <w:r>
        <w:rPr>
          <w:rFonts w:hint="eastAsia" w:eastAsia="仿宋_GB2312"/>
          <w:sz w:val="32"/>
          <w:szCs w:val="32"/>
          <w:lang w:eastAsia="zh-CN"/>
        </w:rPr>
        <w:t>（一）</w:t>
      </w:r>
      <w:r>
        <w:rPr>
          <w:rFonts w:eastAsia="仿宋_GB2312"/>
          <w:sz w:val="32"/>
          <w:szCs w:val="32"/>
        </w:rPr>
        <w:t>职能职责</w:t>
      </w:r>
    </w:p>
    <w:p w14:paraId="18C28198">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 1、依法履行全民所有土地、矿产、森林、草原、湿地、水等自然资源资产所有者职责和国土空间用途管制、城乡规划管理职责。负责宣传贯彻自然资源和国土空间规划、测绘等法律法规，依法制定相关政策并组织实施。 </w:t>
      </w:r>
    </w:p>
    <w:p w14:paraId="2705FCB4">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 xml:space="preserve">2、负责自然资源调查监测评价。 </w:t>
      </w:r>
    </w:p>
    <w:p w14:paraId="383B22E4">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 xml:space="preserve">3、负责自然资源统一确权登记工作。 </w:t>
      </w:r>
    </w:p>
    <w:p w14:paraId="6DA8108C">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 xml:space="preserve">4、负责自然资源资产有偿使用工作。 </w:t>
      </w:r>
    </w:p>
    <w:p w14:paraId="4FC34C16">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5、负责自然资源的合理开发利用。 </w:t>
      </w:r>
    </w:p>
    <w:p w14:paraId="0D78E38E">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 xml:space="preserve">6、负责建立空间规划体系并监督实施。 </w:t>
      </w:r>
    </w:p>
    <w:p w14:paraId="0F45D858">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7、负责统筹国土空间生态修复。 </w:t>
      </w:r>
    </w:p>
    <w:p w14:paraId="7496DD9F">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8、负责组织实施最严格的耕地保护制度。 </w:t>
      </w:r>
    </w:p>
    <w:p w14:paraId="1A8D2A37">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9、负责管理地质勘查行业和全市地质工作。 </w:t>
      </w:r>
    </w:p>
    <w:p w14:paraId="256E0422">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10、负责地质灾害预防和治理，负责落实综合防灾减灾规划相关要求，组织编制地质灾害防治规划和防护标准并指导实施。 </w:t>
      </w:r>
    </w:p>
    <w:p w14:paraId="164ED6FB">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11、负责矿产资源管理工作。 </w:t>
      </w:r>
    </w:p>
    <w:p w14:paraId="5F0F5531">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12、负责测绘地理信息管理工作。 </w:t>
      </w:r>
    </w:p>
    <w:p w14:paraId="262247EB">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13、推动自然资源领域科技发展。 </w:t>
      </w:r>
    </w:p>
    <w:p w14:paraId="6370F1B5">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14、根据授权，对乡镇（街道、场）及相关部门落实上级部门关于自然资源和国土空间规划和城乡规划的重大政策、决策部署及法律法规执行情况进行督查。 </w:t>
      </w:r>
    </w:p>
    <w:p w14:paraId="1BCC1FB5">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 xml:space="preserve">15、完成市委、市政府交办的其他任务。 </w:t>
      </w:r>
    </w:p>
    <w:p w14:paraId="5C20E5DE">
      <w:pPr>
        <w:widowControl/>
        <w:spacing w:line="600" w:lineRule="exact"/>
        <w:ind w:firstLine="627" w:firstLineChars="196"/>
        <w:jc w:val="left"/>
        <w:rPr>
          <w:rFonts w:eastAsia="仿宋_GB2312"/>
          <w:sz w:val="32"/>
          <w:szCs w:val="32"/>
        </w:rPr>
      </w:pPr>
      <w:r>
        <w:rPr>
          <w:rFonts w:hint="eastAsia" w:ascii="仿宋" w:hAnsi="仿宋" w:eastAsia="仿宋" w:cs="仿宋"/>
          <w:sz w:val="32"/>
          <w:szCs w:val="32"/>
        </w:rPr>
        <w:t>16、职能转变。市自然资源局要落实中央、省、市关于统一行使全民所有自然资源资产所有者职责，统一行使所有国土空间用途管制和生态保护修复职责的要求，强化顶层设计，发挥国土空间规划管控作用，为保护和合理开发利用自然资源提供科学指引。</w:t>
      </w:r>
    </w:p>
    <w:p w14:paraId="3BB3BB24">
      <w:pPr>
        <w:widowControl/>
        <w:spacing w:line="600" w:lineRule="exact"/>
        <w:ind w:firstLine="627" w:firstLineChars="196"/>
        <w:jc w:val="left"/>
        <w:rPr>
          <w:rFonts w:hint="eastAsia" w:eastAsia="仿宋_GB2312"/>
          <w:sz w:val="32"/>
          <w:szCs w:val="32"/>
          <w:lang w:eastAsia="zh-CN"/>
        </w:rPr>
      </w:pPr>
    </w:p>
    <w:p w14:paraId="011663CF">
      <w:pPr>
        <w:widowControl/>
        <w:spacing w:line="600" w:lineRule="exact"/>
        <w:ind w:firstLine="627" w:firstLineChars="196"/>
        <w:jc w:val="left"/>
        <w:rPr>
          <w:rFonts w:eastAsia="仿宋_GB2312"/>
          <w:sz w:val="32"/>
          <w:szCs w:val="32"/>
        </w:rPr>
      </w:pPr>
      <w:r>
        <w:rPr>
          <w:rFonts w:hint="eastAsia" w:eastAsia="仿宋_GB2312"/>
          <w:sz w:val="32"/>
          <w:szCs w:val="32"/>
          <w:lang w:eastAsia="zh-CN"/>
        </w:rPr>
        <w:t>（二）</w:t>
      </w:r>
      <w:r>
        <w:rPr>
          <w:rFonts w:eastAsia="仿宋_GB2312"/>
          <w:sz w:val="32"/>
          <w:szCs w:val="32"/>
        </w:rPr>
        <w:t>机构设置</w:t>
      </w:r>
    </w:p>
    <w:p w14:paraId="45A4C1F1">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内设</w:t>
      </w:r>
      <w:r>
        <w:rPr>
          <w:rFonts w:hint="eastAsia" w:ascii="仿宋" w:hAnsi="仿宋" w:eastAsia="仿宋" w:cs="仿宋"/>
          <w:sz w:val="32"/>
          <w:szCs w:val="32"/>
          <w:lang w:eastAsia="zh-CN"/>
        </w:rPr>
        <w:t>机构</w:t>
      </w:r>
      <w:r>
        <w:rPr>
          <w:rFonts w:hint="eastAsia" w:ascii="仿宋" w:hAnsi="仿宋" w:eastAsia="仿宋" w:cs="仿宋"/>
          <w:sz w:val="32"/>
          <w:szCs w:val="32"/>
        </w:rPr>
        <w:t xml:space="preserve">14个：办公室、财务审计股、人事教育股（加挂党建作风办公室牌子）、行政审批服务股（加挂政策法规信访股牌子）、自然资源监督股、自然资源调查确权登记股、自然资源开发利用和所有者权益股、国土空间规划股（加挂测绘地理信息股牌子）、城乡规划管理一股、城乡规划管理二股、城乡规划管理三股、国土空间用途管制股、国土空间生态修复和耕地保护监督股、矿产资源保护监督管理股（加挂地质勘查股牌子）。 </w:t>
      </w:r>
    </w:p>
    <w:p w14:paraId="7D218909">
      <w:pPr>
        <w:widowControl/>
        <w:spacing w:line="600" w:lineRule="exact"/>
        <w:ind w:firstLine="627" w:firstLineChars="196"/>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2.直属单位7个：</w:t>
      </w:r>
      <w:r>
        <w:rPr>
          <w:rFonts w:hint="eastAsia" w:ascii="仿宋" w:hAnsi="仿宋" w:eastAsia="仿宋" w:cs="仿宋"/>
          <w:sz w:val="32"/>
          <w:szCs w:val="32"/>
        </w:rPr>
        <w:t>邵东市自然资源执法监察大队、邵东市征地拆迁服务中心、邵东市土地储备中心、邵东市自然资源修复中心、邵东市不动产登记中心</w:t>
      </w:r>
      <w:r>
        <w:rPr>
          <w:rFonts w:hint="eastAsia" w:ascii="仿宋" w:hAnsi="仿宋" w:eastAsia="仿宋" w:cs="仿宋"/>
          <w:sz w:val="32"/>
          <w:szCs w:val="32"/>
          <w:lang w:eastAsia="zh-CN"/>
        </w:rPr>
        <w:t>、邵东市地质灾害应急防治指导中心、邵东市自然资源地理规划信息中心</w:t>
      </w:r>
      <w:r>
        <w:rPr>
          <w:rFonts w:hint="eastAsia" w:ascii="仿宋" w:hAnsi="仿宋" w:eastAsia="仿宋" w:cs="仿宋"/>
          <w:sz w:val="32"/>
          <w:szCs w:val="32"/>
        </w:rPr>
        <w:t>。</w:t>
      </w:r>
    </w:p>
    <w:p w14:paraId="4CEEB997">
      <w:pPr>
        <w:widowControl/>
        <w:spacing w:line="600" w:lineRule="exact"/>
        <w:ind w:firstLine="548" w:firstLineChars="196"/>
        <w:jc w:val="left"/>
        <w:rPr>
          <w:rFonts w:hint="eastAsia" w:ascii="仿宋" w:hAnsi="仿宋" w:eastAsia="仿宋" w:cs="仿宋"/>
          <w:b w:val="0"/>
          <w:bCs w:val="0"/>
          <w:sz w:val="32"/>
          <w:szCs w:val="32"/>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w:t>
      </w:r>
    </w:p>
    <w:p w14:paraId="1238A8CC">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 xml:space="preserve">部门预算单位构成 </w:t>
      </w:r>
    </w:p>
    <w:p w14:paraId="3CA5062E">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纳入202</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年部门预算编制范围的预算单位包括： </w:t>
      </w:r>
    </w:p>
    <w:p w14:paraId="5D6C1C2A">
      <w:pPr>
        <w:widowControl/>
        <w:spacing w:line="600" w:lineRule="exact"/>
        <w:ind w:firstLine="960" w:firstLineChars="300"/>
        <w:jc w:val="left"/>
        <w:rPr>
          <w:rFonts w:hint="eastAsia" w:ascii="仿宋" w:hAnsi="仿宋" w:eastAsia="仿宋" w:cs="仿宋"/>
          <w:sz w:val="32"/>
          <w:szCs w:val="32"/>
          <w:lang w:eastAsia="zh-CN"/>
        </w:rPr>
      </w:pPr>
      <w:r>
        <w:rPr>
          <w:rFonts w:hint="eastAsia" w:ascii="仿宋" w:hAnsi="仿宋" w:eastAsia="仿宋" w:cs="仿宋"/>
          <w:sz w:val="32"/>
          <w:szCs w:val="32"/>
        </w:rPr>
        <w:t xml:space="preserve">1、邵东市自然资源局本级 </w:t>
      </w:r>
    </w:p>
    <w:p w14:paraId="68693B17">
      <w:pPr>
        <w:widowControl/>
        <w:spacing w:line="600" w:lineRule="exact"/>
        <w:ind w:firstLine="960" w:firstLineChars="300"/>
        <w:jc w:val="left"/>
        <w:rPr>
          <w:rFonts w:hint="eastAsia" w:ascii="仿宋" w:hAnsi="仿宋" w:eastAsia="仿宋" w:cs="仿宋"/>
          <w:sz w:val="32"/>
          <w:szCs w:val="32"/>
          <w:lang w:eastAsia="zh-CN"/>
        </w:rPr>
      </w:pPr>
      <w:r>
        <w:rPr>
          <w:rFonts w:hint="eastAsia" w:ascii="仿宋" w:hAnsi="仿宋" w:eastAsia="仿宋" w:cs="仿宋"/>
          <w:sz w:val="32"/>
          <w:szCs w:val="32"/>
        </w:rPr>
        <w:t>2、下属二级单位包括：邵东市自然资源</w:t>
      </w:r>
      <w:r>
        <w:rPr>
          <w:rFonts w:hint="eastAsia" w:ascii="仿宋" w:hAnsi="仿宋" w:eastAsia="仿宋" w:cs="仿宋"/>
          <w:sz w:val="32"/>
          <w:szCs w:val="32"/>
          <w:lang w:eastAsia="zh-CN"/>
        </w:rPr>
        <w:t>行政</w:t>
      </w:r>
      <w:r>
        <w:rPr>
          <w:rFonts w:hint="eastAsia" w:ascii="仿宋" w:hAnsi="仿宋" w:eastAsia="仿宋" w:cs="仿宋"/>
          <w:sz w:val="32"/>
          <w:szCs w:val="32"/>
        </w:rPr>
        <w:t>执法大队、邵东市征地拆迁服务中心、邵东市土地储备中心、邵东市自然资源修复中心、</w:t>
      </w:r>
      <w:r>
        <w:rPr>
          <w:rFonts w:hint="eastAsia" w:ascii="仿宋" w:hAnsi="仿宋" w:eastAsia="仿宋" w:cs="仿宋"/>
          <w:sz w:val="32"/>
          <w:szCs w:val="32"/>
          <w:lang w:eastAsia="zh-CN"/>
        </w:rPr>
        <w:t>邵东市地质灾害应急防治指导中心</w:t>
      </w:r>
      <w:r>
        <w:rPr>
          <w:rFonts w:hint="eastAsia" w:ascii="仿宋" w:hAnsi="仿宋" w:eastAsia="仿宋" w:cs="仿宋"/>
          <w:sz w:val="32"/>
          <w:szCs w:val="32"/>
        </w:rPr>
        <w:t xml:space="preserve">。 </w:t>
      </w:r>
    </w:p>
    <w:p w14:paraId="2D0FF37C">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firstLine="960" w:firstLineChars="300"/>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333333"/>
          <w:sz w:val="32"/>
          <w:szCs w:val="32"/>
          <w:lang w:val="en-US" w:eastAsia="zh-CN"/>
        </w:rPr>
        <w:t>人员构成情况</w:t>
      </w:r>
    </w:p>
    <w:p w14:paraId="61E4D795">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firstLine="960" w:firstLineChars="3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本部门</w:t>
      </w:r>
      <w:r>
        <w:rPr>
          <w:rFonts w:hint="eastAsia" w:ascii="仿宋" w:hAnsi="仿宋" w:eastAsia="仿宋" w:cs="仿宋"/>
          <w:kern w:val="2"/>
          <w:sz w:val="32"/>
          <w:szCs w:val="32"/>
          <w:highlight w:val="none"/>
          <w:lang w:val="en-US" w:eastAsia="zh-CN" w:bidi="ar"/>
        </w:rPr>
        <w:t>编制人数为98人，其中在职 98人，离退休61人。</w:t>
      </w:r>
    </w:p>
    <w:p w14:paraId="3A7B272C">
      <w:pPr>
        <w:widowControl/>
        <w:spacing w:line="600" w:lineRule="exact"/>
        <w:ind w:firstLine="627" w:firstLineChars="196"/>
        <w:jc w:val="left"/>
        <w:rPr>
          <w:rFonts w:hint="eastAsia" w:ascii="仿宋" w:hAnsi="仿宋" w:eastAsia="仿宋" w:cs="仿宋"/>
          <w:sz w:val="32"/>
          <w:szCs w:val="32"/>
          <w:highlight w:val="none"/>
          <w:lang w:val="en-US" w:eastAsia="zh-CN"/>
        </w:rPr>
      </w:pPr>
    </w:p>
    <w:p w14:paraId="53C32515">
      <w:pPr>
        <w:pStyle w:val="6"/>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firstLine="320" w:firstLineChars="100"/>
        <w:textAlignment w:val="auto"/>
        <w:outlineLvl w:val="9"/>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（四）2024年度财政收支和年末固定资产状况</w:t>
      </w:r>
    </w:p>
    <w:p w14:paraId="0C2499AC">
      <w:pPr>
        <w:pStyle w:val="9"/>
        <w:spacing w:line="600" w:lineRule="exact"/>
        <w:ind w:firstLine="640" w:firstLineChars="200"/>
        <w:rPr>
          <w:rFonts w:hint="eastAsia" w:ascii="仿宋" w:hAnsi="仿宋" w:eastAsia="仿宋" w:cs="仿宋"/>
          <w:kern w:val="2"/>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本年度</w:t>
      </w:r>
      <w:r>
        <w:rPr>
          <w:rFonts w:hint="eastAsia" w:ascii="仿宋" w:hAnsi="仿宋" w:eastAsia="仿宋" w:cs="仿宋"/>
          <w:kern w:val="2"/>
          <w:sz w:val="32"/>
          <w:szCs w:val="32"/>
        </w:rPr>
        <w:t>财政拨款</w:t>
      </w:r>
      <w:r>
        <w:rPr>
          <w:rFonts w:hint="eastAsia" w:ascii="仿宋" w:hAnsi="仿宋" w:eastAsia="仿宋"/>
          <w:sz w:val="32"/>
          <w:szCs w:val="32"/>
        </w:rPr>
        <w:t>收、支总计</w:t>
      </w:r>
      <w:r>
        <w:rPr>
          <w:rFonts w:hint="eastAsia" w:ascii="仿宋" w:hAnsi="仿宋" w:eastAsia="仿宋"/>
          <w:sz w:val="32"/>
          <w:szCs w:val="32"/>
          <w:lang w:val="en-US" w:eastAsia="zh-CN"/>
        </w:rPr>
        <w:t>3579.01</w:t>
      </w:r>
      <w:r>
        <w:rPr>
          <w:rFonts w:hint="eastAsia" w:ascii="仿宋" w:hAnsi="仿宋" w:eastAsia="仿宋"/>
          <w:sz w:val="32"/>
          <w:szCs w:val="32"/>
        </w:rPr>
        <w:t>万元。与上年相比，</w:t>
      </w:r>
      <w:r>
        <w:rPr>
          <w:rFonts w:hint="eastAsia" w:ascii="仿宋" w:hAnsi="仿宋" w:eastAsia="仿宋"/>
          <w:sz w:val="32"/>
          <w:szCs w:val="32"/>
          <w:lang w:eastAsia="zh-CN"/>
        </w:rPr>
        <w:t>减少</w:t>
      </w:r>
      <w:r>
        <w:rPr>
          <w:rFonts w:hint="eastAsia" w:ascii="仿宋" w:hAnsi="仿宋" w:eastAsia="仿宋"/>
          <w:sz w:val="32"/>
          <w:szCs w:val="32"/>
          <w:lang w:val="en-US" w:eastAsia="zh-CN"/>
        </w:rPr>
        <w:t>20734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85.28</w:t>
      </w:r>
      <w:r>
        <w:rPr>
          <w:rFonts w:hint="eastAsia" w:ascii="仿宋" w:hAnsi="仿宋" w:eastAsia="仿宋"/>
          <w:sz w:val="32"/>
          <w:szCs w:val="32"/>
        </w:rPr>
        <w:t>%，主要是因为</w:t>
      </w:r>
      <w:r>
        <w:rPr>
          <w:rFonts w:hint="eastAsia" w:ascii="仿宋" w:hAnsi="仿宋" w:eastAsia="仿宋"/>
          <w:sz w:val="32"/>
          <w:szCs w:val="32"/>
          <w:lang w:eastAsia="zh-CN"/>
        </w:rPr>
        <w:t>本年度局本级与二级机构分开核算，二级机构专项资金数量巨大设有专账</w:t>
      </w:r>
      <w:r>
        <w:rPr>
          <w:rFonts w:hint="eastAsia" w:ascii="仿宋" w:hAnsi="仿宋" w:eastAsia="仿宋"/>
          <w:sz w:val="32"/>
          <w:szCs w:val="32"/>
          <w:lang w:val="en-US" w:eastAsia="zh-CN"/>
        </w:rPr>
        <w:t>。</w:t>
      </w:r>
      <w:r>
        <w:rPr>
          <w:rFonts w:hint="eastAsia" w:ascii="仿宋" w:hAnsi="仿宋" w:eastAsia="仿宋" w:cs="仿宋"/>
          <w:sz w:val="32"/>
          <w:szCs w:val="32"/>
        </w:rPr>
        <w:t>本年度</w:t>
      </w:r>
      <w:r>
        <w:rPr>
          <w:rFonts w:hint="eastAsia" w:ascii="仿宋" w:hAnsi="仿宋" w:eastAsia="仿宋" w:cs="仿宋"/>
          <w:kern w:val="2"/>
          <w:sz w:val="32"/>
          <w:szCs w:val="32"/>
        </w:rPr>
        <w:t>财政拨款收入中，一般公共预算财政拨款收入</w:t>
      </w:r>
      <w:r>
        <w:rPr>
          <w:rFonts w:hint="eastAsia" w:ascii="仿宋" w:hAnsi="仿宋" w:eastAsia="仿宋" w:cs="仿宋"/>
          <w:kern w:val="2"/>
          <w:sz w:val="32"/>
          <w:szCs w:val="32"/>
          <w:lang w:val="en-US" w:eastAsia="zh-CN"/>
        </w:rPr>
        <w:t>2557.76</w:t>
      </w:r>
      <w:r>
        <w:rPr>
          <w:rFonts w:hint="eastAsia" w:ascii="仿宋" w:hAnsi="仿宋" w:eastAsia="仿宋" w:cs="仿宋"/>
          <w:kern w:val="2"/>
          <w:sz w:val="32"/>
          <w:szCs w:val="32"/>
        </w:rPr>
        <w:t>万元，占比</w:t>
      </w:r>
      <w:r>
        <w:rPr>
          <w:rFonts w:hint="eastAsia" w:ascii="仿宋" w:hAnsi="仿宋" w:eastAsia="仿宋" w:cs="仿宋"/>
          <w:kern w:val="2"/>
          <w:sz w:val="32"/>
          <w:szCs w:val="32"/>
          <w:lang w:val="en-US" w:eastAsia="zh-CN"/>
        </w:rPr>
        <w:t>71.47</w:t>
      </w:r>
      <w:r>
        <w:rPr>
          <w:rFonts w:hint="eastAsia" w:ascii="仿宋" w:hAnsi="仿宋" w:eastAsia="仿宋" w:cs="仿宋"/>
          <w:kern w:val="2"/>
          <w:sz w:val="32"/>
          <w:szCs w:val="32"/>
        </w:rPr>
        <w:t>%；政府性基金预算财政拨款收入</w:t>
      </w:r>
      <w:r>
        <w:rPr>
          <w:rFonts w:hint="eastAsia" w:ascii="仿宋" w:hAnsi="仿宋" w:eastAsia="仿宋" w:cs="仿宋"/>
          <w:kern w:val="2"/>
          <w:sz w:val="32"/>
          <w:szCs w:val="32"/>
          <w:lang w:val="en-US" w:eastAsia="zh-CN"/>
        </w:rPr>
        <w:t>132.11</w:t>
      </w:r>
      <w:r>
        <w:rPr>
          <w:rFonts w:hint="eastAsia" w:ascii="仿宋" w:hAnsi="仿宋" w:eastAsia="仿宋" w:cs="仿宋"/>
          <w:kern w:val="2"/>
          <w:sz w:val="32"/>
          <w:szCs w:val="32"/>
        </w:rPr>
        <w:t>万元，占比</w:t>
      </w:r>
      <w:r>
        <w:rPr>
          <w:rFonts w:hint="eastAsia" w:ascii="仿宋" w:hAnsi="仿宋" w:eastAsia="仿宋" w:cs="仿宋"/>
          <w:kern w:val="2"/>
          <w:sz w:val="32"/>
          <w:szCs w:val="32"/>
          <w:lang w:val="en-US" w:eastAsia="zh-CN"/>
        </w:rPr>
        <w:t>3.7</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w:t>
      </w:r>
      <w:r>
        <w:rPr>
          <w:rFonts w:hint="eastAsia" w:ascii="仿宋" w:hAnsi="仿宋" w:eastAsia="仿宋" w:cs="仿宋"/>
          <w:sz w:val="32"/>
          <w:szCs w:val="32"/>
        </w:rPr>
        <w:t>本单位本年度</w:t>
      </w:r>
      <w:r>
        <w:rPr>
          <w:rFonts w:hint="eastAsia" w:ascii="仿宋" w:hAnsi="仿宋" w:eastAsia="仿宋" w:cs="仿宋"/>
          <w:kern w:val="2"/>
          <w:sz w:val="32"/>
          <w:szCs w:val="32"/>
        </w:rPr>
        <w:t>财政拨款支出</w:t>
      </w:r>
      <w:r>
        <w:rPr>
          <w:rFonts w:hint="eastAsia" w:ascii="仿宋" w:hAnsi="仿宋" w:eastAsia="仿宋" w:cs="仿宋"/>
          <w:kern w:val="2"/>
          <w:sz w:val="32"/>
          <w:szCs w:val="32"/>
          <w:lang w:val="en-US" w:eastAsia="zh-CN"/>
        </w:rPr>
        <w:t>中，</w:t>
      </w:r>
      <w:r>
        <w:rPr>
          <w:rFonts w:hint="eastAsia" w:ascii="仿宋" w:hAnsi="仿宋" w:eastAsia="仿宋" w:cs="仿宋"/>
          <w:kern w:val="2"/>
          <w:sz w:val="32"/>
          <w:szCs w:val="32"/>
        </w:rPr>
        <w:t>一般公共预算财政拨款支出</w:t>
      </w:r>
      <w:r>
        <w:rPr>
          <w:rFonts w:hint="eastAsia" w:ascii="仿宋" w:hAnsi="仿宋" w:eastAsia="仿宋" w:cs="仿宋"/>
          <w:kern w:val="2"/>
          <w:sz w:val="32"/>
          <w:szCs w:val="32"/>
          <w:lang w:val="en-US" w:eastAsia="zh-CN"/>
        </w:rPr>
        <w:t>2557.76</w:t>
      </w:r>
      <w:r>
        <w:rPr>
          <w:rFonts w:hint="eastAsia" w:ascii="仿宋" w:hAnsi="仿宋" w:eastAsia="仿宋" w:cs="仿宋"/>
          <w:kern w:val="2"/>
          <w:sz w:val="32"/>
          <w:szCs w:val="32"/>
        </w:rPr>
        <w:t>万元，占比</w:t>
      </w:r>
      <w:r>
        <w:rPr>
          <w:rFonts w:hint="eastAsia" w:ascii="仿宋" w:hAnsi="仿宋" w:eastAsia="仿宋" w:cs="仿宋"/>
          <w:kern w:val="2"/>
          <w:sz w:val="32"/>
          <w:szCs w:val="32"/>
          <w:lang w:val="en-US" w:eastAsia="zh-CN"/>
        </w:rPr>
        <w:t>71.47</w:t>
      </w:r>
      <w:r>
        <w:rPr>
          <w:rFonts w:hint="eastAsia" w:ascii="仿宋" w:hAnsi="仿宋" w:eastAsia="仿宋" w:cs="仿宋"/>
          <w:kern w:val="2"/>
          <w:sz w:val="32"/>
          <w:szCs w:val="32"/>
        </w:rPr>
        <w:t>%；政府性基金预算财政拨款支出</w:t>
      </w:r>
      <w:r>
        <w:rPr>
          <w:rFonts w:hint="eastAsia" w:ascii="仿宋" w:hAnsi="仿宋" w:eastAsia="仿宋" w:cs="仿宋"/>
          <w:kern w:val="2"/>
          <w:sz w:val="32"/>
          <w:szCs w:val="32"/>
          <w:lang w:val="en-US" w:eastAsia="zh-CN"/>
        </w:rPr>
        <w:t>132.11</w:t>
      </w:r>
      <w:r>
        <w:rPr>
          <w:rFonts w:hint="eastAsia" w:ascii="仿宋" w:hAnsi="仿宋" w:eastAsia="仿宋" w:cs="仿宋"/>
          <w:kern w:val="2"/>
          <w:sz w:val="32"/>
          <w:szCs w:val="32"/>
        </w:rPr>
        <w:t>万元，占比</w:t>
      </w:r>
      <w:r>
        <w:rPr>
          <w:rFonts w:hint="eastAsia" w:ascii="仿宋" w:hAnsi="仿宋" w:eastAsia="仿宋" w:cs="仿宋"/>
          <w:kern w:val="2"/>
          <w:sz w:val="32"/>
          <w:szCs w:val="32"/>
          <w:lang w:val="en-US" w:eastAsia="zh-CN"/>
        </w:rPr>
        <w:t>3.7</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，其他为往来收支及年度结转结余</w:t>
      </w:r>
      <w:r>
        <w:rPr>
          <w:rFonts w:hint="eastAsia" w:ascii="仿宋" w:hAnsi="仿宋" w:eastAsia="仿宋" w:cs="仿宋"/>
          <w:kern w:val="2"/>
          <w:sz w:val="32"/>
          <w:szCs w:val="32"/>
        </w:rPr>
        <w:t>。</w:t>
      </w:r>
    </w:p>
    <w:p w14:paraId="41DD59F5">
      <w:pPr>
        <w:pStyle w:val="6"/>
        <w:keepNext w:val="0"/>
        <w:keepLines w:val="0"/>
        <w:pageBreakBefore w:val="0"/>
        <w:numPr>
          <w:ilvl w:val="0"/>
          <w:numId w:val="0"/>
        </w:numPr>
        <w:kinsoku/>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rPr>
        <w:t>2、2024年末固定资产总额5537042.4元，其中办公用房3632639.1元，设备1510456.3元，家具用具393947元。</w:t>
      </w:r>
      <w:r>
        <w:rPr>
          <w:rFonts w:hint="eastAsia" w:ascii="仿宋" w:hAnsi="仿宋" w:eastAsia="仿宋" w:cs="仿宋"/>
          <w:sz w:val="32"/>
          <w:szCs w:val="32"/>
        </w:rPr>
        <w:t>截至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12月31日，本单位共有车辆0辆。单位价值50万元以上的通用设备0台（套），单位价值200万元以上的大型设备0台（套）。</w:t>
      </w:r>
    </w:p>
    <w:p w14:paraId="01BB033B">
      <w:pPr>
        <w:pStyle w:val="6"/>
        <w:keepNext w:val="0"/>
        <w:keepLines w:val="0"/>
        <w:pageBreakBefore w:val="0"/>
        <w:numPr>
          <w:ilvl w:val="0"/>
          <w:numId w:val="0"/>
        </w:numPr>
        <w:kinsoku/>
        <w:overflowPunct/>
        <w:topLinePunct w:val="0"/>
        <w:autoSpaceDE/>
        <w:autoSpaceDN/>
        <w:bidi w:val="0"/>
        <w:adjustRightInd/>
        <w:snapToGrid/>
        <w:spacing w:before="0" w:beforeAutospacing="0" w:after="0" w:afterAutospacing="0" w:line="360" w:lineRule="auto"/>
        <w:ind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（五）财政财务管理制度及执行情况</w:t>
      </w:r>
    </w:p>
    <w:p w14:paraId="27B1F505">
      <w:pPr>
        <w:pStyle w:val="6"/>
        <w:keepNext w:val="0"/>
        <w:keepLines w:val="0"/>
        <w:pageBreakBefore w:val="0"/>
        <w:numPr>
          <w:ilvl w:val="0"/>
          <w:numId w:val="0"/>
        </w:numPr>
        <w:kinsoku/>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按照要求从收入业务、支出业务、政府采购业务、资产业务、建设项目以及合同管理六个方面制定了内部控制制度，单位所有支出均依法依规管理，符合资金管理制度，依据充分，原始票据完整，履行了单位财务集中会审程序，严格按照预算安排支出，有预算不超支，无预算不开支，预算执行率高，保障了单位各项工作的顺利开展。</w:t>
      </w:r>
    </w:p>
    <w:p w14:paraId="632279B2">
      <w:pPr>
        <w:pStyle w:val="6"/>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 w:hAnsi="仿宋" w:eastAsia="仿宋" w:cs="仿宋"/>
          <w:color w:val="333333"/>
          <w:sz w:val="32"/>
          <w:szCs w:val="32"/>
          <w:lang w:val="en-US" w:eastAsia="zh-CN"/>
        </w:rPr>
      </w:pPr>
    </w:p>
    <w:p w14:paraId="2B1FC54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二、部门（单位）整体支出绩效状况</w:t>
      </w:r>
    </w:p>
    <w:p w14:paraId="0A3184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本年度多个专项支出均按照年初预算按月、按季监测主要经济目标运行情况，有预算不超支，专款专用，做好各项与自然资源管理有关的登记发证、自然资源执法、地质灾害、耕地保护等专项工作，尽力争取单个专项工作不断向绩效目标靠拢，如：省石膏矿抽水保安经费预算207万，给地下抽水安保工作提供了经费保障，保证了人民的生命财产安全；</w:t>
      </w:r>
      <w:bookmarkStart w:id="0" w:name="_GoBack"/>
      <w:bookmarkEnd w:id="0"/>
      <w:r>
        <w:rPr>
          <w:rFonts w:hint="eastAsia" w:ascii="仿宋" w:hAnsi="仿宋" w:eastAsia="仿宋" w:cs="仿宋"/>
          <w:b w:val="0"/>
          <w:bCs w:val="0"/>
          <w:sz w:val="32"/>
          <w:szCs w:val="32"/>
          <w:lang w:val="en-US" w:eastAsia="zh-CN"/>
        </w:rPr>
        <w:t>卫片执法、拆除违法建筑及规划执法经费594万，严查了土地违法违规行为，开展矿山“打非治违”行动，显著加强执法监察，有效防治地质灾害，加大保护和巡查力度，及时制止、上报各类土地违法行为尤其是破坏耕地行为，狠抓占补平衡，使耕地资源得到有力保护；</w:t>
      </w:r>
      <w:r>
        <w:rPr>
          <w:rFonts w:hint="eastAsia" w:ascii="仿宋" w:hAnsi="仿宋" w:eastAsia="仿宋" w:cs="仿宋"/>
          <w:sz w:val="32"/>
          <w:szCs w:val="32"/>
          <w:lang w:val="en-US" w:eastAsia="zh-CN"/>
        </w:rPr>
        <w:t>2024年度完成全市全年所有报批土地的界线测绘，并出具红线图、蓝线图、平面布置图及规划依据图，</w:t>
      </w:r>
      <w:r>
        <w:rPr>
          <w:rFonts w:hint="eastAsia" w:ascii="仿宋" w:hAnsi="仿宋" w:eastAsia="仿宋" w:cs="仿宋"/>
          <w:b w:val="0"/>
          <w:bCs w:val="0"/>
          <w:sz w:val="32"/>
          <w:szCs w:val="32"/>
          <w:lang w:val="en-US" w:eastAsia="zh-CN"/>
        </w:rPr>
        <w:t>为了“多测合一”全流程一站式受理、服务，为“放、管、服”改革在自然资源领域的深化推进及邵东市经济建设发挥积极的作用，所有测绘业务实现一站式受理，一次数据采集，成果共享，极大的节省了项目方时间成本，深受服务对象好评。土地市场得到有序发展，圆满完成年度预算收入，厉行节约，严格控制“三公”经费，使有限的资金达到最好的效果，做好本职工作，履行单位职能，全心全意为人民服务，树立良好形象！</w:t>
      </w:r>
    </w:p>
    <w:p w14:paraId="18271FE6">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sz w:val="32"/>
          <w:szCs w:val="32"/>
        </w:rPr>
      </w:pPr>
    </w:p>
    <w:p w14:paraId="39C4A293">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b/>
          <w:bCs/>
          <w:sz w:val="32"/>
          <w:szCs w:val="32"/>
        </w:rPr>
      </w:pPr>
      <w:r>
        <w:rPr>
          <w:rFonts w:hint="eastAsia" w:ascii="仿宋" w:hAnsi="仿宋" w:eastAsia="仿宋" w:cs="仿宋"/>
          <w:b/>
          <w:bCs/>
          <w:sz w:val="32"/>
          <w:szCs w:val="32"/>
        </w:rPr>
        <w:t>三、存在的问题及原因</w:t>
      </w:r>
    </w:p>
    <w:p w14:paraId="6A1F39D0">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项目存在跨年度实施，或者其他不可预见因素，致使专项资金有时不能在当年度有效使用，需要年度结转，或者不能完全按照预算安排具体支出从而达不到符合明细用途的要求。</w:t>
      </w:r>
    </w:p>
    <w:p w14:paraId="74D7C771">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sz w:val="32"/>
          <w:szCs w:val="32"/>
        </w:rPr>
      </w:pPr>
    </w:p>
    <w:p w14:paraId="16291E55">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b/>
          <w:bCs/>
          <w:sz w:val="32"/>
          <w:szCs w:val="32"/>
        </w:rPr>
      </w:pPr>
      <w:r>
        <w:rPr>
          <w:rFonts w:hint="eastAsia" w:ascii="仿宋" w:hAnsi="仿宋" w:eastAsia="仿宋" w:cs="仿宋"/>
          <w:b/>
          <w:bCs/>
          <w:sz w:val="32"/>
          <w:szCs w:val="32"/>
        </w:rPr>
        <w:t>四、提高财政资金绩效的措施与建议</w:t>
      </w:r>
    </w:p>
    <w:p w14:paraId="7D27DFBA">
      <w:pPr>
        <w:keepNext w:val="0"/>
        <w:keepLines w:val="0"/>
        <w:pageBreakBefore w:val="0"/>
        <w:kinsoku/>
        <w:overflowPunct/>
        <w:topLinePunct w:val="0"/>
        <w:autoSpaceDE/>
        <w:autoSpaceDN/>
        <w:bidi w:val="0"/>
        <w:adjustRightInd/>
        <w:snapToGrid/>
        <w:spacing w:line="360" w:lineRule="auto"/>
        <w:ind w:firstLine="614" w:firstLineChars="192"/>
        <w:textAlignment w:val="auto"/>
        <w:rPr>
          <w:rFonts w:hint="eastAsia" w:ascii="仿宋" w:hAnsi="仿宋" w:eastAsia="仿宋" w:cs="仿宋"/>
          <w:color w:val="000000"/>
          <w:kern w:val="0"/>
          <w:sz w:val="32"/>
          <w:szCs w:val="32"/>
        </w:rPr>
      </w:pPr>
      <w:r>
        <w:rPr>
          <w:rFonts w:hint="eastAsia" w:ascii="仿宋" w:hAnsi="仿宋" w:eastAsia="仿宋" w:cs="仿宋"/>
          <w:sz w:val="32"/>
          <w:szCs w:val="32"/>
          <w:lang w:eastAsia="zh-CN"/>
        </w:rPr>
        <w:t>将继续履行职责，做好更细致的基础工作以便资金预算安排合理，更好地达到资金绩效目标。</w:t>
      </w:r>
    </w:p>
    <w:p w14:paraId="5E5CA919">
      <w:pPr>
        <w:spacing w:line="520" w:lineRule="exact"/>
        <w:rPr>
          <w:rFonts w:hint="eastAsia" w:ascii="仿宋" w:hAnsi="仿宋" w:eastAsia="仿宋" w:cs="仿宋"/>
          <w:color w:val="000000"/>
          <w:kern w:val="0"/>
          <w:sz w:val="32"/>
          <w:szCs w:val="32"/>
        </w:rPr>
      </w:pPr>
    </w:p>
    <w:p w14:paraId="52D159D0">
      <w:pPr>
        <w:spacing w:line="520" w:lineRule="exact"/>
        <w:rPr>
          <w:rFonts w:hint="eastAsia" w:ascii="仿宋" w:hAnsi="仿宋" w:eastAsia="仿宋" w:cs="仿宋"/>
          <w:color w:val="000000"/>
          <w:kern w:val="0"/>
          <w:sz w:val="32"/>
          <w:szCs w:val="32"/>
        </w:rPr>
      </w:pPr>
    </w:p>
    <w:p w14:paraId="434891E7">
      <w:pPr>
        <w:spacing w:line="520" w:lineRule="exact"/>
        <w:rPr>
          <w:rFonts w:hint="eastAsia" w:ascii="仿宋" w:hAnsi="仿宋" w:eastAsia="仿宋" w:cs="仿宋"/>
          <w:color w:val="000000"/>
          <w:kern w:val="0"/>
          <w:sz w:val="32"/>
          <w:szCs w:val="32"/>
        </w:rPr>
      </w:pPr>
    </w:p>
    <w:p w14:paraId="47E4254F">
      <w:pPr>
        <w:spacing w:line="520" w:lineRule="exact"/>
        <w:rPr>
          <w:rFonts w:hint="eastAsia" w:ascii="仿宋" w:hAnsi="仿宋" w:eastAsia="仿宋" w:cs="仿宋"/>
          <w:color w:val="000000"/>
          <w:kern w:val="0"/>
          <w:sz w:val="32"/>
          <w:szCs w:val="32"/>
        </w:rPr>
      </w:pPr>
    </w:p>
    <w:p w14:paraId="26E51F05">
      <w:pPr>
        <w:rPr>
          <w:rFonts w:hint="eastAsia" w:ascii="仿宋" w:hAnsi="仿宋" w:eastAsia="仿宋" w:cs="仿宋"/>
          <w:sz w:val="32"/>
          <w:szCs w:val="32"/>
        </w:rPr>
      </w:pPr>
    </w:p>
    <w:p w14:paraId="0FEC7D49"/>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465B">
    <w:pPr>
      <w:pStyle w:val="4"/>
      <w:tabs>
        <w:tab w:val="left" w:pos="964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232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774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B4B8">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C42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D33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zkwZTczNzE4NDVmMjY3NTQ2OGY4MGI3YjdjYzgifQ=="/>
  </w:docVars>
  <w:rsids>
    <w:rsidRoot w:val="32D16188"/>
    <w:rsid w:val="00B32474"/>
    <w:rsid w:val="020967F0"/>
    <w:rsid w:val="041E612A"/>
    <w:rsid w:val="0A2E1547"/>
    <w:rsid w:val="13FA41EA"/>
    <w:rsid w:val="1AB90641"/>
    <w:rsid w:val="23231471"/>
    <w:rsid w:val="25383810"/>
    <w:rsid w:val="2B1E53A8"/>
    <w:rsid w:val="2B2A1ACC"/>
    <w:rsid w:val="2D4253A2"/>
    <w:rsid w:val="309C4B4F"/>
    <w:rsid w:val="32D16188"/>
    <w:rsid w:val="36AF4749"/>
    <w:rsid w:val="38B14F10"/>
    <w:rsid w:val="423821FE"/>
    <w:rsid w:val="481E1E96"/>
    <w:rsid w:val="4C2F6420"/>
    <w:rsid w:val="4D493511"/>
    <w:rsid w:val="4E1B7F00"/>
    <w:rsid w:val="5DB62EB2"/>
    <w:rsid w:val="5FB87DC0"/>
    <w:rsid w:val="6A5135AE"/>
    <w:rsid w:val="6BDD159D"/>
    <w:rsid w:val="6FE3114C"/>
    <w:rsid w:val="728564EA"/>
    <w:rsid w:val="745F3497"/>
    <w:rsid w:val="74BD01BD"/>
    <w:rsid w:val="7583021F"/>
    <w:rsid w:val="75AD3D8E"/>
    <w:rsid w:val="797777F3"/>
    <w:rsid w:val="7C8B6DF3"/>
    <w:rsid w:val="7DBE5D90"/>
    <w:rsid w:val="7EAA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2296</Words>
  <Characters>2445</Characters>
  <Lines>0</Lines>
  <Paragraphs>0</Paragraphs>
  <TotalTime>29</TotalTime>
  <ScaleCrop>false</ScaleCrop>
  <LinksUpToDate>false</LinksUpToDate>
  <CharactersWithSpaces>2472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2024-10-16T01:16:00Z</dcterms:created>
  <dc:creator>Administrator</dc:creator>
  <cp:lastModifiedBy>Administrator</cp:lastModifiedBy>
  <dcterms:modified xsi:type="dcterms:W3CDTF">2025-10-29T03:54:55Z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53517D7459AC497DBED7F276732262EF_11</vt:lpwstr>
  </property>
  <property fmtid="{D5CDD505-2E9C-101B-9397-08002B2CF9AE}" pid="4" name="KSOTemplateDocerSaveRecord">
    <vt:lpwstr>eyJoZGlkIjoiODI3MzkwZTczNzE4NDVmMjY3NTQ2OGY4MGI3YjdjYzgifQ==</vt:lpwstr>
  </property>
</Properties>
</file>