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方正大标宋简体" w:eastAsia="黑体"/>
        </w:rPr>
      </w:pPr>
      <w:r>
        <w:rPr>
          <w:rFonts w:ascii="黑体" w:hAnsi="方正大标宋简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-271780</wp:posOffset>
                </wp:positionV>
                <wp:extent cx="1589405" cy="442595"/>
                <wp:effectExtent l="0" t="0" r="10795" b="19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66" w:lineRule="atLeast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SDDR-20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-0000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snapToGrid w:val="0"/>
                              <w:spacing w:line="620" w:lineRule="exact"/>
                            </w:pPr>
                          </w:p>
                          <w:p>
                            <w:pPr>
                              <w:snapToGrid w:val="0"/>
                              <w:spacing w:line="620" w:lineRule="exac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-21.4pt;height:34.85pt;width:125.15pt;z-index:251659264;mso-width-relative:page;mso-height-relative:page;" fillcolor="#FFFFFF" filled="t" stroked="f" coordsize="21600,21600" o:gfxdata="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IzpH1gAAAAkBAAAPAAAAAAAAAAEAIAAAACIA&#10;AABkcnMvZG93bnJldi54bWxQSwECFAAUAAAACACHTuJAMnupctIBAACpAwAADgAAAAAAAAABACAA&#10;AAAl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566" w:lineRule="atLeast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 w:cs="黑体"/>
                          <w:sz w:val="31"/>
                        </w:rPr>
                        <w:t>SDDR-20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黑体" w:eastAsia="黑体" w:cs="黑体"/>
                          <w:sz w:val="31"/>
                        </w:rPr>
                        <w:t>-0000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snapToGrid w:val="0"/>
                        <w:spacing w:line="620" w:lineRule="exact"/>
                      </w:pPr>
                    </w:p>
                    <w:p>
                      <w:pPr>
                        <w:snapToGrid w:val="0"/>
                        <w:spacing w:line="6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_GB2312" w:hAnsi="Calibri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center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方正大标宋简体" w:eastAsia="仿宋_GB2312" w:cs="黑体"/>
          <w:kern w:val="32"/>
          <w:sz w:val="32"/>
          <w:szCs w:val="32"/>
        </w:rPr>
      </w:pP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邵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eastAsia="zh-CN"/>
        </w:rPr>
        <w:t>东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政发〔20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〕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1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</w:pPr>
      <w:r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邵东市人民政府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邵东市优化营商环境促进市场主体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高质量发展实施方案（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2022-2025年）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各乡镇人民政府、街道办事处、皇帝岭林场，市直有关单位，省、邵阳市驻邵有关单位：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现将《邵东市优化营商环境促进市场主体高质量发展实施方案（2022-2025年）》印发给你们，请认真贯彻执行。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邵东市人民政府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2022年3月31日    </w:t>
      </w:r>
    </w:p>
    <w:p/>
    <w:p>
      <w:pP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邵东市优化营商环境促进市场主体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高质量发展实施方案（2022—2025年）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为全面落实“三高四新”战略定位和使命任务，持续深化“放管服”改革，优化营商环境，促进市场主体高质量发展，按照《湖南省人民政府关于优化营商环境促进市场主体高质量发展的意见》（湘政发〔2022〕2号）和《邵阳市人民政府关于印发〈邵阳市优化营商环境促进市场主体高质量发展实施方案（2022-2025年）〉的通知》（邵市政发〔2022〕3号）要求，结合我市实际，制定本方案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以习近平新时代中国特色社会主义思想为指导，全面贯彻党的十九大和十九届历次全会精神，深入落实习近平总书记对湖南重要讲话重要指示批示精神，按照省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、邵阳市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第十二次党代会部署要求，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精准实施宏观政策，深化商事制度改革，盯紧“三个高地”建设，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大力优化营商环境，实施优质企业梯度培育行动和市场主体倍增工程，加快建设高标准市场体系，以市场主体的高质量发展助推现代化新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邵东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建设。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、发展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目标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市场主体总量显著增长</w:t>
      </w: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市场主体生命力、活跃度不断提升，总量持续增长。到2025年末，全市市场主体力争达到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13.68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。其中，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3.83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个体工商户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和农民专业合作社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9.85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——市场主体结构不断优化。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市场主体多元发展，三次产业布局更加合理，“三个高地”支撑更加有力。到2025年末，全市规模以上农产品加工企业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138户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、规模以上建筑业企业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、规模以上服务业企业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127户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、限额以上商贸流通企业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700户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、“四上”文化旅游企业达到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38户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，净增规模以上工业企业达到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、高新技术企业达到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200户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、外商投资企业达到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、外贸实绩企业达到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450户。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——市场主体质量稳步提升。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加快“个转企、小升规、规改股、股上市”提档升级，市场主体综合实力、创新能力、经济效益不断提升，实现绿色化、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质量增长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。到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2025年末，引进三类500强企业8户，上市公司突破1家，国家级、省级“小巨人”企业分别突破5户、35户，国家级制造业单项冠军企业（产品）达到1个，评价入库科技型中小企业突破150户。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——市场主体生态持续改善。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营商环境全面优化，土地、资本、数据等要素市场化配置改革不断深化，产业配套能力持续提升，经营成本有效降低，行政服务水平和市场治理效能不断提升，企业办事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更加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便捷，发展生态更趋良好。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重点任务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（一）实施重点企业培育行动。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建立产业发展目录和投资指南，聚焦先进制造业、创新创造、外资外贸、农业农村、文化旅游等重点领域，突出培育企业主体。建立“科企——高企——小巨人——上市领军型”企业梯度培育体系，加强“大院大所大企”合作，实施产业领军企业“头雁领航”工程。加强与东盟、非洲等地的深度合作，加大力度推动中非产业园、东盟科技产业园建设，率先打造湖南自贸区联动发展区，推动形成对接非洲和东盟经贸合作长效机制。深入推进“六大强农”行动，实施“百企千社万户”工程，支持农业产业化龙头企业、农民专业合作社参与乡村振兴项目，鼓励支持农业企业股改、上市。加强文化旅游资源保护与开发利用，推动旅游业提质升档，大力推进全域旅游、乡村旅游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，着力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培养文化旅游企业。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（市科工局、市商务局、市农业农村局、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市乡村振兴局、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市文旅广体局等按职责分工负责）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（二）实施中小企业和个体工商户培育行动。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强化统筹协调机制作用，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续推动减税降费、减租降息、普惠金融等纾困惠企政策直达基层、直接惠及个体工商户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和中小企业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。落实个体工商户稳岗就业补贴，降低小微企业和个体工商户地租成本，引导平台企业降低不合理收费和抽成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。运用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普惠小微企业和个体工商户贷款支持工具，做好普惠小微企业信用贷款支持计划接续转换工作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推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动个体工商户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和中小企业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扩面，不断提高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其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存活率、活跃度，稳住市场主体培育的基本盘。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（市市监局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牵头，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市发改局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市财政局、市税务局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市人社局、市住建局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</w:rPr>
        <w:t>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（三）实施“个转企”培育行动。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建立“个转企”种子培育库，加大“个转企”支持力度，符合条件的“个转企”企业，转企三年内享受小微企业税费优惠政策。推动实现“个转企”登记程序一件事一次办，保持“个转企”登记档案延续性、一致性，支持个体工商户享有的专利权、商标权、名称权等权益保护转移至“个转企”企业名下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（市市监局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牵头，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市科工局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市人社局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市自然资源局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人民银行邵东支行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市税务局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（四）实施“四上”企业培育行动。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开展“新增规模以上工业企业”行动，充分挖掘规上企业新增量，支持新增规上企业稳定在库。建立存量企业退库预警机制，加强临退企业经营情况监测分析，帮助企业纾困解难，切实减少退库数量。支持资质等级建筑业企业、限额以上批零住宿餐饮企业、限额以上服务业企业规模发展。（市发改局、市科工局、市财政局、市住建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市商务局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市工商联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（五）实施企业上市培育行动。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贯彻落实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企业上市“金芙蓉跃升”计划，扩充上市后备资源，强化后备企业培育辅导，引导企业规范治理，做好风险防范，支持企业做强做优。拓宽上市渠道，着力推动科技创新型企业科创板上市，加快推动“三创四新”企业创业板上市，稳步推进创新型中小企业北交所上市，鼓励再融资和并购重组，积极招引优质上市公司和后备企业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（市金融办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牵头，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市人民法院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市人民检察院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市发改局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市科工局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市财政局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市商务局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市监局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、市税务局等按职责分工负责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主要举措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（一）加大财税支持力度。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完善财政资金直达机制，强化日常监控，确保直达资金落实到位、规范使用。优化税费优惠政策适用程序，推行惠企政策“免申即享”。落实制造业增值税留抵退税、小规模纳税人减征免征等减税降费政策。加强非税收入退付管理，确保取消、停征、免征及降低征收标准的收费基金项目落实到位。支持招大引强，对世界500强、中国500强、民营500强、行业领军企业来邵新设立企业总部的，按“一事一议”方式对其在邵企业给予支持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（市财政局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市税务局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市直和省、邵阳市驻邵有关单位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提高助企纾困实效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开展“百行进万企”融资对接活动，推广银税互动、银保合作、政银担合作等模式，用好“信易贷”“潇湘财银贷”等平台和工具，增加信用贷款、首贷投放，推广随借随还贷款。充分发挥过桥资金作用，降低过桥费率，有效降低企业续贷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综合融资成本。（人民银行邵东支行牵头，市发改局、市科工局、市财政局、市金融办、市人社局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市住建局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市市监局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市医保局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市税务局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国网邵东市供电公司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（三）降低企业要素成本。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完善周转地、标准地、弹性地政策，引导企业集聚发展。做好保供稳价工作，加快推进重点工程建设，科学调度煤、电、油、气、运，防止要素成本高企造成市场预期减弱。加强城镇供水供电供气清理规范，帮助企业解决用工、资金、关键零部件供应等生产要素问题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（市发改局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市自然资源局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市科工局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市人社局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人民银行邵东支行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市供销合作联社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国网邵东市供电公司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等按职责分工负责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（四）优化行政审批服务。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深入推进住所（经营场所）登记制度改革，推动“非禁即入”普遍落实。实现“证照分离”改革全覆盖，推进“照后减证”和简化审批。深化“一件事一次办”改革，提高“一网通办”效率，扩大“跨省通办”范围。推动高频电子证照标准化和跨区域互认共享。深化工程建设项目审批制度改革，进一步压减电力接入审批时间。发挥破产处置府院联动机制作用，优化简易注销制度。（市发改局、市行政审批服务局牵头，市司法局、市公安局、市人民法院、市人社局、市商务局、市税务局、市住建局、市市监局、人民银行邵东支行等按职责分工负责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（五）营造公平竞争环境。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废除与企业性质、属地或规模挂钩的歧视性准入规定和补贴政策，加强民生保障、促进创新等重点领域的反垄断和反不正当竞争执法。完善涉企收费目录清单制度，加强涉企收费治理。发挥“互联网+监管”平台作用，推进部门联合“双随机、一公开”监管常态化。推广信用承诺制、告知承诺制，健全守信联合激励和失信联合惩戒机制。完善产权保护制度，依法全面保护各类产权。实行包容审慎监管，压缩自由裁量空间，推行轻微违法“首违不罚”。严格市场监管、质量监管、安全监管、金融监管，加强违法惩戒，严守市场安全底线。加强行业自律，建立健全行业规范，推动行业诚信体系建设。（市市监局牵头，市人民法院、市人民检察院、市发改局、市公安局、市住建局、市交通运输局、市农业农村局、市文旅广体局、市卫健局、市金融办、人民银行邵东支行、市税务局、市司法局等按职责分工负责）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五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（一）强化组织保障。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建立市场主体高质量发展市级推进工作机制（以下简称推进机制），由市委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书记周玉凡、市长李国军任总召集人，分管副市长龙薇薇任副召集人，各乡镇人民政府（街道、场）党政负责人、市直有关单位主要负责人为成员。推进机制办公室设市市监局，由市市监局党组书记、局长申明理任办公室主任，统筹推进市场主体倍增工作，协调解决工作中的重大问题。各乡镇人民政府（街道、场）、经开区管委会要建立相应工作机制，加强组织领导和统筹协调。各成员单位要组建工作专班，切实做好任务落实和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（二）强化责任落实。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市市监局、市发改局、市科工局、市商务局、市农业农村局、市住建局、市金融办、市文旅广体局、经开区管委会等指标牵头部门和各乡镇（街道、场）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根据方案分工和目标清单，结合本地本部门实际，进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一步细化目标任务，分级分类制定任务书、路线图，确保任务落实到位。其他相关责任单位要根据方案分工，制定推进市场主体倍增工程的具体政策措施。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（三）强化考核监测。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市场主体培育推进情况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纳入绩效考核体系和市政府“三重点”工作，对各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实行月调度、季讲评、年考核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政府督查室要将市场主体培育工作纳入重点督查范围，定期跟踪督查。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推进机制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办公室要牵头建立统计监测制度，建立健全统计监测指标体系，加强日常监测，强化工作调度。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（四）强化宣传引导。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各部门要充分利用各类媒体，宣传市场主体在经济社会发展中的重要地位、作用和培育市场主体的重要意义，以及优化营商环境促进市场主体倍增的政策措施，做好政策措施宣传解读，扩大知晓度、支持度和参与度，及时回应社会关切，确保政策措施全面落实；要及时总结市场主体培育发展中可推广复制的典型经验，提振市场主体信心，营造良好的舆论氛围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场主体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发展目标清单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1926" w:leftChars="759" w:hanging="332" w:hangingChars="1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2.全市市场主体倍增工程乡镇（街道）分解表（市场主体类、企业类、个转企类）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211" w:right="1474" w:bottom="1928" w:left="164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场主体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发展目标清单</w:t>
      </w:r>
    </w:p>
    <w:tbl>
      <w:tblPr>
        <w:tblStyle w:val="8"/>
        <w:tblW w:w="1007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77"/>
        <w:gridCol w:w="843"/>
        <w:gridCol w:w="813"/>
        <w:gridCol w:w="775"/>
        <w:gridCol w:w="1824"/>
        <w:gridCol w:w="3245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1" w:hRule="atLeast"/>
          <w:tblHeader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指标类型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（以下均含各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、街道办事处、经开区管委会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（万户）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13.68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市市监局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市发改局、市公安局、市科工局、市财政局、市人社局、市医保局、市税务局、人民银行邵东支行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（万户）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3.83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个转企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规模以上农产品加工企业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市科工局、市商务局、市乡村振兴局等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具有总承包和专业承包资质的独立核算建筑业企业（户）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市交通运输局、市水利局、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市财政局等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规模以上服务业企业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市发改局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市科工局、市住建局、市交通运输局、市商务局、市文旅广体局、市金融办等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限额以上商贸流通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市发改局、市税务局、市统计局等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净增规模以上工业企业（户）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市科工局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市发改局等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国家级小巨人企业（户）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市科工局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市工商联等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省级小巨人企业（户）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国家级制造业单项冠军企业（产品）（个）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市发改局、市工商联等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“四上”文化旅游企业（户）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市文旅广体局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市农业农村局、市商务局、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市市监局等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上市公司（户）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市金融办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市人民法院、市人民检察院、市发改局、市科工局、市财政局、市商务局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外商投资企业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市市监局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市金融办等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外贸实绩企业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高新技术企业（户）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市科工局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市市监局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4" w:hRule="exac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评价入库科技型中小企业（户）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74" w:bottom="1417" w:left="1644" w:header="851" w:footer="73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全市市场主体倍增工程乡镇（街道）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分解表（市场主体类）</w:t>
      </w:r>
    </w:p>
    <w:p>
      <w:pPr>
        <w:pStyle w:val="5"/>
        <w:rPr>
          <w:rFonts w:hint="eastAsia"/>
        </w:rPr>
      </w:pPr>
    </w:p>
    <w:tbl>
      <w:tblPr>
        <w:tblStyle w:val="8"/>
        <w:tblW w:w="56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73"/>
        <w:gridCol w:w="773"/>
        <w:gridCol w:w="773"/>
        <w:gridCol w:w="839"/>
        <w:gridCol w:w="839"/>
        <w:gridCol w:w="839"/>
        <w:gridCol w:w="839"/>
        <w:gridCol w:w="839"/>
        <w:gridCol w:w="839"/>
        <w:gridCol w:w="839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2022年新增市场主体总量月度目标数（户）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55" w:rightChars="26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乡镇（街道）</w:t>
            </w: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月份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两市塘街道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魏家桥镇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宋家塘街道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6566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大禾塘街道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流泽镇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斫曹乡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牛马司镇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黑田铺镇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佘田桥镇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野鸡坪镇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流光岭镇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团山镇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砂石镇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灵官殿镇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堡面前乡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火厂坪镇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周官桥乡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仙槎桥镇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663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九龙岭镇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97" w:leftChars="0" w:hanging="1097" w:hangingChars="39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备注：1.2021年、2022年、2025年市场主体数是指“各年期末市场主体实有数”；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2.市场主体包括：企业、个体工商户、农民专业合作社；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97" w:leftChars="400" w:hanging="257" w:hangingChars="9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3.企业包括：内资公司及分支机构，个人独资企业、合伙企业及分支机构，外商投资企业及分支机构。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全市市场主体倍增工程乡镇（街道）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分解表（企业类）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8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2022年新增企业月度目标数（户）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60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乡镇（街道）</w:t>
            </w: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月份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两市塘街道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魏家桥镇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宋家塘街道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大禾塘街道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流泽镇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斫曹乡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牛马司镇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黑田铺镇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佘田桥镇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野鸡坪镇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流光岭镇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团山镇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砂石镇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灵官殿镇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堡面前乡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火厂坪镇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周官桥乡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仙槎桥镇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九龙岭镇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全市市场主体倍增工程乡镇（街道）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分解表（个转企类）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8"/>
        <w:tblW w:w="10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2022年个转企月度目标数（户）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tblHeader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乡镇（街道）</w:t>
            </w:r>
            <w:r>
              <w:rPr>
                <w:rStyle w:val="16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月份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两市塘街道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魏家桥镇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宋家塘街道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大禾塘街道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流泽镇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斫曹乡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牛马司镇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黑田铺镇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佘田桥镇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野鸡坪镇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流光岭镇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团山镇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砂石镇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灵官殿镇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堡面前乡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火厂坪镇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周官桥乡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仙槎桥镇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九龙岭镇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>
      <w:pPr>
        <w:pStyle w:val="4"/>
        <w:rPr>
          <w:rFonts w:hint="eastAsia"/>
        </w:rPr>
      </w:pPr>
    </w:p>
    <w:sectPr>
      <w:pgSz w:w="11906" w:h="16838"/>
      <w:pgMar w:top="1984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TNkYWZjZDlhZDBhN2U0N2MyZDE5ZTdiYzg5MjEifQ=="/>
  </w:docVars>
  <w:rsids>
    <w:rsidRoot w:val="005B59C1"/>
    <w:rsid w:val="005223D1"/>
    <w:rsid w:val="005B59C1"/>
    <w:rsid w:val="00605E2B"/>
    <w:rsid w:val="00613A5E"/>
    <w:rsid w:val="00617412"/>
    <w:rsid w:val="00B67A47"/>
    <w:rsid w:val="00BE3237"/>
    <w:rsid w:val="00C91CA2"/>
    <w:rsid w:val="00CB0A69"/>
    <w:rsid w:val="00CF3964"/>
    <w:rsid w:val="00DA74D6"/>
    <w:rsid w:val="00E12B9A"/>
    <w:rsid w:val="068F48FC"/>
    <w:rsid w:val="0B0C383E"/>
    <w:rsid w:val="0D837CD3"/>
    <w:rsid w:val="129552FC"/>
    <w:rsid w:val="138376B1"/>
    <w:rsid w:val="17B73A04"/>
    <w:rsid w:val="17C160F3"/>
    <w:rsid w:val="182F31F2"/>
    <w:rsid w:val="19A5464A"/>
    <w:rsid w:val="1B5A1A13"/>
    <w:rsid w:val="1C1214F1"/>
    <w:rsid w:val="1E707ECB"/>
    <w:rsid w:val="207C5596"/>
    <w:rsid w:val="218D763F"/>
    <w:rsid w:val="23244DDD"/>
    <w:rsid w:val="27F9292F"/>
    <w:rsid w:val="2A3869DA"/>
    <w:rsid w:val="2B2545E5"/>
    <w:rsid w:val="2DB84CA3"/>
    <w:rsid w:val="2F835584"/>
    <w:rsid w:val="2FD35FE3"/>
    <w:rsid w:val="31D73965"/>
    <w:rsid w:val="32A970B0"/>
    <w:rsid w:val="32D14DDA"/>
    <w:rsid w:val="33680182"/>
    <w:rsid w:val="34803781"/>
    <w:rsid w:val="34951ECC"/>
    <w:rsid w:val="35D97CAC"/>
    <w:rsid w:val="363E1FCA"/>
    <w:rsid w:val="36490DA7"/>
    <w:rsid w:val="384E465B"/>
    <w:rsid w:val="390F016B"/>
    <w:rsid w:val="3CCF5047"/>
    <w:rsid w:val="3D3714F8"/>
    <w:rsid w:val="40061D9E"/>
    <w:rsid w:val="41883DAE"/>
    <w:rsid w:val="48AA2E1B"/>
    <w:rsid w:val="49751599"/>
    <w:rsid w:val="4DC626AB"/>
    <w:rsid w:val="5153670D"/>
    <w:rsid w:val="51B1181C"/>
    <w:rsid w:val="55164052"/>
    <w:rsid w:val="594D1ED4"/>
    <w:rsid w:val="5CCA2861"/>
    <w:rsid w:val="5CD837E8"/>
    <w:rsid w:val="5E2E3C28"/>
    <w:rsid w:val="5F761778"/>
    <w:rsid w:val="61A16E20"/>
    <w:rsid w:val="6256685F"/>
    <w:rsid w:val="64A82DBC"/>
    <w:rsid w:val="67FB4551"/>
    <w:rsid w:val="69272880"/>
    <w:rsid w:val="6972741B"/>
    <w:rsid w:val="6B0679BC"/>
    <w:rsid w:val="6B9C561F"/>
    <w:rsid w:val="6F8932B5"/>
    <w:rsid w:val="70323303"/>
    <w:rsid w:val="718A7AD1"/>
    <w:rsid w:val="724A215F"/>
    <w:rsid w:val="732653D7"/>
    <w:rsid w:val="73317E3A"/>
    <w:rsid w:val="736B44C8"/>
    <w:rsid w:val="75A0768A"/>
    <w:rsid w:val="78D54D47"/>
    <w:rsid w:val="7B1B79EC"/>
    <w:rsid w:val="7C036DFE"/>
    <w:rsid w:val="7DB9249A"/>
    <w:rsid w:val="7E9C34EC"/>
    <w:rsid w:val="7EEC7406"/>
    <w:rsid w:val="7FBA7BD4"/>
    <w:rsid w:val="7FE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  <w:vertAlign w:val="subscript"/>
    </w:rPr>
  </w:style>
  <w:style w:type="character" w:customStyle="1" w:styleId="15">
    <w:name w:val="font10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  <w:vertAlign w:val="superscript"/>
    </w:rPr>
  </w:style>
  <w:style w:type="character" w:customStyle="1" w:styleId="16">
    <w:name w:val="font8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6330</Words>
  <Characters>7635</Characters>
  <Lines>5</Lines>
  <Paragraphs>1</Paragraphs>
  <TotalTime>5</TotalTime>
  <ScaleCrop>false</ScaleCrop>
  <LinksUpToDate>false</LinksUpToDate>
  <CharactersWithSpaces>8184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2018-09-18T08:55:00Z</dcterms:created>
  <dc:creator>xb21cn</dc:creator>
  <cp:lastModifiedBy>Administrator</cp:lastModifiedBy>
  <cp:lastPrinted>2022-05-31T07:20:00Z</cp:lastPrinted>
  <dcterms:modified xsi:type="dcterms:W3CDTF">2022-06-02T01:14:47Z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CE6301372B0A4A6281803AEAC6B1E33E</vt:lpwstr>
  </property>
</Properties>
</file>