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sz w:val="44"/>
          <w:szCs w:val="44"/>
          <w:lang w:val="en-US" w:eastAsia="zh-CN"/>
        </w:rPr>
      </w:pPr>
      <w:r>
        <w:rPr>
          <w:rFonts w:hint="eastAsia" w:ascii="黑体" w:hAnsi="仿宋" w:eastAsia="黑体"/>
          <w:sz w:val="44"/>
          <w:szCs w:val="44"/>
          <w:lang w:val="en-US" w:eastAsia="zh-CN"/>
        </w:rPr>
        <w:t>邵东市扶贫办2020年整体支出</w:t>
      </w:r>
    </w:p>
    <w:p>
      <w:pPr>
        <w:jc w:val="center"/>
        <w:rPr>
          <w:rFonts w:hint="eastAsia" w:ascii="黑体" w:hAnsi="仿宋" w:eastAsia="黑体"/>
          <w:sz w:val="44"/>
          <w:szCs w:val="44"/>
          <w:lang w:val="en-US" w:eastAsia="zh-CN"/>
        </w:rPr>
      </w:pPr>
      <w:r>
        <w:rPr>
          <w:rFonts w:hint="eastAsia" w:ascii="黑体" w:hAnsi="仿宋" w:eastAsia="黑体"/>
          <w:sz w:val="44"/>
          <w:szCs w:val="44"/>
          <w:lang w:val="en-US" w:eastAsia="zh-CN"/>
        </w:rPr>
        <w:t>绩效自评报告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一、部门（单位）概况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（一）机构组成。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i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333333"/>
          <w:kern w:val="0"/>
          <w:sz w:val="32"/>
          <w:szCs w:val="32"/>
          <w:lang w:val="en-US" w:eastAsia="zh-CN" w:bidi="ar"/>
        </w:rPr>
        <w:t>我单位共有内设股室5个：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综合股.2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政策法规股.3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、规划指导股。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、社会扶贫股。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、贫困监测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与教育培训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股。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（二）机构职能。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贯彻执行上级扶贫开发工作方针、政策；协调解决扶贫开发工作中的有关问题。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负责组织、协调、指导全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脱贫攻坚工作，组织实施精准扶贫、精准脱贫。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负责会同有关部门组织开展全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脱贫攻坚督查工作。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会同有关部门研究提出扶贫开发中长期发展规划和年度实施计划，并协调有关部门实施；负责开展扶贫信息体系建设；指导扶贫系统统计和信息化建设工作;组织实施贫困状况监测与统计。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指导、监督和检查扶贫资金的使用；指导财政扶贫项目库建设。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协调管理贫困地区与国际组织或机构的扶贫交流与合作；指导扶贫外资项目的实施与管理。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协调有关部门开展扶贫科技推广；组织指导扶贫有关的培训工作；负责扶贫开发的信息和宣传调研工作。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指导和协调全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社会扶贫开发工作；组织、指导全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金融扶贫工作。协同有关部门做好驻村帮扶工作。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承担协调扶贫开发系统风险防控、涉贫信访和舆情处置工作。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承办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扶贫开发领导小组的日常工作。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完成市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委、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政府交办的其他任务。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二、部门财政资金收支情况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（一）部门财政资金收入情况。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邵东市扶贫开发办公室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本年收入合计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2212.75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，其中：一般公共预算财政拨款收入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2212.75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万元，占100%。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（二）</w:t>
      </w: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部门财政资金支出情况。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645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邵东市扶贫开发办公室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本年支出合计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2212.75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128.72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万元，占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%；项目支出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2084.03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万元，占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。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邵东市扶贫开发办公室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财政拨款支出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2212.75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万元，主要用于以下方面：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农林水支出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（类）支出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1766.15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万元，占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79.8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,社会保障和就业支出438.66万元，占比19.8%，卫生健康支出7.94万元，占比0.4%。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三、部门财政支出管理情况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（一）预算编制情况。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邵东市扶贫开发办公室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能够按照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财政局要求编制预算，并同时填报绩效目标申报表，合理合规使用各项资金，将所有收支项目纳入绩效评价范围，遵守财经纪律。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（二）执行管理情况。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经过评价分析，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邵东市扶贫开发办公室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在预算执行进度方面总体能做到按进度申请资金，将财政资金合理、有序发放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整体绩效。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1、项目资金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安排使用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科学合理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按规定要求履行了立项手续，可行性研究报告、概算批复文件、专家论证等相关附件资料齐全。2、财政资金拨付到位及时。3、已建立项目管理制度并按照项目管理制度要求执行。4、按期保质保量完成建设。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创新队伍建设与管理。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val="en-US" w:eastAsia="zh-CN"/>
        </w:rPr>
        <w:t>6、全市贫困人口如期脱贫。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四、评价结论及建议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（一）评价结论。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根据相关资料及数据分析，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单位总体上能够很好的使用财政资金，使财政资金发挥效益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但也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存在些问题和不足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（二）存在问题</w:t>
      </w: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和不足</w:t>
      </w: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个别股室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对绩效评价不了解，对绩效管理的意义认识不清，尤其是对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的理解不够，还停留在是否按计划完成任务上，而没有将工作重点放在效益和效果方面。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72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（三）改进建议。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right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建立健全单位绩效评价制度和方法，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加强学习与培训，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增强财务人员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和项目相关股室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对绩效评价的理解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和业务能力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，提高财政资金的使用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  <w:lang w:eastAsia="zh-CN"/>
        </w:rPr>
        <w:t>效益和效果</w:t>
      </w:r>
      <w:r>
        <w:rPr>
          <w:rFonts w:hint="eastAsia" w:ascii="仿宋" w:hAnsi="仿宋" w:eastAsia="仿宋" w:cs="仿宋"/>
          <w:b w:val="0"/>
          <w:bCs/>
          <w:i w:val="0"/>
          <w:color w:val="333333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2A2DF1"/>
    <w:multiLevelType w:val="singleLevel"/>
    <w:tmpl w:val="682A2D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79AD"/>
    <w:rsid w:val="00C853E4"/>
    <w:rsid w:val="049B5421"/>
    <w:rsid w:val="08763E3D"/>
    <w:rsid w:val="0A1A6FC3"/>
    <w:rsid w:val="10BB5961"/>
    <w:rsid w:val="1452066F"/>
    <w:rsid w:val="15AA40CE"/>
    <w:rsid w:val="1BB66FA6"/>
    <w:rsid w:val="31462086"/>
    <w:rsid w:val="3A387775"/>
    <w:rsid w:val="457D79AD"/>
    <w:rsid w:val="486B79D4"/>
    <w:rsid w:val="74A30163"/>
    <w:rsid w:val="74F77EC2"/>
    <w:rsid w:val="79D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2021-09-26T02:53:00Z</dcterms:created>
  <dc:creator>Administrator</dc:creator>
  <cp:lastModifiedBy>Administrator</cp:lastModifiedBy>
  <dcterms:modified xsi:type="dcterms:W3CDTF">2021-09-26T23:57:46Z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57D477953C6040E1963CA481EB0C680C</vt:lpwstr>
  </property>
</Properties>
</file>