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邵东市委网信办2019年度部门整体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绩效评价报告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1"/>
        </w:num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基本概况</w:t>
      </w:r>
    </w:p>
    <w:p>
      <w:pPr>
        <w:numPr>
          <w:ilvl w:val="0"/>
          <w:numId w:val="2"/>
        </w:numPr>
        <w:spacing w:line="520" w:lineRule="exact"/>
        <w:ind w:firstLine="617" w:firstLineChars="192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单位职责：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（保密）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(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内设机构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（保密）</w:t>
      </w:r>
    </w:p>
    <w:p>
      <w:pPr>
        <w:spacing w:line="520" w:lineRule="exact"/>
        <w:ind w:firstLine="617" w:firstLineChars="192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）人员情况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核定行政编制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人，实有在职在编人数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二、整体支出绩效状况</w:t>
      </w:r>
    </w:p>
    <w:p>
      <w:pPr>
        <w:spacing w:line="520" w:lineRule="exact"/>
        <w:ind w:firstLine="617" w:firstLineChars="19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(一）整体支出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市委网信办2019年收到财政资金 24.76 万元，其中基本支出  10.8 万元，项目支出  13.96 万元；2019年全年实际支出   24.76万元；结余财政资金   0万元。基本支出结余  0  万元，项目支出结余0万元。</w:t>
      </w:r>
    </w:p>
    <w:p>
      <w:pPr>
        <w:spacing w:line="520" w:lineRule="exact"/>
        <w:ind w:firstLine="617" w:firstLineChars="19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（二）绩效状况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2019年，我办认真贯彻落实党中央和省委、市委关于意识形态和网络安全工作的决策部署,</w:t>
      </w:r>
      <w:r>
        <w:rPr>
          <w:rFonts w:hint="eastAsia" w:ascii="仿宋_GB2312" w:eastAsia="仿宋_GB2312"/>
          <w:sz w:val="32"/>
          <w:szCs w:val="32"/>
        </w:rPr>
        <w:t>在邵东市委正确领导下，</w:t>
      </w:r>
      <w:r>
        <w:rPr>
          <w:rFonts w:ascii="仿宋_GB2312" w:eastAsia="仿宋_GB2312"/>
          <w:sz w:val="32"/>
          <w:szCs w:val="32"/>
        </w:rPr>
        <w:t>严守政治纪律、组织纪律和宣传纪律,在思想上、政治上、行动上同以习近平同志为核心的党中央保持高度一致，认真贯彻落实中央、省委省政府、市委市政府的决策部署，及时解读中央、省、市出台的重大政策。着力加强网络内容建设，不断夯实网络主阵地、唱响网上主旋律，将工作责任落细落小落实；着力加强网信队伍建设，不断提升舆情应对处置能力；着力推进网络安全和信息化工作，不断提升网络安全保障能力水平和信息化创新驱动能力，基层基础工作不断加强，体制机制逐步健全，全市网信工作稳中有进、向上向好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财务人员业务水平和专业水平有待进一步提高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加强对专项资金的管理，按工作要求加快专项资金支出，切实发挥资金效益。制定合理的年度工作计划和年度经费支出预算，确保全年经费支出均衡。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五、附件（佐证依据）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96823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244B4"/>
    <w:multiLevelType w:val="singleLevel"/>
    <w:tmpl w:val="AD5244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33F5E0"/>
    <w:multiLevelType w:val="singleLevel"/>
    <w:tmpl w:val="0233F5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917C88"/>
    <w:rsid w:val="001F526C"/>
    <w:rsid w:val="00291D2E"/>
    <w:rsid w:val="003C1EB6"/>
    <w:rsid w:val="005B4B34"/>
    <w:rsid w:val="005C35A6"/>
    <w:rsid w:val="006B52DF"/>
    <w:rsid w:val="007C7E07"/>
    <w:rsid w:val="00823D71"/>
    <w:rsid w:val="008907A5"/>
    <w:rsid w:val="008D50CD"/>
    <w:rsid w:val="00966686"/>
    <w:rsid w:val="009F7C19"/>
    <w:rsid w:val="00A258B4"/>
    <w:rsid w:val="00A81488"/>
    <w:rsid w:val="00A93D54"/>
    <w:rsid w:val="00B21B54"/>
    <w:rsid w:val="00C94004"/>
    <w:rsid w:val="00DD2720"/>
    <w:rsid w:val="00F25BC1"/>
    <w:rsid w:val="21877465"/>
    <w:rsid w:val="37917C88"/>
    <w:rsid w:val="533213EA"/>
    <w:rsid w:val="6B74601B"/>
    <w:rsid w:val="6D92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578</Characters>
  <Lines>4</Lines>
  <Paragraphs>1</Paragraphs>
  <TotalTime>30</TotalTime>
  <ScaleCrop>false</ScaleCrop>
  <LinksUpToDate>false</LinksUpToDate>
  <CharactersWithSpaces>678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2020-09-22T08:46:00Z</dcterms:created>
  <dc:creator>acxzz</dc:creator>
  <cp:lastModifiedBy>acxzz</cp:lastModifiedBy>
  <cp:lastPrinted>2020-09-23T00:28:00Z</cp:lastPrinted>
  <dcterms:modified xsi:type="dcterms:W3CDTF">2020-09-27T00:57:55Z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