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LHDR-2022-00002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隆政发〔2022〕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1000" w:lineRule="exact"/>
        <w:ind w:firstLine="64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7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隆回县人民政府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关于印发《隆回县实施市场主体高质量发展倍增工程行动方案（2022-2025年）》的通知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各乡镇人民政府、街道办事处，县直及省市驻隆各相关单位：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60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《隆回县实施市场主体高质量发展倍增工程行动方案（2022-2025年）》已经县人民政府同意，现印发给你们，请认真遵照执行。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textAlignment w:val="auto"/>
        <w:rPr>
          <w:rFonts w:hint="eastAsi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60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/>
        </w:rPr>
        <w:t xml:space="preserve">            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     隆回县人民政府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96" w:firstLineChars="3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2022年3月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600" w:lineRule="exact"/>
        <w:textAlignment w:val="auto"/>
        <w:rPr>
          <w:rFonts w:hint="eastAsi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7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  <w:sectPr>
          <w:pgSz w:w="11906" w:h="16838"/>
          <w:pgMar w:top="1701" w:right="1417" w:bottom="1417" w:left="1417" w:header="851" w:footer="1134" w:gutter="0"/>
          <w:pgNumType w:fmt="numberInDash"/>
          <w:cols w:space="720" w:num="1"/>
          <w:docGrid w:type="lines" w:linePitch="491" w:charSpace="0"/>
        </w:sect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7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隆回县实施市场主体高质量发展倍增工程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7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行动方案（2022-2025年）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86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为全面落实“三高四新”战略定位和使命任务，推进“三宜三融三区”现代化新隆回高质量发展，持续深化“放管服”改革优化营商环境，促进市场主体高质量发展，按照《湖南省人民政府关于</w:t>
      </w:r>
      <w:r>
        <w:rPr>
          <w:rFonts w:hint="eastAsia" w:ascii="仿宋" w:hAnsi="仿宋" w:eastAsia="仿宋" w:cs="宋体"/>
          <w:sz w:val="32"/>
          <w:szCs w:val="32"/>
        </w:rPr>
        <w:t>优化营商环境促进市场主体高质量发展的意见</w:t>
      </w:r>
      <w:r>
        <w:rPr>
          <w:rFonts w:hint="eastAsia" w:ascii="仿宋" w:hAnsi="仿宋" w:eastAsia="仿宋"/>
          <w:sz w:val="32"/>
          <w:szCs w:val="32"/>
        </w:rPr>
        <w:t>》（湘政发〔2022〕2号）和《邵阳市优化营商环境促进市场主体高质量发展实施方案（2022-2025年）》（邵市政发</w:t>
      </w:r>
      <w:r>
        <w:rPr>
          <w:rFonts w:hint="eastAsia" w:ascii="仿宋" w:hAnsi="仿宋" w:eastAsia="仿宋"/>
          <w:sz w:val="32"/>
          <w:szCs w:val="32"/>
          <w:lang w:eastAsia="zh-CN"/>
        </w:rPr>
        <w:t>〔</w:t>
      </w:r>
      <w:r>
        <w:rPr>
          <w:rFonts w:hint="eastAsia" w:ascii="仿宋" w:hAnsi="仿宋" w:eastAsia="仿宋"/>
          <w:sz w:val="32"/>
          <w:szCs w:val="32"/>
        </w:rPr>
        <w:t>2022</w:t>
      </w:r>
      <w:r>
        <w:rPr>
          <w:rFonts w:hint="eastAsia" w:ascii="仿宋" w:hAnsi="仿宋" w:eastAsia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/>
          <w:sz w:val="32"/>
          <w:szCs w:val="32"/>
        </w:rPr>
        <w:t>3号）要求，结合我县实际，特制定本行动方案。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86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86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习近平新时代中国特色社会主义思想为指导，全面贯彻党的十九大和十九届历次全会精神，深入落实习近平总书记对湖南重要讲话重要指示批示精神，按照省市第十二次党代会和县第十三次党代会部署要求，大力优化营商环境，实施优质企业梯度培育行动和市场主体倍增工程，加快建设高标准市场体系，在真抓实干中闯出市场主体高质量发展的新路子，为推动“三宜三融三区”现代化新隆回经济社会高质量发展打下坚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86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二、发展目标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86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——市场主体总量显著增长。市场主体生命力、活跃度不断提升，总量持续增长。到</w:t>
      </w:r>
      <w:r>
        <w:rPr>
          <w:rFonts w:hint="eastAsia" w:ascii="仿宋" w:hAnsi="仿宋" w:eastAsia="仿宋" w:cs="Times New Roman"/>
          <w:sz w:val="32"/>
          <w:szCs w:val="32"/>
        </w:rPr>
        <w:t>2025</w:t>
      </w:r>
      <w:r>
        <w:rPr>
          <w:rFonts w:hint="eastAsia" w:ascii="仿宋" w:hAnsi="仿宋" w:eastAsia="仿宋"/>
          <w:sz w:val="32"/>
          <w:szCs w:val="32"/>
        </w:rPr>
        <w:t>年末，全县市场主体力争达到</w:t>
      </w:r>
      <w:r>
        <w:rPr>
          <w:rFonts w:hint="eastAsia" w:ascii="仿宋" w:hAnsi="仿宋" w:eastAsia="仿宋" w:cs="Times New Roman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万户。其中，企业</w:t>
      </w:r>
      <w:r>
        <w:rPr>
          <w:rFonts w:hint="eastAsia" w:ascii="仿宋" w:hAnsi="仿宋" w:eastAsia="仿宋" w:cs="Times New Roman"/>
          <w:sz w:val="32"/>
          <w:szCs w:val="32"/>
        </w:rPr>
        <w:t>2.8</w:t>
      </w:r>
      <w:r>
        <w:rPr>
          <w:rFonts w:hint="eastAsia" w:ascii="仿宋" w:hAnsi="仿宋" w:eastAsia="仿宋"/>
          <w:sz w:val="32"/>
          <w:szCs w:val="32"/>
        </w:rPr>
        <w:t>万户，个体工商户</w:t>
      </w:r>
      <w:r>
        <w:rPr>
          <w:rFonts w:hint="eastAsia" w:ascii="仿宋" w:hAnsi="仿宋" w:eastAsia="仿宋" w:cs="Times New Roman"/>
          <w:sz w:val="32"/>
          <w:szCs w:val="32"/>
        </w:rPr>
        <w:t>和</w:t>
      </w:r>
      <w:r>
        <w:rPr>
          <w:rFonts w:hint="eastAsia" w:ascii="仿宋" w:hAnsi="仿宋" w:eastAsia="仿宋"/>
          <w:sz w:val="32"/>
          <w:szCs w:val="32"/>
        </w:rPr>
        <w:t>农民专业合作社</w:t>
      </w:r>
      <w:r>
        <w:rPr>
          <w:rFonts w:hint="eastAsia" w:ascii="仿宋" w:hAnsi="仿宋" w:eastAsia="仿宋" w:cs="Times New Roman"/>
          <w:sz w:val="32"/>
          <w:szCs w:val="32"/>
        </w:rPr>
        <w:t>7.2</w:t>
      </w:r>
      <w:r>
        <w:rPr>
          <w:rFonts w:hint="eastAsia" w:ascii="仿宋" w:hAnsi="仿宋" w:eastAsia="仿宋"/>
          <w:sz w:val="32"/>
          <w:szCs w:val="32"/>
        </w:rPr>
        <w:t>万户。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——市场主体结构不断优化。市场主体多元发展，三次产业布局更加合理，“三个高地”支撑更加有力。到2025年末，全县规模以上农产品加工企业、建筑业企业、服务业企业和限额以上商贸流通企业、“四上”文化旅游企业分别净增加62户、19户、97户、101户、60户，规模以上工业企业、高新技术企业、外商投资企业、外贸实绩企业分别突破 300户、60户、20户、40 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——市场主体质量稳步提升。加快“个转企、小升规、规改股、股上市”提档升级，市场主体综合实力、创新能力、经济效益不断提升，实现绿色化、有质量的增长。到2025年末，引进“三类500强”企业10家、上市公司5家，</w:t>
      </w:r>
      <w:r>
        <w:rPr>
          <w:rFonts w:hint="eastAsia" w:ascii="仿宋" w:hAnsi="仿宋" w:eastAsia="仿宋"/>
          <w:color w:val="000000"/>
          <w:sz w:val="32"/>
          <w:szCs w:val="32"/>
        </w:rPr>
        <w:t>国家级、省级小巨人企业分别突破 5 家、20家，评价入库科技型中小企业突破 100户。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——市场主体生态持续改善。营商环境全面优化，土地、资本、数据等要素市场化配置改革不断深化，产业配套能力持续提升，经营成本有效降低，行政服务水平和市场治理效能不断提升，企业办事简捷方便，发展生态更趋良好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Style w:val="16"/>
          <w:rFonts w:hint="eastAsia" w:ascii="Times New Roman" w:hAnsi="Times New Roman" w:eastAsia="黑体"/>
        </w:rPr>
      </w:pPr>
      <w:r>
        <w:rPr>
          <w:rStyle w:val="16"/>
          <w:rFonts w:hint="eastAsia" w:ascii="黑体" w:hAnsi="黑体" w:eastAsia="黑体"/>
          <w:color w:val="000000"/>
          <w:sz w:val="32"/>
          <w:szCs w:val="32"/>
        </w:rPr>
        <w:t>三、重点任务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firstLine="472" w:firstLineChars="147"/>
        <w:jc w:val="both"/>
        <w:textAlignment w:val="auto"/>
        <w:rPr>
          <w:rStyle w:val="16"/>
          <w:rFonts w:ascii="仿宋" w:hAnsi="仿宋" w:eastAsia="仿宋" w:cs="Times New Roman"/>
          <w:b/>
          <w:color w:val="000000"/>
          <w:spacing w:val="0"/>
          <w:sz w:val="32"/>
          <w:szCs w:val="32"/>
        </w:rPr>
      </w:pPr>
      <w:r>
        <w:rPr>
          <w:rStyle w:val="16"/>
          <w:rFonts w:hint="eastAsia" w:ascii="楷体" w:hAnsi="楷体" w:eastAsia="楷体"/>
          <w:b/>
          <w:bCs/>
          <w:color w:val="000000"/>
          <w:sz w:val="32"/>
          <w:szCs w:val="32"/>
        </w:rPr>
        <w:t>（一）实施重点企业培育行动。</w:t>
      </w:r>
      <w:r>
        <w:rPr>
          <w:rStyle w:val="16"/>
          <w:rFonts w:hint="eastAsia" w:ascii="仿宋" w:hAnsi="仿宋" w:eastAsia="仿宋"/>
          <w:color w:val="000000"/>
          <w:sz w:val="32"/>
          <w:szCs w:val="32"/>
        </w:rPr>
        <w:t>建立产业发展目录和投资指南，聚焦先进制造业、创新创造、外资外贸、农业农村、文化旅游等重点领域，突出培育企业主体。大力实施产业发展“千百十”工程，创建省级制造业高质量发展试验区，打造</w:t>
      </w:r>
      <w:r>
        <w:rPr>
          <w:rStyle w:val="16"/>
          <w:rFonts w:hint="eastAsia" w:ascii="仿宋" w:hAnsi="仿宋" w:eastAsia="仿宋" w:cs="Times New Roman"/>
          <w:color w:val="000000"/>
          <w:sz w:val="32"/>
          <w:szCs w:val="32"/>
        </w:rPr>
        <w:t>1</w:t>
      </w:r>
      <w:r>
        <w:rPr>
          <w:rStyle w:val="16"/>
          <w:rFonts w:hint="eastAsia" w:ascii="仿宋" w:hAnsi="仿宋" w:eastAsia="仿宋"/>
          <w:color w:val="000000"/>
          <w:sz w:val="32"/>
          <w:szCs w:val="32"/>
        </w:rPr>
        <w:t>个省级先进制造业集群。建立“科企—高企—小巨人—上市领军型”企业梯度培育体系，加强“大院大所大企”合作，实施产业领军企业“头雁领航”工程。加强与东盟、非洲等地的深度合作，加快建设中非产业园、东盟科技产业园，率</w:t>
      </w:r>
      <w:r>
        <w:rPr>
          <w:rStyle w:val="16"/>
          <w:rFonts w:hint="eastAsia" w:ascii="仿宋" w:hAnsi="仿宋" w:eastAsia="仿宋"/>
          <w:color w:val="000000"/>
          <w:spacing w:val="0"/>
          <w:sz w:val="32"/>
          <w:szCs w:val="32"/>
        </w:rPr>
        <w:t>先打造湖南自贸区联动发展区，推动形成对接非洲和东盟经贸合作长效机制。深入推进“六大强农”行动，实施“千社”工程，支持农民专业合作社参与乡村振兴项目，鼓励支持农业企业股改、上市。加强文化旅游资源保护与开发利用，推动旅游业提质升档</w:t>
      </w:r>
      <w:r>
        <w:rPr>
          <w:rStyle w:val="16"/>
          <w:rFonts w:hint="eastAsia" w:ascii="仿宋" w:hAnsi="仿宋" w:eastAsia="仿宋" w:cs="Times New Roman"/>
          <w:color w:val="000000"/>
          <w:spacing w:val="0"/>
          <w:sz w:val="32"/>
          <w:szCs w:val="32"/>
        </w:rPr>
        <w:t>,</w:t>
      </w:r>
      <w:r>
        <w:rPr>
          <w:rStyle w:val="16"/>
          <w:rFonts w:hint="eastAsia" w:ascii="仿宋" w:hAnsi="仿宋" w:eastAsia="仿宋"/>
          <w:color w:val="000000"/>
          <w:spacing w:val="0"/>
          <w:sz w:val="32"/>
          <w:szCs w:val="32"/>
        </w:rPr>
        <w:t>大力推进全域旅游、乡村旅游，着力培养文化旅游企业。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pacing w:val="0"/>
          <w:sz w:val="32"/>
          <w:szCs w:val="32"/>
        </w:rPr>
        <w:t>（县科工信局、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pacing w:val="0"/>
          <w:sz w:val="32"/>
          <w:szCs w:val="32"/>
          <w:lang w:eastAsia="zh-CN"/>
        </w:rPr>
        <w:t>隆回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pacing w:val="0"/>
          <w:sz w:val="32"/>
          <w:szCs w:val="32"/>
        </w:rPr>
        <w:t>高新区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pacing w:val="0"/>
          <w:sz w:val="32"/>
          <w:szCs w:val="32"/>
          <w:lang w:eastAsia="zh-CN"/>
        </w:rPr>
        <w:t>管委会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pacing w:val="0"/>
          <w:sz w:val="32"/>
          <w:szCs w:val="32"/>
        </w:rPr>
        <w:t>、县商务局、县农业农村局、县乡村振兴局、县文旅广体局等按职责分工负责，排第一的单位为牵头单位，下同。）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Style w:val="16"/>
          <w:rFonts w:hint="eastAsia" w:ascii="仿宋" w:hAnsi="仿宋" w:eastAsia="仿宋"/>
          <w:b/>
          <w:color w:val="000000"/>
          <w:spacing w:val="0"/>
          <w:sz w:val="32"/>
          <w:szCs w:val="32"/>
        </w:rPr>
      </w:pPr>
      <w:r>
        <w:rPr>
          <w:rStyle w:val="16"/>
          <w:rFonts w:hint="eastAsia" w:ascii="楷体" w:hAnsi="楷体" w:eastAsia="楷体"/>
          <w:b/>
          <w:bCs/>
          <w:color w:val="000000"/>
          <w:spacing w:val="0"/>
          <w:kern w:val="0"/>
          <w:sz w:val="32"/>
          <w:szCs w:val="32"/>
          <w:lang w:val="en-US" w:eastAsia="zh-CN" w:bidi="ar-SA"/>
        </w:rPr>
        <w:t>（二）实施中小企业和个体工商户培育行动。</w:t>
      </w:r>
      <w:r>
        <w:rPr>
          <w:rStyle w:val="16"/>
          <w:rFonts w:hint="eastAsia" w:ascii="仿宋" w:hAnsi="仿宋" w:eastAsia="仿宋"/>
          <w:color w:val="000000"/>
          <w:spacing w:val="0"/>
          <w:sz w:val="32"/>
          <w:szCs w:val="32"/>
        </w:rPr>
        <w:t>强化统筹协调机制作用，持续推动减税降费、减租降息、普惠金融等纾困惠企政策直达基层、直接惠及个体工商户和中小企业。落实个体工商户稳岗就业补贴，降低小微企业和个体工商户地租成本，引导平台企业降低不合理收费和抽成。运用普惠小微企业和个体工商户贷款支持工具，做好普惠小微企业信用贷款支持计划接续转换工作，推动个体工商户和中小企业扩面，不断提高其存活率、活跃度，稳住市场主体培育的基本盘。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pacing w:val="0"/>
          <w:kern w:val="0"/>
          <w:sz w:val="32"/>
          <w:szCs w:val="32"/>
          <w:lang w:val="en-US" w:eastAsia="zh-CN" w:bidi="ar-SA"/>
        </w:rPr>
        <w:t>（县市监局、县发改局、县财政局、县税务局、县人社局、县住建局等按职责分工负责）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6" w:lineRule="exact"/>
        <w:ind w:firstLine="643" w:firstLineChars="200"/>
        <w:jc w:val="both"/>
        <w:textAlignment w:val="auto"/>
        <w:rPr>
          <w:rStyle w:val="16"/>
          <w:rFonts w:hint="eastAsia" w:ascii="楷体" w:hAnsi="楷体" w:eastAsia="楷体" w:cs="楷体"/>
          <w:b w:val="0"/>
          <w:bCs/>
          <w:color w:val="000000"/>
          <w:spacing w:val="0"/>
          <w:sz w:val="32"/>
          <w:szCs w:val="32"/>
        </w:rPr>
      </w:pPr>
      <w:r>
        <w:rPr>
          <w:rStyle w:val="16"/>
          <w:rFonts w:hint="eastAsia" w:ascii="楷体" w:hAnsi="楷体" w:eastAsia="楷体"/>
          <w:b/>
          <w:bCs/>
          <w:color w:val="000000"/>
          <w:spacing w:val="0"/>
          <w:sz w:val="32"/>
          <w:szCs w:val="32"/>
        </w:rPr>
        <w:t>（三）实施“个转企”培育行动。</w:t>
      </w:r>
      <w:r>
        <w:rPr>
          <w:rStyle w:val="16"/>
          <w:rFonts w:hint="eastAsia" w:ascii="仿宋" w:hAnsi="仿宋" w:eastAsia="仿宋"/>
          <w:color w:val="000000"/>
          <w:spacing w:val="0"/>
          <w:sz w:val="32"/>
          <w:szCs w:val="32"/>
        </w:rPr>
        <w:t>建立“个转企”种子培育库，加大“个转企”支持力度，符合条件的“个转企”企业，转企三年内享受小微企业税费优惠政策。推动实现“个转企”登记程序一件事一次办，保持“个转企”登记档案延续性、一致性，支持个体工商户享有的专利权、商标权、名称权等权益保护转移至“个转企”企业名下。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pacing w:val="0"/>
          <w:sz w:val="32"/>
          <w:szCs w:val="32"/>
        </w:rPr>
        <w:t>（县市监局、县科工信局、县人社局、县自然资源局、人民银行隆回支行、县税务局等按职责分工负责）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6" w:lineRule="exact"/>
        <w:ind w:firstLine="643" w:firstLineChars="200"/>
        <w:jc w:val="both"/>
        <w:textAlignment w:val="auto"/>
        <w:rPr>
          <w:rStyle w:val="16"/>
          <w:rFonts w:hint="eastAsia" w:ascii="仿宋" w:hAnsi="仿宋" w:eastAsia="仿宋"/>
          <w:b/>
          <w:color w:val="000000"/>
          <w:spacing w:val="0"/>
          <w:sz w:val="32"/>
          <w:szCs w:val="32"/>
        </w:rPr>
      </w:pPr>
      <w:r>
        <w:rPr>
          <w:rStyle w:val="16"/>
          <w:rFonts w:hint="eastAsia" w:ascii="楷体" w:hAnsi="楷体" w:eastAsia="楷体"/>
          <w:b/>
          <w:bCs/>
          <w:color w:val="000000"/>
          <w:spacing w:val="0"/>
          <w:sz w:val="32"/>
          <w:szCs w:val="32"/>
        </w:rPr>
        <w:t>（四）实施“四上”企业培育行动。</w:t>
      </w:r>
      <w:r>
        <w:rPr>
          <w:rStyle w:val="16"/>
          <w:rFonts w:hint="eastAsia" w:ascii="仿宋" w:hAnsi="仿宋" w:eastAsia="仿宋"/>
          <w:color w:val="000000"/>
          <w:spacing w:val="0"/>
          <w:sz w:val="32"/>
          <w:szCs w:val="32"/>
        </w:rPr>
        <w:t>开展“新增规模以上工业企业”行动，充分挖掘规上企业新增量，支持新增规上企业稳定在库。建立存量企业退库预警机制，加强临退企业经营情况监测分析，帮助企业纾困解难，切实减少退库数量。支持资质等级建筑业企业、限额以上批零住宿餐饮企业、限额以上服务业企业规模发展。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pacing w:val="0"/>
          <w:sz w:val="32"/>
          <w:szCs w:val="32"/>
        </w:rPr>
        <w:t>（县发改局、县科工信局、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pacing w:val="0"/>
          <w:sz w:val="32"/>
          <w:szCs w:val="32"/>
          <w:lang w:eastAsia="zh-CN"/>
        </w:rPr>
        <w:t>隆回高新区管委会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pacing w:val="0"/>
          <w:sz w:val="32"/>
          <w:szCs w:val="32"/>
        </w:rPr>
        <w:t>、县财政局、县税务局、县住建局、县商务局、县工商联等按职责分工负责）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6" w:lineRule="exact"/>
        <w:ind w:firstLine="643" w:firstLineChars="200"/>
        <w:jc w:val="both"/>
        <w:textAlignment w:val="auto"/>
        <w:rPr>
          <w:rStyle w:val="16"/>
          <w:rFonts w:hint="eastAsia" w:ascii="仿宋" w:hAnsi="仿宋" w:eastAsia="仿宋"/>
          <w:b/>
          <w:color w:val="000000"/>
          <w:spacing w:val="0"/>
          <w:sz w:val="32"/>
          <w:szCs w:val="32"/>
        </w:rPr>
      </w:pPr>
      <w:r>
        <w:rPr>
          <w:rStyle w:val="16"/>
          <w:rFonts w:hint="eastAsia" w:ascii="楷体" w:hAnsi="楷体" w:eastAsia="楷体"/>
          <w:b/>
          <w:bCs/>
          <w:color w:val="000000"/>
          <w:spacing w:val="0"/>
          <w:sz w:val="32"/>
          <w:szCs w:val="32"/>
        </w:rPr>
        <w:t>（五）实施企业上市培育行动。</w:t>
      </w:r>
      <w:r>
        <w:rPr>
          <w:rStyle w:val="16"/>
          <w:rFonts w:hint="eastAsia" w:ascii="仿宋" w:hAnsi="仿宋" w:eastAsia="仿宋"/>
          <w:color w:val="000000"/>
          <w:spacing w:val="0"/>
          <w:sz w:val="32"/>
          <w:szCs w:val="32"/>
        </w:rPr>
        <w:t>贯彻落实企业上市“金芙蓉跃升”计划，扩充上市后备资源，强化后备企业培育辅导，引导企业规范治理，做好风险防范，支持企业做强做优。拓宽上市渠道，着力推动科技创新型企业科创板上市，加快推动“三创四新”企业创业板上市，稳步推进创新型中小企业北交所上市，鼓励再融资和并购重组，积极招引优质上市公司和后备企业。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pacing w:val="0"/>
          <w:sz w:val="32"/>
          <w:szCs w:val="32"/>
        </w:rPr>
        <w:t>（县金融服务中心、县人民法院、县人民检察院、县发改局、县科工信局、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pacing w:val="0"/>
          <w:sz w:val="32"/>
          <w:szCs w:val="32"/>
          <w:lang w:eastAsia="zh-CN"/>
        </w:rPr>
        <w:t>隆回高新区管委会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pacing w:val="0"/>
          <w:sz w:val="32"/>
          <w:szCs w:val="32"/>
        </w:rPr>
        <w:t>、县财政局、县商务局、县市监局、县税务局等按职责分工负责）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6" w:lineRule="exact"/>
        <w:ind w:firstLine="640" w:firstLineChars="200"/>
        <w:jc w:val="both"/>
        <w:textAlignment w:val="auto"/>
        <w:rPr>
          <w:rFonts w:hint="eastAsia"/>
          <w:spacing w:val="0"/>
        </w:rPr>
      </w:pPr>
      <w:r>
        <w:rPr>
          <w:rStyle w:val="16"/>
          <w:rFonts w:hint="eastAsia" w:ascii="黑体" w:hAnsi="黑体" w:eastAsia="黑体"/>
          <w:color w:val="000000"/>
          <w:spacing w:val="0"/>
          <w:sz w:val="32"/>
          <w:szCs w:val="32"/>
        </w:rPr>
        <w:t>四、主要举措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6" w:lineRule="exact"/>
        <w:ind w:firstLine="643" w:firstLineChars="200"/>
        <w:jc w:val="both"/>
        <w:textAlignment w:val="auto"/>
        <w:rPr>
          <w:rStyle w:val="16"/>
          <w:rFonts w:ascii="仿宋" w:hAnsi="仿宋" w:eastAsia="仿宋"/>
          <w:spacing w:val="0"/>
        </w:rPr>
      </w:pPr>
      <w:r>
        <w:rPr>
          <w:rStyle w:val="16"/>
          <w:rFonts w:hint="eastAsia" w:ascii="楷体" w:hAnsi="楷体" w:eastAsia="楷体"/>
          <w:b/>
          <w:bCs/>
          <w:color w:val="000000"/>
          <w:spacing w:val="0"/>
          <w:sz w:val="32"/>
          <w:szCs w:val="32"/>
        </w:rPr>
        <w:t>（一）加大财税支持力度。</w:t>
      </w:r>
      <w:r>
        <w:rPr>
          <w:rStyle w:val="16"/>
          <w:rFonts w:hint="eastAsia" w:ascii="仿宋" w:hAnsi="仿宋" w:eastAsia="仿宋"/>
          <w:color w:val="000000"/>
          <w:spacing w:val="0"/>
          <w:sz w:val="32"/>
          <w:szCs w:val="32"/>
        </w:rPr>
        <w:t>完善财政资金直达机制，强化日常监控，确保直达资金落实到位、规范使用。优化税费优惠政策适用程序，推行惠企政策“免申即享”。落实制造业增值税留抵退税、小规模纳税人减征免征等减税降费政策。加强非税收入退付管理，确保取消、停征、免征及降低征收标准的收费基金项目落实到位。支持招大引强，对世界</w:t>
      </w:r>
      <w:r>
        <w:rPr>
          <w:rStyle w:val="16"/>
          <w:rFonts w:hint="eastAsia" w:ascii="仿宋" w:hAnsi="仿宋" w:eastAsia="仿宋" w:cs="Times New Roman"/>
          <w:color w:val="000000"/>
          <w:spacing w:val="0"/>
          <w:sz w:val="32"/>
          <w:szCs w:val="32"/>
        </w:rPr>
        <w:t>500</w:t>
      </w:r>
      <w:r>
        <w:rPr>
          <w:rStyle w:val="16"/>
          <w:rFonts w:hint="eastAsia" w:ascii="仿宋" w:hAnsi="仿宋" w:eastAsia="仿宋"/>
          <w:color w:val="000000"/>
          <w:spacing w:val="0"/>
          <w:sz w:val="32"/>
          <w:szCs w:val="32"/>
        </w:rPr>
        <w:t>强、中国</w:t>
      </w:r>
      <w:r>
        <w:rPr>
          <w:rStyle w:val="16"/>
          <w:rFonts w:hint="eastAsia" w:ascii="仿宋" w:hAnsi="仿宋" w:eastAsia="仿宋" w:cs="Times New Roman"/>
          <w:color w:val="000000"/>
          <w:spacing w:val="0"/>
          <w:sz w:val="32"/>
          <w:szCs w:val="32"/>
        </w:rPr>
        <w:t>500</w:t>
      </w:r>
      <w:r>
        <w:rPr>
          <w:rStyle w:val="16"/>
          <w:rFonts w:hint="eastAsia" w:ascii="仿宋" w:hAnsi="仿宋" w:eastAsia="仿宋"/>
          <w:color w:val="000000"/>
          <w:spacing w:val="0"/>
          <w:sz w:val="32"/>
          <w:szCs w:val="32"/>
        </w:rPr>
        <w:t>强、民营</w:t>
      </w:r>
      <w:r>
        <w:rPr>
          <w:rStyle w:val="16"/>
          <w:rFonts w:hint="eastAsia" w:ascii="仿宋" w:hAnsi="仿宋" w:eastAsia="仿宋" w:cs="Times New Roman"/>
          <w:color w:val="000000"/>
          <w:spacing w:val="0"/>
          <w:sz w:val="32"/>
          <w:szCs w:val="32"/>
        </w:rPr>
        <w:t>500</w:t>
      </w:r>
      <w:r>
        <w:rPr>
          <w:rStyle w:val="16"/>
          <w:rFonts w:hint="eastAsia" w:ascii="仿宋" w:hAnsi="仿宋" w:eastAsia="仿宋"/>
          <w:color w:val="000000"/>
          <w:spacing w:val="0"/>
          <w:sz w:val="32"/>
          <w:szCs w:val="32"/>
        </w:rPr>
        <w:t>强、行业领军企业来</w:t>
      </w:r>
      <w:r>
        <w:rPr>
          <w:rStyle w:val="16"/>
          <w:rFonts w:hint="eastAsia" w:ascii="仿宋" w:hAnsi="仿宋" w:eastAsia="仿宋"/>
          <w:color w:val="000000"/>
          <w:spacing w:val="0"/>
          <w:sz w:val="32"/>
          <w:szCs w:val="32"/>
          <w:lang w:eastAsia="zh-CN"/>
        </w:rPr>
        <w:t>隆</w:t>
      </w:r>
      <w:r>
        <w:rPr>
          <w:rStyle w:val="16"/>
          <w:rFonts w:hint="eastAsia" w:ascii="仿宋" w:hAnsi="仿宋" w:eastAsia="仿宋"/>
          <w:color w:val="000000"/>
          <w:spacing w:val="0"/>
          <w:sz w:val="32"/>
          <w:szCs w:val="32"/>
        </w:rPr>
        <w:t>新设立企业总部的，按“一事一议”方式对其在</w:t>
      </w:r>
      <w:r>
        <w:rPr>
          <w:rStyle w:val="16"/>
          <w:rFonts w:hint="eastAsia" w:ascii="仿宋" w:hAnsi="仿宋" w:eastAsia="仿宋"/>
          <w:color w:val="000000"/>
          <w:spacing w:val="0"/>
          <w:sz w:val="32"/>
          <w:szCs w:val="32"/>
          <w:lang w:eastAsia="zh-CN"/>
        </w:rPr>
        <w:t>隆</w:t>
      </w:r>
      <w:r>
        <w:rPr>
          <w:rStyle w:val="16"/>
          <w:rFonts w:hint="eastAsia" w:ascii="仿宋" w:hAnsi="仿宋" w:eastAsia="仿宋"/>
          <w:color w:val="000000"/>
          <w:spacing w:val="0"/>
          <w:sz w:val="32"/>
          <w:szCs w:val="32"/>
        </w:rPr>
        <w:t>企业给予支持。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pacing w:val="0"/>
          <w:sz w:val="32"/>
          <w:szCs w:val="32"/>
        </w:rPr>
        <w:t>（县财政局、县税务局牵头，县直和省、市驻隆有关单位按职责分工负责）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Style w:val="16"/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Style w:val="16"/>
          <w:rFonts w:hint="eastAsia" w:ascii="楷体" w:hAnsi="楷体" w:eastAsia="楷体"/>
          <w:b/>
          <w:bCs/>
          <w:color w:val="000000"/>
          <w:spacing w:val="0"/>
          <w:sz w:val="32"/>
          <w:szCs w:val="32"/>
        </w:rPr>
        <w:t>（二）提高助企纾困实效。</w:t>
      </w:r>
      <w:r>
        <w:rPr>
          <w:rStyle w:val="16"/>
          <w:rFonts w:hint="eastAsia" w:ascii="仿宋" w:hAnsi="仿宋" w:eastAsia="仿宋"/>
          <w:color w:val="000000"/>
          <w:spacing w:val="0"/>
          <w:sz w:val="32"/>
          <w:szCs w:val="32"/>
        </w:rPr>
        <w:t>开展“百行进万企”融资对接活动，推广银税互动、银保合作、政银担合作等模式，用好“信易贷”“潇湘财银贷”等平台和工具，增加信用贷款、首贷投放，推广随借随还贷款。建立企业融资专家库，建设邵阳市金融综合服务平台，打破银企信息不对称困局，提升银企对接质效。充分发挥过桥资金作用，降低过桥费率，有效降低企业续贷综合融资成本。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pacing w:val="0"/>
          <w:sz w:val="32"/>
          <w:szCs w:val="32"/>
        </w:rPr>
        <w:t>（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人民银行隆回支行、县金融服务中心，县发改局、县科工信局、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  <w:t>隆回高新区管委会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、县财政局、县人社局、县住建局、县市监局、县医保局、县税务局、国网隆回供电公司等按职责分工负责）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Style w:val="16"/>
          <w:rFonts w:hint="eastAsia" w:ascii="楷体" w:hAnsi="楷体" w:eastAsia="楷体" w:cs="楷体"/>
          <w:b w:val="0"/>
          <w:bCs/>
          <w:color w:val="000000"/>
          <w:sz w:val="32"/>
          <w:szCs w:val="32"/>
        </w:rPr>
      </w:pPr>
      <w:r>
        <w:rPr>
          <w:rStyle w:val="16"/>
          <w:rFonts w:hint="eastAsia" w:ascii="楷体" w:hAnsi="楷体" w:eastAsia="楷体"/>
          <w:b/>
          <w:bCs/>
          <w:color w:val="000000"/>
          <w:sz w:val="32"/>
          <w:szCs w:val="32"/>
        </w:rPr>
        <w:t>（三）降低企业要素成本。</w:t>
      </w:r>
      <w:r>
        <w:rPr>
          <w:rStyle w:val="16"/>
          <w:rFonts w:hint="eastAsia" w:ascii="仿宋" w:hAnsi="仿宋" w:eastAsia="仿宋"/>
          <w:color w:val="000000"/>
          <w:sz w:val="32"/>
          <w:szCs w:val="32"/>
        </w:rPr>
        <w:t>完善周转地、标准地、弹性地政策，引导企业集聚发展。做好保供稳价工作，加快推进重点工程建设，科学调度煤、电、油、气、运，防止要素成本高企造成市场预期减弱。加强城镇供水供电供气清理规范，帮助企业解决用工、资金、关键零部件供应等生产要素问题。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（县发改局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县自然资源局、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  <w:t>县住建局、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县科工信局、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  <w:t>隆回高新区管委会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、县人社局、人民银行隆回支行、县供销社、国网隆回供电公司等按职责分工负责）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Style w:val="16"/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Style w:val="16"/>
          <w:rFonts w:hint="eastAsia" w:ascii="楷体" w:hAnsi="楷体" w:eastAsia="楷体"/>
          <w:b/>
          <w:bCs/>
          <w:color w:val="000000"/>
          <w:sz w:val="32"/>
          <w:szCs w:val="32"/>
        </w:rPr>
        <w:t>（四）优化行政审批服务。</w:t>
      </w:r>
      <w:r>
        <w:rPr>
          <w:rStyle w:val="16"/>
          <w:rFonts w:hint="eastAsia" w:ascii="仿宋" w:hAnsi="仿宋" w:eastAsia="仿宋"/>
          <w:color w:val="000000"/>
          <w:sz w:val="32"/>
          <w:szCs w:val="32"/>
        </w:rPr>
        <w:t>深入推进住所（经营场所）登记制度改革，推动“非禁即入”普遍落实。实现“证照分离”改革全覆盖，推进“照后减证”和简化审批。深化“一件事一次办”改革，提高“一网通办”效率，扩大“跨省通办”范围。推动高频电子证照标准化和跨区域互认共享。深化工程建设项目审批制度改革，进一步压减电力接入审批时间。发挥破产处置府院联动机制作用，优化简易注销制度。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（县发改局、县行政审批服务局，县司法局、县公安局、县人民法院、县人社局、县商务局、县税务局、县住建局、县市监局、人民银行隆回支行等按职责分工负责）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Style w:val="16"/>
          <w:rFonts w:hint="eastAsia" w:ascii="楷体" w:hAnsi="楷体" w:eastAsia="楷体" w:cs="楷体"/>
          <w:b w:val="0"/>
          <w:bCs/>
          <w:color w:val="000000"/>
          <w:sz w:val="32"/>
          <w:szCs w:val="32"/>
        </w:rPr>
      </w:pPr>
      <w:r>
        <w:rPr>
          <w:rStyle w:val="16"/>
          <w:rFonts w:hint="eastAsia" w:ascii="楷体" w:hAnsi="楷体" w:eastAsia="楷体"/>
          <w:b/>
          <w:bCs/>
          <w:color w:val="000000"/>
          <w:sz w:val="32"/>
          <w:szCs w:val="32"/>
        </w:rPr>
        <w:t>（五）营造公平竞争环境。</w:t>
      </w:r>
      <w:r>
        <w:rPr>
          <w:rStyle w:val="16"/>
          <w:rFonts w:hint="eastAsia" w:ascii="仿宋" w:hAnsi="仿宋" w:eastAsia="仿宋"/>
          <w:color w:val="000000"/>
          <w:sz w:val="32"/>
          <w:szCs w:val="32"/>
        </w:rPr>
        <w:t>废除与企业性质、属地或规模挂钩的歧视性准入规定和补贴政策，加强民生保障、促进创新等重点领域的反垄断和反不正当竞争执法。完善涉企收费目录清单制度，加强涉企收费治理。发挥“互联网</w:t>
      </w:r>
      <w:r>
        <w:rPr>
          <w:rStyle w:val="16"/>
          <w:rFonts w:hint="eastAsia" w:ascii="仿宋" w:hAnsi="仿宋" w:eastAsia="仿宋" w:cs="Times New Roman"/>
          <w:color w:val="000000"/>
          <w:sz w:val="32"/>
          <w:szCs w:val="32"/>
        </w:rPr>
        <w:t>+</w:t>
      </w:r>
      <w:r>
        <w:rPr>
          <w:rStyle w:val="16"/>
          <w:rFonts w:hint="eastAsia" w:ascii="仿宋" w:hAnsi="仿宋" w:eastAsia="仿宋"/>
          <w:color w:val="000000"/>
          <w:sz w:val="32"/>
          <w:szCs w:val="32"/>
        </w:rPr>
        <w:t>监管”平台作用，推进部门联合“双随机、一公开”监管常态化。推广信用承诺制、告知承诺制，健全守信联合激励和失信联合惩戒机制。完善产权保护制度，依法全面保护各类产权。实行包容审慎监管，压缩自由裁量空间，推行轻微违法“首违不罚”。严格市场监管、质量监管、安全监管、金融监管，加强违法惩戒，严守市场安全底线。加强行业自律，建立健全行业规范，推动行业诚信体系建设。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（县市监局、县人民法院、县人民检察院、县发改局、县公安局、县住建局、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  <w:t>县交通运输局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、县农业农村局、县文旅广体局、县卫健局、县金融服务中心、人民银行隆回支行、县税务局、县司法局等按职责分工负责）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Style w:val="16"/>
          <w:rFonts w:hint="eastAsia" w:ascii="黑体" w:hAnsi="黑体" w:eastAsia="黑体"/>
          <w:color w:val="000000"/>
          <w:sz w:val="32"/>
          <w:szCs w:val="32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Style w:val="16"/>
          <w:rFonts w:ascii="仿宋" w:hAnsi="仿宋" w:eastAsia="仿宋"/>
        </w:rPr>
      </w:pPr>
      <w:r>
        <w:rPr>
          <w:rStyle w:val="16"/>
          <w:rFonts w:hint="eastAsia" w:ascii="楷体" w:hAnsi="楷体" w:eastAsia="楷体"/>
          <w:b/>
          <w:bCs/>
          <w:color w:val="000000"/>
          <w:kern w:val="0"/>
          <w:sz w:val="32"/>
          <w:szCs w:val="32"/>
          <w:lang w:val="en-US" w:eastAsia="zh-CN" w:bidi="ar-SA"/>
        </w:rPr>
        <w:t>（一）强化组织保障。</w:t>
      </w:r>
      <w:r>
        <w:rPr>
          <w:rStyle w:val="16"/>
          <w:rFonts w:hint="eastAsia" w:ascii="仿宋" w:hAnsi="仿宋" w:eastAsia="仿宋"/>
          <w:color w:val="000000"/>
          <w:kern w:val="0"/>
          <w:sz w:val="32"/>
          <w:szCs w:val="32"/>
        </w:rPr>
        <w:t>建立隆回县实施市场主体高质量发展</w:t>
      </w:r>
      <w:r>
        <w:rPr>
          <w:rStyle w:val="16"/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倍增工程工作</w:t>
      </w:r>
      <w:r>
        <w:rPr>
          <w:rStyle w:val="16"/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领导小组</w:t>
      </w:r>
      <w:r>
        <w:rPr>
          <w:rStyle w:val="16"/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，由县委书记刘军、县长杨韶辉为总召集人（</w:t>
      </w:r>
      <w:r>
        <w:rPr>
          <w:rStyle w:val="16"/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</w:t>
      </w:r>
      <w:r>
        <w:rPr>
          <w:rStyle w:val="16"/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长），</w:t>
      </w:r>
      <w:r>
        <w:rPr>
          <w:rStyle w:val="16"/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常务副县长邓印强（第一副</w:t>
      </w:r>
      <w:r>
        <w:rPr>
          <w:rStyle w:val="16"/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</w:t>
      </w:r>
      <w:r>
        <w:rPr>
          <w:rStyle w:val="16"/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长）、分管副县长蒋吉为副召集人（副</w:t>
      </w:r>
      <w:r>
        <w:rPr>
          <w:rStyle w:val="16"/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</w:t>
      </w:r>
      <w:r>
        <w:rPr>
          <w:rStyle w:val="16"/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长），常</w:t>
      </w:r>
      <w:r>
        <w:rPr>
          <w:rStyle w:val="16"/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委</w:t>
      </w:r>
      <w:r>
        <w:rPr>
          <w:rStyle w:val="16"/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副县长刘梦林、副县长杨喜国、张胤、贺海飞，县政府二级调研员罗晓</w:t>
      </w:r>
      <w:r>
        <w:rPr>
          <w:rStyle w:val="16"/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光</w:t>
      </w:r>
      <w:r>
        <w:rPr>
          <w:rStyle w:val="16"/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任副</w:t>
      </w:r>
      <w:r>
        <w:rPr>
          <w:rStyle w:val="16"/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</w:t>
      </w:r>
      <w:r>
        <w:rPr>
          <w:rStyle w:val="16"/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长，</w:t>
      </w:r>
      <w:r>
        <w:rPr>
          <w:rStyle w:val="16"/>
          <w:rFonts w:hint="eastAsia" w:ascii="仿宋" w:hAnsi="仿宋" w:eastAsia="仿宋"/>
          <w:color w:val="000000"/>
          <w:sz w:val="32"/>
          <w:szCs w:val="32"/>
        </w:rPr>
        <w:t>县直指标单位主要负责人为成员。领导小组办公室设</w:t>
      </w:r>
      <w:r>
        <w:rPr>
          <w:rStyle w:val="16"/>
          <w:rFonts w:hint="eastAsia" w:ascii="仿宋" w:hAnsi="仿宋" w:eastAsia="仿宋"/>
          <w:color w:val="000000"/>
          <w:sz w:val="32"/>
          <w:szCs w:val="32"/>
          <w:lang w:eastAsia="zh-CN"/>
        </w:rPr>
        <w:t>县市监局</w:t>
      </w:r>
      <w:r>
        <w:rPr>
          <w:rStyle w:val="16"/>
          <w:rFonts w:hint="eastAsia" w:ascii="仿宋" w:hAnsi="仿宋" w:eastAsia="仿宋"/>
          <w:color w:val="000000"/>
          <w:sz w:val="32"/>
          <w:szCs w:val="32"/>
        </w:rPr>
        <w:t>，由</w:t>
      </w:r>
      <w:r>
        <w:rPr>
          <w:rStyle w:val="16"/>
          <w:rFonts w:hint="eastAsia" w:ascii="仿宋" w:hAnsi="仿宋" w:eastAsia="仿宋"/>
          <w:color w:val="000000"/>
          <w:sz w:val="32"/>
          <w:szCs w:val="32"/>
          <w:lang w:eastAsia="zh-CN"/>
        </w:rPr>
        <w:t>县市监局</w:t>
      </w:r>
      <w:r>
        <w:rPr>
          <w:rStyle w:val="16"/>
          <w:rFonts w:hint="eastAsia" w:ascii="仿宋" w:hAnsi="仿宋" w:eastAsia="仿宋"/>
          <w:color w:val="000000"/>
          <w:sz w:val="32"/>
          <w:szCs w:val="32"/>
        </w:rPr>
        <w:t>党组书记、局长李良任办公室主任，统筹推进市场主体倍增工作，协调解决工作中的重大问题。各乡镇人民政府</w:t>
      </w:r>
      <w:r>
        <w:rPr>
          <w:rStyle w:val="16"/>
          <w:rFonts w:hint="eastAsia" w:ascii="仿宋" w:hAnsi="仿宋" w:eastAsia="仿宋"/>
          <w:color w:val="000000"/>
          <w:sz w:val="32"/>
          <w:szCs w:val="32"/>
          <w:lang w:eastAsia="zh-CN"/>
        </w:rPr>
        <w:t>（</w:t>
      </w:r>
      <w:r>
        <w:rPr>
          <w:rStyle w:val="16"/>
          <w:rFonts w:hint="eastAsia" w:ascii="仿宋" w:hAnsi="仿宋" w:eastAsia="仿宋"/>
          <w:color w:val="000000"/>
          <w:sz w:val="32"/>
          <w:szCs w:val="32"/>
        </w:rPr>
        <w:t>街道办事处</w:t>
      </w:r>
      <w:r>
        <w:rPr>
          <w:rStyle w:val="16"/>
          <w:rFonts w:hint="eastAsia" w:ascii="仿宋" w:hAnsi="仿宋" w:eastAsia="仿宋"/>
          <w:color w:val="000000"/>
          <w:sz w:val="32"/>
          <w:szCs w:val="32"/>
          <w:lang w:eastAsia="zh-CN"/>
        </w:rPr>
        <w:t>）、</w:t>
      </w:r>
      <w:r>
        <w:rPr>
          <w:rStyle w:val="16"/>
          <w:rFonts w:hint="eastAsia" w:ascii="仿宋" w:hAnsi="仿宋" w:eastAsia="仿宋"/>
          <w:color w:val="000000"/>
          <w:sz w:val="32"/>
          <w:szCs w:val="32"/>
        </w:rPr>
        <w:t>隆回高新区管委会</w:t>
      </w:r>
      <w:r>
        <w:rPr>
          <w:rStyle w:val="16"/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Style w:val="16"/>
          <w:rFonts w:hint="eastAsia" w:ascii="仿宋" w:hAnsi="仿宋" w:eastAsia="仿宋"/>
          <w:color w:val="000000"/>
          <w:sz w:val="32"/>
          <w:szCs w:val="32"/>
        </w:rPr>
        <w:t>各指标牵头部门和责任部门要建立相应工作机制，组建工作专班，切实加强组织领导和统筹协调，做好任务落实和督促指导。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/>
          <w:color w:val="000000"/>
          <w:sz w:val="32"/>
          <w:szCs w:val="32"/>
        </w:rPr>
      </w:pPr>
      <w:r>
        <w:rPr>
          <w:rStyle w:val="16"/>
          <w:rFonts w:hint="eastAsia" w:ascii="楷体" w:hAnsi="楷体" w:eastAsia="楷体"/>
          <w:b/>
          <w:bCs/>
          <w:color w:val="000000"/>
          <w:kern w:val="0"/>
          <w:sz w:val="32"/>
          <w:szCs w:val="32"/>
          <w:lang w:val="en-US" w:eastAsia="zh-CN" w:bidi="ar-SA"/>
        </w:rPr>
        <w:t>（二）强化责任落实。</w:t>
      </w:r>
      <w:r>
        <w:rPr>
          <w:rFonts w:hint="eastAsia" w:ascii="仿宋" w:hAnsi="仿宋" w:eastAsia="仿宋"/>
          <w:color w:val="000000"/>
          <w:sz w:val="32"/>
          <w:szCs w:val="32"/>
        </w:rPr>
        <w:t>各乡镇人民政府</w:t>
      </w:r>
      <w:r>
        <w:rPr>
          <w:rStyle w:val="16"/>
          <w:rFonts w:hint="eastAsia" w:ascii="仿宋" w:hAnsi="仿宋" w:eastAsia="仿宋"/>
          <w:color w:val="000000"/>
          <w:sz w:val="32"/>
          <w:szCs w:val="32"/>
          <w:lang w:eastAsia="zh-CN"/>
        </w:rPr>
        <w:t>（</w:t>
      </w:r>
      <w:r>
        <w:rPr>
          <w:rStyle w:val="16"/>
          <w:rFonts w:hint="eastAsia" w:ascii="仿宋" w:hAnsi="仿宋" w:eastAsia="仿宋"/>
          <w:color w:val="000000"/>
          <w:sz w:val="32"/>
          <w:szCs w:val="32"/>
        </w:rPr>
        <w:t>街道办事处</w:t>
      </w:r>
      <w:r>
        <w:rPr>
          <w:rStyle w:val="16"/>
          <w:rFonts w:hint="eastAsia" w:ascii="仿宋" w:hAnsi="仿宋" w:eastAsia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、隆回</w:t>
      </w:r>
      <w:r>
        <w:rPr>
          <w:rStyle w:val="16"/>
          <w:rFonts w:hint="eastAsia" w:ascii="仿宋" w:hAnsi="仿宋" w:eastAsia="仿宋"/>
          <w:color w:val="000000"/>
          <w:sz w:val="32"/>
          <w:szCs w:val="32"/>
        </w:rPr>
        <w:t>高新区</w:t>
      </w:r>
      <w:r>
        <w:rPr>
          <w:rFonts w:hint="eastAsia" w:ascii="仿宋" w:hAnsi="仿宋" w:eastAsia="仿宋"/>
          <w:color w:val="000000"/>
          <w:sz w:val="32"/>
          <w:szCs w:val="32"/>
        </w:rPr>
        <w:t>管委会和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县市监局</w:t>
      </w:r>
      <w:r>
        <w:rPr>
          <w:rFonts w:hint="eastAsia" w:ascii="仿宋" w:hAnsi="仿宋" w:eastAsia="仿宋"/>
          <w:color w:val="000000"/>
          <w:sz w:val="32"/>
          <w:szCs w:val="32"/>
        </w:rPr>
        <w:t>、县发改局、县科工信局、县商务局、县农业农村局、县住建局、县文旅广体局、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县重点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建设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项目事务中心</w:t>
      </w:r>
      <w:r>
        <w:rPr>
          <w:rFonts w:hint="eastAsia" w:ascii="仿宋" w:hAnsi="仿宋" w:eastAsia="仿宋"/>
          <w:color w:val="000000"/>
          <w:sz w:val="32"/>
          <w:szCs w:val="32"/>
        </w:rPr>
        <w:t>、县农经站、县金融服务中心等指标牵头部门要根据方案分工和目标清单，结合本部门实际，抓紧研究制定促进市场主体高质量发展实施方案，将目标任务细化到年度、分解到地区、具体到部门，分级分类制定任务书、路线图，确保任务落实到位。其他相关责任单位要根据方案分工，制定推进市场主体倍增工程的具体政策措施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Times New Roman" w:hAnsi="Times New Roman" w:cs="仿宋"/>
          <w:color w:val="000000"/>
          <w:sz w:val="32"/>
          <w:szCs w:val="32"/>
        </w:rPr>
      </w:pPr>
      <w:r>
        <w:rPr>
          <w:rStyle w:val="16"/>
          <w:rFonts w:hint="eastAsia" w:ascii="楷体" w:hAnsi="楷体" w:eastAsia="楷体"/>
          <w:b/>
          <w:bCs/>
          <w:color w:val="000000"/>
          <w:sz w:val="32"/>
          <w:szCs w:val="32"/>
        </w:rPr>
        <w:t>（三）强化信息报送。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县实施市场主体高质量发展倍增工程</w:t>
      </w:r>
      <w:r>
        <w:rPr>
          <w:rFonts w:hint="eastAsia" w:ascii="仿宋" w:hAnsi="仿宋" w:eastAsia="仿宋"/>
          <w:color w:val="000000"/>
          <w:sz w:val="32"/>
          <w:szCs w:val="32"/>
        </w:rPr>
        <w:t>领导小组办公室负责对各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乡镇（街道）</w:t>
      </w:r>
      <w:r>
        <w:rPr>
          <w:rFonts w:hint="eastAsia" w:ascii="仿宋" w:hAnsi="仿宋" w:eastAsia="仿宋"/>
          <w:color w:val="000000"/>
          <w:sz w:val="32"/>
          <w:szCs w:val="32"/>
        </w:rPr>
        <w:t>、高新区市场主体增量及各指标牵头单位责任单位工作落实情况按月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调度督查</w:t>
      </w:r>
      <w:r>
        <w:rPr>
          <w:rFonts w:hint="eastAsia" w:ascii="仿宋" w:hAnsi="仿宋" w:eastAsia="仿宋"/>
          <w:color w:val="000000"/>
          <w:sz w:val="32"/>
          <w:szCs w:val="32"/>
        </w:rPr>
        <w:t>，各成员单位要按时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填报好相关报表，经本单位主要负责人签字盖章后于每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月25日前报送县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领导小组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办公室</w:t>
      </w:r>
      <w:r>
        <w:rPr>
          <w:rFonts w:hint="eastAsia" w:ascii="仿宋" w:hAnsi="仿宋" w:eastAsia="仿宋"/>
          <w:color w:val="000000"/>
          <w:sz w:val="32"/>
          <w:szCs w:val="32"/>
        </w:rPr>
        <w:t>。联系人：黄军，联系电话：13873921986，邮箱：270253599@qq.com。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160" w:leftChars="76" w:firstLine="482" w:firstLineChars="150"/>
        <w:jc w:val="both"/>
        <w:textAlignment w:val="auto"/>
        <w:rPr>
          <w:rFonts w:ascii="Times New Roman" w:hAnsi="Times New Roman" w:cs="仿宋"/>
          <w:color w:val="000000"/>
          <w:sz w:val="32"/>
          <w:szCs w:val="32"/>
        </w:rPr>
      </w:pPr>
      <w:r>
        <w:rPr>
          <w:rStyle w:val="16"/>
          <w:rFonts w:hint="eastAsia" w:ascii="楷体" w:hAnsi="楷体" w:eastAsia="楷体"/>
          <w:b/>
          <w:bCs/>
          <w:color w:val="000000"/>
          <w:sz w:val="32"/>
          <w:szCs w:val="32"/>
        </w:rPr>
        <w:t>（四）强化考核监测。</w:t>
      </w:r>
      <w:r>
        <w:rPr>
          <w:rStyle w:val="16"/>
          <w:rFonts w:hint="eastAsia" w:ascii="仿宋" w:hAnsi="仿宋" w:eastAsia="仿宋"/>
          <w:color w:val="000000"/>
          <w:sz w:val="32"/>
          <w:szCs w:val="32"/>
        </w:rPr>
        <w:t>将</w:t>
      </w:r>
      <w:r>
        <w:rPr>
          <w:rFonts w:hint="eastAsia" w:ascii="仿宋" w:hAnsi="仿宋" w:eastAsia="仿宋"/>
          <w:color w:val="000000"/>
          <w:sz w:val="32"/>
          <w:szCs w:val="32"/>
        </w:rPr>
        <w:t>市场主体培育推进情况纳入年度绩效考核体系和县政府“三重点”工作，对各乡镇（街道）、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隆回</w:t>
      </w:r>
      <w:r>
        <w:rPr>
          <w:rStyle w:val="16"/>
          <w:rFonts w:hint="eastAsia" w:ascii="仿宋" w:hAnsi="仿宋" w:eastAsia="仿宋"/>
          <w:color w:val="000000"/>
          <w:sz w:val="32"/>
          <w:szCs w:val="32"/>
        </w:rPr>
        <w:t>高新区管委会、各指标牵头单位和责任单位</w:t>
      </w:r>
      <w:r>
        <w:rPr>
          <w:rFonts w:hint="eastAsia" w:ascii="仿宋" w:hAnsi="仿宋" w:eastAsia="仿宋"/>
          <w:color w:val="000000"/>
          <w:sz w:val="32"/>
          <w:szCs w:val="32"/>
        </w:rPr>
        <w:t>实行月调度、季讲评、年考核。县政府督查室要将市场主体培育工作纳入重点督查范围，定期跟踪督查。领导小组办公室要牵头建立统计监测制度，建立健全统计监测指标体系，加强日常监测，强化工作调度。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Style w:val="16"/>
          <w:rFonts w:hint="eastAsia" w:ascii="楷体" w:hAnsi="楷体" w:eastAsia="楷体"/>
          <w:b/>
          <w:bCs/>
          <w:color w:val="000000"/>
          <w:sz w:val="32"/>
          <w:szCs w:val="32"/>
        </w:rPr>
        <w:t>（五）强化宣传引导。</w:t>
      </w:r>
      <w:r>
        <w:rPr>
          <w:rFonts w:hint="eastAsia" w:ascii="仿宋" w:hAnsi="仿宋" w:eastAsia="仿宋"/>
          <w:color w:val="000000"/>
          <w:sz w:val="32"/>
          <w:szCs w:val="32"/>
        </w:rPr>
        <w:t>各部门要充分利用各类媒体，宣传市场主体在经济社会发展中的重要地位、作用和培育市场主体的重要意义，以及优化营商环境促进市场主体倍增的政策措施，做好政策措施宣传解读，扩大知晓度、支持度和参与度，及时回应社会关切，确保政策措施全面落实；要及时总结市场主体培育发展中可推广复制的典型经验，提振市场主体信心，营造良好的舆论氛围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附件：1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2025年末全县市场主体（企业）发展目标责任清单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firstLine="1760" w:firstLineChars="55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2022年3-12月全县各责任部门市场主体（企业）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firstLine="2080" w:firstLineChars="65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高质量发展到月任务分解表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firstLine="1760" w:firstLineChars="55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全县市场主体倍增工程乡镇（街道）任务分解表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firstLine="1760" w:firstLineChars="55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2022年各乡镇（街道）市场主体总量月度目标数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firstLine="1760" w:firstLineChars="55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2022年各乡镇（街道）企业月度目标数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firstLine="1760" w:firstLineChars="55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2022年各乡镇（街道）“个转企”月度目标数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firstLine="1440" w:firstLineChars="45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firstLine="1440" w:firstLineChars="45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firstLine="1440" w:firstLineChars="45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firstLine="1440" w:firstLineChars="45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br w:type="page"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95" w:afterLines="8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2025年末全县市场主体（企业）发展目标责任清单</w:t>
      </w:r>
    </w:p>
    <w:tbl>
      <w:tblPr>
        <w:tblStyle w:val="10"/>
        <w:tblW w:w="500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4"/>
        <w:gridCol w:w="1222"/>
        <w:gridCol w:w="1675"/>
        <w:gridCol w:w="1502"/>
        <w:gridCol w:w="2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指标类型</w:t>
            </w:r>
          </w:p>
        </w:tc>
        <w:tc>
          <w:tcPr>
            <w:tcW w:w="657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2025年目标数（户）</w:t>
            </w:r>
          </w:p>
        </w:tc>
        <w:tc>
          <w:tcPr>
            <w:tcW w:w="900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责任部门</w:t>
            </w:r>
          </w:p>
        </w:tc>
        <w:tc>
          <w:tcPr>
            <w:tcW w:w="807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第一责任人</w:t>
            </w:r>
          </w:p>
        </w:tc>
        <w:tc>
          <w:tcPr>
            <w:tcW w:w="1077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分管责任人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5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0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7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农产品加工企业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4250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县农业农村局</w:t>
            </w:r>
          </w:p>
        </w:tc>
        <w:tc>
          <w:tcPr>
            <w:tcW w:w="807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丁正华</w:t>
            </w:r>
          </w:p>
        </w:tc>
        <w:tc>
          <w:tcPr>
            <w:tcW w:w="1077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卢本武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农民专业合作社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2000</w:t>
            </w:r>
          </w:p>
        </w:tc>
        <w:tc>
          <w:tcPr>
            <w:tcW w:w="9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7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建筑企业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360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县住建局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周玉科</w:t>
            </w: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刘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服务业企业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6000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县发改局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彭文波</w:t>
            </w: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范志明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商贸流通企业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3000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县商务局</w:t>
            </w:r>
          </w:p>
        </w:tc>
        <w:tc>
          <w:tcPr>
            <w:tcW w:w="807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刘朝晖</w:t>
            </w:r>
          </w:p>
        </w:tc>
        <w:tc>
          <w:tcPr>
            <w:tcW w:w="1077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唐永红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外商投资企业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20</w:t>
            </w:r>
          </w:p>
        </w:tc>
        <w:tc>
          <w:tcPr>
            <w:tcW w:w="9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7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外贸实绩企业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40</w:t>
            </w:r>
          </w:p>
        </w:tc>
        <w:tc>
          <w:tcPr>
            <w:tcW w:w="9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7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文化旅游企业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2000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县文旅广体局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周文锋</w:t>
            </w: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陈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规模以上工业企业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300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 xml:space="preserve">县科工信局        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eastAsia="zh-CN"/>
              </w:rPr>
              <w:t>隆回高新区管委会</w:t>
            </w:r>
          </w:p>
        </w:tc>
        <w:tc>
          <w:tcPr>
            <w:tcW w:w="807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戴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飞           何本君         谭小菊</w:t>
            </w:r>
          </w:p>
        </w:tc>
        <w:tc>
          <w:tcPr>
            <w:tcW w:w="1077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胡乐清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黄足斌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高新技术产业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60</w:t>
            </w:r>
          </w:p>
        </w:tc>
        <w:tc>
          <w:tcPr>
            <w:tcW w:w="9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7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“三类500强”企业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9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7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上市公司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9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7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国家级“小巨人”企业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9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7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省级“小巨人”企业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20</w:t>
            </w:r>
          </w:p>
        </w:tc>
        <w:tc>
          <w:tcPr>
            <w:tcW w:w="9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7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评价入库科技型中小企业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100</w:t>
            </w:r>
          </w:p>
        </w:tc>
        <w:tc>
          <w:tcPr>
            <w:tcW w:w="9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7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运输类企业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2000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eastAsia="zh-CN"/>
              </w:rPr>
              <w:t>县交通运输局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刘界夫</w:t>
            </w: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刘智平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eastAsia="zh-CN"/>
              </w:rPr>
              <w:t>其他企业分公司、子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公司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3600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县重点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eastAsia="zh-CN"/>
              </w:rPr>
              <w:t>建设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项目事务中心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谢永升</w:t>
            </w: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60" w:hanging="315" w:hangingChars="150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尹扬辉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统计指标监测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23770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eastAsia="zh-CN"/>
              </w:rPr>
              <w:t>县市监局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李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良</w:t>
            </w: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胡晓伟</w:t>
            </w:r>
          </w:p>
        </w:tc>
      </w:tr>
    </w:tbl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br w:type="page"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95" w:afterLines="8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2022年3-12月全县各责任部门市场主体（企业）高质量发展到月任务分解表</w:t>
      </w:r>
    </w:p>
    <w:tbl>
      <w:tblPr>
        <w:tblStyle w:val="10"/>
        <w:tblW w:w="508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747"/>
        <w:gridCol w:w="787"/>
        <w:gridCol w:w="480"/>
        <w:gridCol w:w="480"/>
        <w:gridCol w:w="480"/>
        <w:gridCol w:w="480"/>
        <w:gridCol w:w="480"/>
        <w:gridCol w:w="480"/>
        <w:gridCol w:w="484"/>
        <w:gridCol w:w="484"/>
        <w:gridCol w:w="484"/>
        <w:gridCol w:w="570"/>
        <w:gridCol w:w="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责任部门</w:t>
            </w:r>
          </w:p>
        </w:tc>
        <w:tc>
          <w:tcPr>
            <w:tcW w:w="93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新办市场主体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（企业）类型</w:t>
            </w:r>
          </w:p>
        </w:tc>
        <w:tc>
          <w:tcPr>
            <w:tcW w:w="421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全年任务数（户）</w:t>
            </w:r>
          </w:p>
        </w:tc>
        <w:tc>
          <w:tcPr>
            <w:tcW w:w="262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月完成数</w:t>
            </w:r>
          </w:p>
        </w:tc>
        <w:tc>
          <w:tcPr>
            <w:tcW w:w="312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35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21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9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12</w:t>
            </w:r>
          </w:p>
        </w:tc>
        <w:tc>
          <w:tcPr>
            <w:tcW w:w="31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70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县农业农村局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农产品加工企业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80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120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7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农民专业合作社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40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60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7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县住建局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建筑企业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　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　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7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县发改局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服务业企业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70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县商务局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商贸流通企业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7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外商投资企业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　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7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外贸实绩企业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3　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7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县文旅广体局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文化旅游企业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70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 xml:space="preserve">县科工信局       </w:t>
            </w: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  <w:lang w:eastAsia="zh-CN"/>
              </w:rPr>
              <w:t>隆回高新区管委会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规模以上工业企业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6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6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firstLine="105" w:firstLineChars="50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7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高新技术产业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6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4　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11"/>
                <w:w w:val="99"/>
                <w:kern w:val="0"/>
                <w:sz w:val="21"/>
                <w:szCs w:val="21"/>
              </w:rPr>
              <w:t>“三类500强”企业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7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上市公司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　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国家级“小巨人”企业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　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pacing w:val="-11"/>
                <w:w w:val="99"/>
                <w:kern w:val="0"/>
                <w:sz w:val="21"/>
                <w:szCs w:val="21"/>
              </w:rPr>
              <w:t>省级“小巨人”企业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　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评价入库科技型中小企业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　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　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7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  <w:lang w:eastAsia="zh-CN"/>
              </w:rPr>
              <w:t>县交通运输局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运输类企业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7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县重点</w:t>
            </w: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  <w:lang w:eastAsia="zh-CN"/>
              </w:rPr>
              <w:t>建设</w:t>
            </w: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项目事务中心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  <w:lang w:eastAsia="zh-CN"/>
              </w:rPr>
              <w:t>其他企业分公司、子</w:t>
            </w: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公司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2280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300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220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220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220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240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240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240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200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200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200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7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  <w:lang w:eastAsia="zh-CN"/>
              </w:rPr>
              <w:t>县市监局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统计指标监测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6448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cs="Calibri"/>
                <w:sz w:val="21"/>
                <w:szCs w:val="21"/>
              </w:rPr>
              <w:t>681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cs="Calibri"/>
                <w:sz w:val="21"/>
                <w:szCs w:val="21"/>
              </w:rPr>
              <w:t>637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cs="Calibri"/>
                <w:sz w:val="21"/>
                <w:szCs w:val="21"/>
              </w:rPr>
              <w:t>632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cs="Calibri"/>
                <w:sz w:val="21"/>
                <w:szCs w:val="21"/>
              </w:rPr>
              <w:t>647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cs="Calibri"/>
                <w:sz w:val="21"/>
                <w:szCs w:val="21"/>
              </w:rPr>
              <w:t>659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cs="Calibri"/>
                <w:sz w:val="21"/>
                <w:szCs w:val="21"/>
              </w:rPr>
              <w:t>660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cs="Calibri"/>
                <w:sz w:val="21"/>
                <w:szCs w:val="21"/>
              </w:rPr>
              <w:t>656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cs="Calibri"/>
                <w:sz w:val="21"/>
                <w:szCs w:val="21"/>
              </w:rPr>
              <w:t>611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cs="Calibri"/>
                <w:sz w:val="21"/>
                <w:szCs w:val="21"/>
              </w:rPr>
              <w:t>614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cs="Calibri"/>
                <w:sz w:val="21"/>
                <w:szCs w:val="21"/>
              </w:rPr>
              <w:t>651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br w:type="page"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95" w:afterLines="8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全县市场主体倍增工程乡镇（街道）分解表</w:t>
      </w:r>
    </w:p>
    <w:tbl>
      <w:tblPr>
        <w:tblStyle w:val="10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09"/>
        <w:gridCol w:w="974"/>
        <w:gridCol w:w="974"/>
        <w:gridCol w:w="980"/>
        <w:gridCol w:w="974"/>
        <w:gridCol w:w="974"/>
        <w:gridCol w:w="980"/>
        <w:gridCol w:w="974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4" w:hRule="atLeast"/>
          <w:jc w:val="center"/>
        </w:trPr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市场主体（户）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企业（户）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个转企（户）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atLeast"/>
          <w:jc w:val="center"/>
        </w:trPr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2021年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2022年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2025年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2021年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2022年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2025年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2022年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小沙江镇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1910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2310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3512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179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340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719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虎形山乡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641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775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1179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106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201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426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麻塘山乡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542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656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997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120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253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高坪镇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2250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2722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4137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159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302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638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7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罗洪镇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601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727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1105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49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93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197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荷田乡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514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622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945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64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122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257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鸭田镇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666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806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1225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71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135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285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金石桥镇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2313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2798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53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166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315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9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司门前镇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1810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2189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3328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185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351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743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大水田乡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376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455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691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59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124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羊古坳镇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928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1123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1706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92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175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369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七江镇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1175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1421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2160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228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482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六都寨镇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2153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2604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3958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207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393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831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7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荷香桥镇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1913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2314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3517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161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306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646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横板桥镇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1194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1444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2195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106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201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426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西洋江镇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1033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1250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1899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71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135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285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南岳庙镇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915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1107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1682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211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446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滩头镇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2008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2429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92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163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309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654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岩口镇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1735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2099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90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177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336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711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周旺镇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983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1189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1807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89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169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357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北山镇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774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936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1423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89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169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357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三阁司镇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1273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1540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2341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194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368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779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山界回族乡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517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625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951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114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241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桃花坪街道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15026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18176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27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2528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4800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48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花门街道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10650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12883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19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81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1658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3150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1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1"/>
                <w:szCs w:val="21"/>
              </w:rPr>
              <w:t>数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53900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65200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1000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6900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13100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80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157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color w:val="000000"/>
                <w:kern w:val="0"/>
                <w:sz w:val="21"/>
                <w:szCs w:val="21"/>
              </w:rPr>
              <w:t>628</w:t>
            </w:r>
          </w:p>
        </w:tc>
      </w:tr>
    </w:tbl>
    <w:p>
      <w:pPr>
        <w:spacing w:beforeLines="50" w:line="320" w:lineRule="exact"/>
        <w:rPr>
          <w:rFonts w:ascii="Times New Roman" w:hAnsi="Times New Roman" w:cs="仿宋"/>
          <w:color w:val="000000"/>
          <w:sz w:val="24"/>
          <w:szCs w:val="24"/>
        </w:rPr>
      </w:pPr>
      <w:r>
        <w:rPr>
          <w:rFonts w:ascii="宋体" w:hAnsi="宋体" w:cs="仿宋"/>
          <w:color w:val="000000"/>
          <w:sz w:val="24"/>
          <w:szCs w:val="24"/>
        </w:rPr>
        <w:t>备注：</w:t>
      </w:r>
      <w:r>
        <w:rPr>
          <w:rFonts w:ascii="Times New Roman" w:hAnsi="Times New Roman"/>
          <w:color w:val="000000"/>
          <w:sz w:val="24"/>
          <w:szCs w:val="24"/>
        </w:rPr>
        <w:t>1.2021</w:t>
      </w:r>
      <w:r>
        <w:rPr>
          <w:rFonts w:ascii="宋体" w:hAnsi="宋体" w:cs="仿宋"/>
          <w:color w:val="000000"/>
          <w:sz w:val="24"/>
          <w:szCs w:val="24"/>
        </w:rPr>
        <w:t>年、</w:t>
      </w:r>
      <w:r>
        <w:rPr>
          <w:rFonts w:ascii="Times New Roman" w:hAnsi="Times New Roman"/>
          <w:color w:val="000000"/>
          <w:sz w:val="24"/>
          <w:szCs w:val="24"/>
        </w:rPr>
        <w:t>2022</w:t>
      </w:r>
      <w:r>
        <w:rPr>
          <w:rFonts w:ascii="宋体" w:hAnsi="宋体" w:cs="仿宋"/>
          <w:color w:val="000000"/>
          <w:sz w:val="24"/>
          <w:szCs w:val="24"/>
        </w:rPr>
        <w:t>年、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>
        <w:rPr>
          <w:rFonts w:ascii="宋体" w:hAnsi="宋体" w:cs="仿宋"/>
          <w:color w:val="000000"/>
          <w:sz w:val="24"/>
          <w:szCs w:val="24"/>
        </w:rPr>
        <w:t>年市场主体数是指</w:t>
      </w:r>
      <w:r>
        <w:rPr>
          <w:rFonts w:ascii="仿宋_GB2312" w:hAnsi="仿宋_GB2312" w:cs="仿宋"/>
          <w:color w:val="000000"/>
          <w:sz w:val="24"/>
          <w:szCs w:val="24"/>
        </w:rPr>
        <w:t>“</w:t>
      </w:r>
      <w:r>
        <w:rPr>
          <w:rFonts w:ascii="宋体" w:hAnsi="宋体" w:cs="仿宋"/>
          <w:color w:val="000000"/>
          <w:sz w:val="24"/>
          <w:szCs w:val="24"/>
        </w:rPr>
        <w:t>各年期末市场主体实有数</w:t>
      </w:r>
      <w:r>
        <w:rPr>
          <w:rFonts w:ascii="仿宋_GB2312" w:hAnsi="仿宋_GB2312" w:cs="仿宋"/>
          <w:color w:val="000000"/>
          <w:sz w:val="24"/>
          <w:szCs w:val="24"/>
        </w:rPr>
        <w:t>”</w:t>
      </w:r>
      <w:r>
        <w:rPr>
          <w:rFonts w:ascii="宋体" w:hAnsi="宋体" w:cs="仿宋"/>
          <w:color w:val="000000"/>
          <w:sz w:val="24"/>
          <w:szCs w:val="24"/>
        </w:rPr>
        <w:t>；</w:t>
      </w:r>
    </w:p>
    <w:p>
      <w:pPr>
        <w:spacing w:line="320" w:lineRule="exact"/>
        <w:ind w:firstLine="720" w:firstLineChars="300"/>
        <w:rPr>
          <w:rFonts w:ascii="Times New Roman" w:hAnsi="Times New Roman" w:cs="仿宋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宋体" w:hAnsi="宋体" w:cs="仿宋"/>
          <w:color w:val="000000"/>
          <w:sz w:val="24"/>
          <w:szCs w:val="24"/>
        </w:rPr>
        <w:t>市场主体包括：企业、个体工商户、农民专业合作社；</w:t>
      </w:r>
    </w:p>
    <w:p>
      <w:pPr>
        <w:spacing w:line="320" w:lineRule="exact"/>
        <w:ind w:firstLine="720" w:firstLineChars="300"/>
        <w:rPr>
          <w:rFonts w:ascii="Times New Roman" w:hAnsi="Times New Roman" w:cs="仿宋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宋体" w:hAnsi="宋体" w:cs="仿宋"/>
          <w:color w:val="000000"/>
          <w:sz w:val="24"/>
          <w:szCs w:val="24"/>
        </w:rPr>
        <w:t>企业包括：内资公司及分支机构，个人独资企业、合伙企业及分支机构，</w:t>
      </w:r>
    </w:p>
    <w:p>
      <w:pPr>
        <w:spacing w:line="320" w:lineRule="exact"/>
        <w:ind w:firstLine="960" w:firstLineChars="400"/>
        <w:rPr>
          <w:rStyle w:val="17"/>
          <w:rFonts w:hint="eastAsia" w:ascii="黑体" w:hAnsi="黑体" w:eastAsia="黑体"/>
          <w:b w:val="0"/>
          <w:bCs/>
          <w:color w:val="000000"/>
          <w:sz w:val="32"/>
          <w:szCs w:val="32"/>
        </w:rPr>
      </w:pPr>
      <w:r>
        <w:rPr>
          <w:rFonts w:ascii="宋体" w:hAnsi="宋体" w:cs="仿宋"/>
          <w:color w:val="000000"/>
          <w:sz w:val="24"/>
          <w:szCs w:val="24"/>
        </w:rPr>
        <w:t>外商投资企业及分支机构。</w:t>
      </w:r>
    </w:p>
    <w:p>
      <w:pPr>
        <w:pStyle w:val="8"/>
        <w:widowControl/>
        <w:spacing w:line="560" w:lineRule="exact"/>
        <w:jc w:val="both"/>
        <w:rPr>
          <w:rFonts w:ascii="黑体" w:hAnsi="黑体" w:eastAsia="黑体"/>
          <w:color w:val="000000"/>
          <w:sz w:val="32"/>
          <w:szCs w:val="32"/>
        </w:rPr>
        <w:sectPr>
          <w:footerReference r:id="rId3" w:type="default"/>
          <w:pgSz w:w="11906" w:h="16838"/>
          <w:pgMar w:top="1701" w:right="1417" w:bottom="1417" w:left="1417" w:header="851" w:footer="1134" w:gutter="0"/>
          <w:pgNumType w:fmt="numberInDash" w:start="2"/>
          <w:cols w:space="720" w:num="1"/>
          <w:docGrid w:type="lines" w:linePitch="491" w:charSpace="0"/>
        </w:sect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95" w:afterLines="8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2022年各乡镇（街道）市场主体总量月度目标数</w:t>
      </w:r>
    </w:p>
    <w:tbl>
      <w:tblPr>
        <w:tblStyle w:val="10"/>
        <w:tblW w:w="143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163"/>
        <w:gridCol w:w="1163"/>
        <w:gridCol w:w="1163"/>
        <w:gridCol w:w="1163"/>
        <w:gridCol w:w="1163"/>
        <w:gridCol w:w="1163"/>
        <w:gridCol w:w="1163"/>
        <w:gridCol w:w="1163"/>
        <w:gridCol w:w="1163"/>
        <w:gridCol w:w="1173"/>
        <w:gridCol w:w="1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116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月度目标数（户）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tblHeader/>
          <w:jc w:val="center"/>
        </w:trPr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12月</w:t>
            </w: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小沙江镇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1950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2002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2054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2110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2150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2186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2222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2250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2278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2310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虎形山乡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654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672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689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708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721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733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745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755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764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775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麻塘山乡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554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568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583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599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611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621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631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639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647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656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高坪镇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2297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2359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2420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2486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2533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2576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2618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2651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2684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2722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罗洪镇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614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630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646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664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677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688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699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708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717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727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荷田乡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525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539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553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568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579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589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598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606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613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622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鸭田镇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680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698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717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736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750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763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775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785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795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806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金石桥镇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2362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2425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2488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2556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2604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2648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2691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2725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2759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2798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司门前镇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1848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1897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1946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1999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2037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2071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2106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2132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2159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2189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大水田乡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384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394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405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416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423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431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438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443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449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455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羊古坳镇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948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973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998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1026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1045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1063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1080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1094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1107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1123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七江镇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1199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1231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1263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1298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1322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1345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1367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1384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1401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1421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六都寨镇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2198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2256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2315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2378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2423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2464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2505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2536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2568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2604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荷香桥镇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1953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2005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2057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2113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2154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2190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2226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2254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2282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2314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横板桥镇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1219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1251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1284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1319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1344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1366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1389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1406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1424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1444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西洋江镇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1055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1083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1111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1142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1163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1183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1202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1218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1233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1250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南岳庙镇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934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959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984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1011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1030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1048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1065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1078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1092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1107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滩头镇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2050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2105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2160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2219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2261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2298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2336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2366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2395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2429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岩口镇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1772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1819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1866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1917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1953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1986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2019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2044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2070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2099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周旺镇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1004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1030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1057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1086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1107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1125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1144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1158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1173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1189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北山镇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790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811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832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855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871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886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912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923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936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三阁司镇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1300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1334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1369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1407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1433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1457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1481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1500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1519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1540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山界回族乡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528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542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556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571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582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591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601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609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616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625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桃花坪街道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15341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15750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16160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16601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16916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17199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17483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17703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17924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18176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花门街道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10873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11164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11454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11767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11990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12191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12392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12548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12704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12883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55030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56499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57968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59550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60680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61697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62714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63505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64296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65200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widowControl/>
        <w:spacing w:line="560" w:lineRule="exact"/>
        <w:jc w:val="both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br w:type="page"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附件5：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95" w:afterLines="8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2022年各乡镇（街道）企业月度目标数</w:t>
      </w:r>
    </w:p>
    <w:p>
      <w:pPr>
        <w:widowControl/>
        <w:ind w:left="210" w:leftChars="100"/>
        <w:jc w:val="left"/>
        <w:rPr>
          <w:rFonts w:ascii="宋体" w:hAnsi="宋体" w:cs="宋体"/>
          <w:vanish/>
          <w:kern w:val="0"/>
          <w:sz w:val="24"/>
          <w:szCs w:val="24"/>
        </w:rPr>
      </w:pPr>
    </w:p>
    <w:tbl>
      <w:tblPr>
        <w:tblStyle w:val="10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973"/>
        <w:gridCol w:w="973"/>
        <w:gridCol w:w="973"/>
        <w:gridCol w:w="1203"/>
        <w:gridCol w:w="1203"/>
        <w:gridCol w:w="1203"/>
        <w:gridCol w:w="1203"/>
        <w:gridCol w:w="1203"/>
        <w:gridCol w:w="1203"/>
        <w:gridCol w:w="1217"/>
        <w:gridCol w:w="10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tblHeader/>
          <w:jc w:val="center"/>
        </w:trPr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责任乡镇</w:t>
            </w:r>
          </w:p>
        </w:tc>
        <w:tc>
          <w:tcPr>
            <w:tcW w:w="399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月度目标数（户）</w:t>
            </w: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  <w:jc w:val="center"/>
        </w:trPr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12月</w:t>
            </w: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小沙江镇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195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217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237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260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276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290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305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316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327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340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虎形山乡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115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128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140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153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163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172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180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187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193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201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麻塘山乡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69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97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108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115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120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高坪镇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173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193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245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258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271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281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291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302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罗洪镇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53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59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86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89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93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荷田乡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70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93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99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109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113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117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122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鸭田镇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86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103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109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130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135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金石桥镇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181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201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220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240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255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269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282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293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303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315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司门前镇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201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224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245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268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285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300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314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326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338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351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大水田乡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34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38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48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53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57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59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羊古坳镇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100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112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149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157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163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168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175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七江镇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131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146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159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174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219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228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六都寨镇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226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251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274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300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319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335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352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365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378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393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荷香桥镇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176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195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213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248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261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274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284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294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306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横板桥镇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115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128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140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153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163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172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180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187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193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201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西洋江镇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86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103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109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130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135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南岳庙镇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121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135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147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161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171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180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189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196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203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211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滩头镇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177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197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236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251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264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277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287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297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309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岩口镇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193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214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256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272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287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301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312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323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336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周旺镇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97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108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118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129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137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157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163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169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北山镇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97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108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118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129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137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157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163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169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三阁司镇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211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235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257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281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298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314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330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342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354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368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山界回族乡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65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87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97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106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110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114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桃花坪街道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2755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3064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3346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3664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3891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4096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4300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4459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4618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4800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花门街道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1808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2011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2196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2405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2554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2688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2822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2926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3031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3150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7521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8363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9133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10002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10622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11180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11738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12172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12606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13100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widowControl/>
        <w:autoSpaceDE w:val="0"/>
        <w:spacing w:line="240" w:lineRule="exact"/>
        <w:jc w:val="both"/>
        <w:rPr>
          <w:rStyle w:val="17"/>
          <w:rFonts w:hint="eastAsia" w:ascii="黑体" w:hAnsi="黑体" w:eastAsia="黑体"/>
          <w:b w:val="0"/>
          <w:bCs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br w:type="page"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95" w:afterLines="8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2022年各乡镇（街道）“个转企”月度目标数</w:t>
      </w:r>
    </w:p>
    <w:tbl>
      <w:tblPr>
        <w:tblStyle w:val="10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981"/>
        <w:gridCol w:w="981"/>
        <w:gridCol w:w="981"/>
        <w:gridCol w:w="981"/>
        <w:gridCol w:w="981"/>
        <w:gridCol w:w="981"/>
        <w:gridCol w:w="981"/>
        <w:gridCol w:w="1243"/>
        <w:gridCol w:w="1244"/>
        <w:gridCol w:w="1267"/>
        <w:gridCol w:w="1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  <w:jc w:val="center"/>
        </w:trPr>
        <w:tc>
          <w:tcPr>
            <w:tcW w:w="7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373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月度目标数（户）</w:t>
            </w:r>
          </w:p>
        </w:tc>
        <w:tc>
          <w:tcPr>
            <w:tcW w:w="5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  <w:jc w:val="center"/>
        </w:trPr>
        <w:tc>
          <w:tcPr>
            <w:tcW w:w="7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12月</w:t>
            </w:r>
          </w:p>
        </w:tc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小沙江镇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虎形山乡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麻塘山乡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高坪镇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罗洪镇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荷田乡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鸭田镇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金石桥镇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司门前镇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大水田乡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羊古坳镇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七江镇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六都寨镇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荷香桥镇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横板桥镇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西洋江镇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南岳庙镇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滩头镇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岩口镇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周旺镇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北山镇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三阁司镇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山界回族乡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桃花坪街道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37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44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花门街道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28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36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58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92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109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119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129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140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157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widowControl/>
        <w:autoSpaceDE w:val="0"/>
        <w:spacing w:line="200" w:lineRule="exact"/>
        <w:jc w:val="both"/>
        <w:rPr>
          <w:rStyle w:val="17"/>
          <w:rFonts w:hint="eastAsia" w:ascii="黑体" w:hAnsi="黑体" w:eastAsia="黑体"/>
          <w:b w:val="0"/>
          <w:bCs/>
          <w:color w:val="000000"/>
          <w:sz w:val="32"/>
          <w:szCs w:val="32"/>
        </w:rPr>
      </w:pPr>
    </w:p>
    <w:sectPr>
      <w:pgSz w:w="16838" w:h="11906" w:orient="landscape"/>
      <w:pgMar w:top="1417" w:right="1417" w:bottom="1417" w:left="1417" w:header="851" w:footer="1134" w:gutter="0"/>
      <w:pgNumType w:fmt="numberInDash"/>
      <w:cols w:space="0" w:num="1"/>
      <w:rtlGutter w:val="0"/>
      <w:docGrid w:type="linesAndChars" w:linePitch="50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50602020203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252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A5"/>
    <w:rsid w:val="000C1847"/>
    <w:rsid w:val="004352A5"/>
    <w:rsid w:val="004F3C25"/>
    <w:rsid w:val="0060067A"/>
    <w:rsid w:val="00706E93"/>
    <w:rsid w:val="007F37E3"/>
    <w:rsid w:val="00CF36F3"/>
    <w:rsid w:val="0182157D"/>
    <w:rsid w:val="02F73FA3"/>
    <w:rsid w:val="064A5A0A"/>
    <w:rsid w:val="06F8786E"/>
    <w:rsid w:val="08D639AE"/>
    <w:rsid w:val="0A3B46F5"/>
    <w:rsid w:val="155E7D1F"/>
    <w:rsid w:val="16CA259A"/>
    <w:rsid w:val="1A9A0701"/>
    <w:rsid w:val="1BD21F82"/>
    <w:rsid w:val="21A17364"/>
    <w:rsid w:val="2CE86A11"/>
    <w:rsid w:val="44776F43"/>
    <w:rsid w:val="46D62E35"/>
    <w:rsid w:val="47C36A0E"/>
    <w:rsid w:val="50BA6C4D"/>
    <w:rsid w:val="53217903"/>
    <w:rsid w:val="59F667CF"/>
    <w:rsid w:val="5D4E6911"/>
    <w:rsid w:val="5D675118"/>
    <w:rsid w:val="678B24E7"/>
    <w:rsid w:val="6C470059"/>
    <w:rsid w:val="77C85B5E"/>
    <w:rsid w:val="78BE6D36"/>
    <w:rsid w:val="79902737"/>
    <w:rsid w:val="7BEC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EndnoteText"/>
    <w:basedOn w:val="1"/>
    <w:qFormat/>
    <w:uiPriority w:val="0"/>
    <w:pPr>
      <w:jc w:val="both"/>
      <w:textAlignment w:val="baseline"/>
    </w:pPr>
  </w:style>
  <w:style w:type="paragraph" w:styleId="3">
    <w:name w:val="Body Text Indent"/>
    <w:basedOn w:val="1"/>
    <w:next w:val="1"/>
    <w:link w:val="12"/>
    <w:semiHidden/>
    <w:unhideWhenUsed/>
    <w:qFormat/>
    <w:uiPriority w:val="99"/>
    <w:pPr>
      <w:spacing w:before="100" w:beforeAutospacing="1" w:after="120"/>
      <w:ind w:left="420" w:leftChars="200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link w:val="14"/>
    <w:semiHidden/>
    <w:unhideWhenUsed/>
    <w:qFormat/>
    <w:uiPriority w:val="99"/>
    <w:pPr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9">
    <w:name w:val="Body Text First Indent 2"/>
    <w:basedOn w:val="3"/>
    <w:next w:val="1"/>
    <w:link w:val="13"/>
    <w:unhideWhenUsed/>
    <w:qFormat/>
    <w:uiPriority w:val="99"/>
    <w:pPr>
      <w:spacing w:after="0"/>
      <w:ind w:firstLine="420" w:firstLineChars="200"/>
    </w:pPr>
  </w:style>
  <w:style w:type="character" w:customStyle="1" w:styleId="12">
    <w:name w:val="正文文本缩进 Char"/>
    <w:basedOn w:val="11"/>
    <w:link w:val="3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3">
    <w:name w:val="正文首行缩进 2 Char"/>
    <w:basedOn w:val="12"/>
    <w:link w:val="9"/>
    <w:qFormat/>
    <w:uiPriority w:val="99"/>
  </w:style>
  <w:style w:type="character" w:customStyle="1" w:styleId="14">
    <w:name w:val="HTML 预设格式 Char"/>
    <w:basedOn w:val="11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日期 Char"/>
    <w:basedOn w:val="11"/>
    <w:link w:val="4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6">
    <w:name w:val="15"/>
    <w:basedOn w:val="11"/>
    <w:qFormat/>
    <w:uiPriority w:val="0"/>
    <w:rPr>
      <w:rFonts w:hint="default" w:ascii="Calibri" w:hAnsi="Calibri" w:cs="Calibri"/>
    </w:rPr>
  </w:style>
  <w:style w:type="character" w:customStyle="1" w:styleId="17">
    <w:name w:val="16"/>
    <w:basedOn w:val="11"/>
    <w:qFormat/>
    <w:uiPriority w:val="0"/>
    <w:rPr>
      <w:rFonts w:hint="default" w:ascii="Times New Roman" w:hAnsi="Times New Roman" w:cs="Times New Roman"/>
      <w:b/>
    </w:rPr>
  </w:style>
  <w:style w:type="character" w:customStyle="1" w:styleId="18">
    <w:name w:val="17"/>
    <w:basedOn w:val="11"/>
    <w:qFormat/>
    <w:uiPriority w:val="0"/>
    <w:rPr>
      <w:rFonts w:hint="default" w:ascii="Times New Roman" w:hAnsi="Times New Roman" w:cs="Times New Roman"/>
      <w:color w:val="000000"/>
      <w:sz w:val="18"/>
      <w:szCs w:val="18"/>
    </w:rPr>
  </w:style>
  <w:style w:type="character" w:customStyle="1" w:styleId="19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7147</Words>
  <Characters>9232</Characters>
  <Lines>142</Lines>
  <Paragraphs>39</Paragraphs>
  <TotalTime>44</TotalTime>
  <ScaleCrop>false</ScaleCrop>
  <LinksUpToDate>false</LinksUpToDate>
  <CharactersWithSpaces>10413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2022-03-24T02:29:00Z</dcterms:created>
  <dc:creator>dell</dc:creator>
  <cp:lastModifiedBy>马炜</cp:lastModifiedBy>
  <cp:lastPrinted>2022-03-28T03:41:00Z</cp:lastPrinted>
  <dcterms:modified xsi:type="dcterms:W3CDTF">2022-03-28T05:35:02Z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4AEB87EDC50E4AD79AF507E015A4DDE0</vt:lpwstr>
  </property>
</Properties>
</file>