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隆回县</w:t>
      </w:r>
      <w:r>
        <w:rPr>
          <w:rFonts w:ascii="Times New Roman" w:hAnsi="Times New Roman" w:eastAsia="方正小标宋_GBK"/>
          <w:sz w:val="44"/>
          <w:szCs w:val="44"/>
        </w:rPr>
        <w:t>打好防范化解风险阻击仗工作方案</w:t>
      </w:r>
      <w:bookmarkStart w:id="0" w:name="_GoBack"/>
      <w:bookmarkEnd w:id="0"/>
    </w:p>
    <w:p>
      <w:pPr>
        <w:spacing w:line="570" w:lineRule="exact"/>
        <w:ind w:firstLine="640" w:firstLineChars="200"/>
        <w:rPr>
          <w:rFonts w:ascii="Times New Roman" w:hAnsi="Times New Roman" w:eastAsia="仿宋_GB2312"/>
          <w:sz w:val="32"/>
          <w:szCs w:val="32"/>
        </w:rPr>
      </w:pP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为更好统筹发展和安全，坚持底线思维，增强忧患意识，提高防控能力，着力防范化解重大风险，确保经济持续健康发展和社会大局稳定，特制定本方案。</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化解政府债务风险，严禁新增政府隐性债务，组织各级筹集资金化解债务，按时完成政府债券发行任务，按照</w:t>
      </w:r>
      <w:r>
        <w:rPr>
          <w:rFonts w:hint="eastAsia" w:ascii="Times New Roman" w:hAnsi="Times New Roman" w:eastAsia="仿宋_GB2312"/>
          <w:sz w:val="32"/>
          <w:szCs w:val="32"/>
        </w:rPr>
        <w:t>“</w:t>
      </w:r>
      <w:r>
        <w:rPr>
          <w:rFonts w:ascii="Times New Roman" w:hAnsi="Times New Roman" w:eastAsia="仿宋_GB2312"/>
          <w:sz w:val="32"/>
          <w:szCs w:val="32"/>
        </w:rPr>
        <w:t>六个一批</w:t>
      </w:r>
      <w:r>
        <w:rPr>
          <w:rFonts w:hint="eastAsia" w:ascii="Times New Roman" w:hAnsi="Times New Roman" w:eastAsia="仿宋_GB2312"/>
          <w:sz w:val="32"/>
          <w:szCs w:val="32"/>
        </w:rPr>
        <w:t>”</w:t>
      </w:r>
      <w:r>
        <w:rPr>
          <w:rFonts w:ascii="Times New Roman" w:hAnsi="Times New Roman" w:eastAsia="仿宋_GB2312"/>
          <w:sz w:val="32"/>
          <w:szCs w:val="32"/>
        </w:rPr>
        <w:t>措施缓释到期债务风险，推进平台公司</w:t>
      </w:r>
      <w:r>
        <w:rPr>
          <w:rFonts w:hint="eastAsia" w:ascii="Times New Roman" w:hAnsi="Times New Roman" w:eastAsia="仿宋_GB2312"/>
          <w:sz w:val="32"/>
          <w:szCs w:val="32"/>
        </w:rPr>
        <w:t>“</w:t>
      </w:r>
      <w:r>
        <w:rPr>
          <w:rFonts w:ascii="Times New Roman" w:hAnsi="Times New Roman" w:eastAsia="仿宋_GB2312"/>
          <w:sz w:val="32"/>
          <w:szCs w:val="32"/>
        </w:rPr>
        <w:t>关停并转</w:t>
      </w:r>
      <w:r>
        <w:rPr>
          <w:rFonts w:hint="eastAsia" w:ascii="Times New Roman" w:hAnsi="Times New Roman" w:eastAsia="仿宋_GB2312"/>
          <w:sz w:val="32"/>
          <w:szCs w:val="32"/>
        </w:rPr>
        <w:t>”</w:t>
      </w:r>
      <w:r>
        <w:rPr>
          <w:rFonts w:ascii="Times New Roman" w:hAnsi="Times New Roman" w:eastAsia="仿宋_GB2312"/>
          <w:sz w:val="32"/>
          <w:szCs w:val="32"/>
        </w:rPr>
        <w:t>。化解金融风险，全</w:t>
      </w:r>
      <w:r>
        <w:rPr>
          <w:rFonts w:hint="eastAsia" w:ascii="Times New Roman" w:hAnsi="Times New Roman" w:eastAsia="仿宋_GB2312"/>
          <w:sz w:val="32"/>
          <w:szCs w:val="32"/>
        </w:rPr>
        <w:t>县</w:t>
      </w:r>
      <w:r>
        <w:rPr>
          <w:rFonts w:ascii="Times New Roman" w:hAnsi="Times New Roman" w:eastAsia="仿宋_GB2312"/>
          <w:sz w:val="32"/>
          <w:szCs w:val="32"/>
        </w:rPr>
        <w:t>金融领域重大风险点得到有序处置，金融乱象得到有效遏制，金融生态环境持续优化。化解地产风险，做好风险项目的信息预警、隐患排查、应急处置等各项工作，推动房地产</w:t>
      </w:r>
      <w:r>
        <w:rPr>
          <w:rFonts w:hint="eastAsia" w:ascii="Times New Roman" w:hAnsi="Times New Roman" w:eastAsia="仿宋_GB2312"/>
          <w:sz w:val="32"/>
          <w:szCs w:val="32"/>
        </w:rPr>
        <w:t>市</w:t>
      </w:r>
      <w:r>
        <w:rPr>
          <w:rFonts w:ascii="Times New Roman" w:hAnsi="Times New Roman" w:eastAsia="仿宋_GB2312"/>
          <w:sz w:val="32"/>
          <w:szCs w:val="32"/>
        </w:rPr>
        <w:t>场平稳健康发展。化解疫情风险，认真落实</w:t>
      </w:r>
      <w:r>
        <w:rPr>
          <w:rFonts w:hint="eastAsia" w:ascii="Times New Roman" w:hAnsi="Times New Roman" w:eastAsia="仿宋_GB2312"/>
          <w:sz w:val="32"/>
          <w:szCs w:val="32"/>
        </w:rPr>
        <w:t>“</w:t>
      </w:r>
      <w:r>
        <w:rPr>
          <w:rFonts w:ascii="Times New Roman" w:hAnsi="Times New Roman" w:eastAsia="仿宋_GB2312"/>
          <w:sz w:val="32"/>
          <w:szCs w:val="32"/>
        </w:rPr>
        <w:t>乙类乙管</w:t>
      </w:r>
      <w:r>
        <w:rPr>
          <w:rFonts w:hint="eastAsia" w:ascii="Times New Roman" w:hAnsi="Times New Roman" w:eastAsia="仿宋_GB2312"/>
          <w:sz w:val="32"/>
          <w:szCs w:val="32"/>
        </w:rPr>
        <w:t>”</w:t>
      </w:r>
      <w:r>
        <w:rPr>
          <w:rFonts w:ascii="Times New Roman" w:hAnsi="Times New Roman" w:eastAsia="仿宋_GB2312"/>
          <w:sz w:val="32"/>
          <w:szCs w:val="32"/>
        </w:rPr>
        <w:t>，突出</w:t>
      </w:r>
      <w:r>
        <w:rPr>
          <w:rFonts w:hint="eastAsia" w:ascii="Times New Roman" w:hAnsi="Times New Roman" w:eastAsia="仿宋_GB2312"/>
          <w:sz w:val="32"/>
          <w:szCs w:val="32"/>
        </w:rPr>
        <w:t>“</w:t>
      </w:r>
      <w:r>
        <w:rPr>
          <w:rFonts w:ascii="Times New Roman" w:hAnsi="Times New Roman" w:eastAsia="仿宋_GB2312"/>
          <w:sz w:val="32"/>
          <w:szCs w:val="32"/>
        </w:rPr>
        <w:t>保健康、防重症</w:t>
      </w:r>
      <w:r>
        <w:rPr>
          <w:rFonts w:hint="eastAsia" w:ascii="Times New Roman" w:hAnsi="Times New Roman" w:eastAsia="仿宋_GB2312"/>
          <w:sz w:val="32"/>
          <w:szCs w:val="32"/>
        </w:rPr>
        <w:t>”</w:t>
      </w:r>
      <w:r>
        <w:rPr>
          <w:rFonts w:ascii="Times New Roman" w:hAnsi="Times New Roman" w:eastAsia="仿宋_GB2312"/>
          <w:sz w:val="32"/>
          <w:szCs w:val="32"/>
        </w:rPr>
        <w:t>，最大程度保护群众生命安全、减少疫情影响。化解极端天气引发的风险，立足防、超前治、科学救，将极端天气灾害损失降至最低，确保生产生活有序、社会大局稳定。</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（一）防范化解政府债务风险（</w:t>
      </w:r>
      <w:r>
        <w:rPr>
          <w:rFonts w:hint="eastAsia" w:ascii="Times New Roman" w:hAnsi="Times New Roman" w:eastAsia="楷体_GB2312"/>
          <w:b/>
          <w:bCs/>
          <w:sz w:val="32"/>
          <w:szCs w:val="32"/>
        </w:rPr>
        <w:t>县</w:t>
      </w:r>
      <w:r>
        <w:rPr>
          <w:rFonts w:ascii="Times New Roman" w:hAnsi="Times New Roman" w:eastAsia="楷体_GB2312"/>
          <w:b/>
          <w:bCs/>
          <w:sz w:val="32"/>
          <w:szCs w:val="32"/>
        </w:rPr>
        <w:t>财政局牵头）</w:t>
      </w:r>
    </w:p>
    <w:p>
      <w:pPr>
        <w:topLinePunct/>
        <w:spacing w:line="586" w:lineRule="exact"/>
        <w:ind w:firstLine="643" w:firstLineChars="200"/>
        <w:rPr>
          <w:rFonts w:hint="eastAsia" w:ascii="Times New Roman" w:hAnsi="Times New Roman" w:eastAsia="楷体_GB2312"/>
          <w:sz w:val="32"/>
          <w:szCs w:val="32"/>
        </w:rPr>
      </w:pPr>
      <w:r>
        <w:rPr>
          <w:rFonts w:ascii="Times New Roman" w:hAnsi="Times New Roman" w:eastAsia="仿宋_GB2312"/>
          <w:b/>
          <w:bCs/>
          <w:sz w:val="32"/>
          <w:szCs w:val="32"/>
        </w:rPr>
        <w:t>1.严格遏制新增政府隐性债务。</w:t>
      </w:r>
      <w:r>
        <w:rPr>
          <w:rFonts w:ascii="Times New Roman" w:hAnsi="Times New Roman" w:eastAsia="仿宋_GB2312"/>
          <w:sz w:val="32"/>
          <w:szCs w:val="32"/>
        </w:rPr>
        <w:t>落实规范政府投资项目立项管理办法，执行高风险地区上级财政开工核准制。深化违规举债和虚假化债专项监督，加大执纪问责力度。加强债务管理工作考核，将防范化解债务风险纳入</w:t>
      </w:r>
      <w:r>
        <w:rPr>
          <w:rFonts w:hint="eastAsia" w:ascii="Times New Roman" w:hAnsi="Times New Roman" w:eastAsia="仿宋_GB2312"/>
          <w:sz w:val="32"/>
          <w:szCs w:val="32"/>
        </w:rPr>
        <w:t>县</w:t>
      </w:r>
      <w:r>
        <w:rPr>
          <w:rFonts w:ascii="Times New Roman" w:hAnsi="Times New Roman" w:eastAsia="仿宋_GB2312"/>
          <w:sz w:val="32"/>
          <w:szCs w:val="32"/>
        </w:rPr>
        <w:t>委巡察、绩效考核、审计等的重点范围。</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w:t>
      </w:r>
      <w:r>
        <w:rPr>
          <w:rFonts w:ascii="Times New Roman" w:hAnsi="Times New Roman" w:eastAsia="楷体_GB2312"/>
          <w:sz w:val="32"/>
          <w:szCs w:val="32"/>
        </w:rPr>
        <w:t>发改</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纪委监委、</w:t>
      </w:r>
      <w:r>
        <w:rPr>
          <w:rFonts w:hint="eastAsia" w:ascii="Times New Roman" w:hAnsi="Times New Roman" w:eastAsia="楷体_GB2312"/>
          <w:sz w:val="32"/>
          <w:szCs w:val="32"/>
        </w:rPr>
        <w:t>县</w:t>
      </w:r>
      <w:r>
        <w:rPr>
          <w:rFonts w:ascii="Times New Roman" w:hAnsi="Times New Roman" w:eastAsia="楷体_GB2312"/>
          <w:sz w:val="32"/>
          <w:szCs w:val="32"/>
        </w:rPr>
        <w:t>委巡察办、</w:t>
      </w:r>
      <w:r>
        <w:rPr>
          <w:rFonts w:hint="eastAsia" w:ascii="Times New Roman" w:hAnsi="Times New Roman" w:eastAsia="楷体_GB2312"/>
          <w:sz w:val="32"/>
          <w:szCs w:val="32"/>
        </w:rPr>
        <w:t>县</w:t>
      </w:r>
      <w:r>
        <w:rPr>
          <w:rFonts w:ascii="Times New Roman" w:hAnsi="Times New Roman" w:eastAsia="楷体_GB2312"/>
          <w:sz w:val="32"/>
          <w:szCs w:val="32"/>
        </w:rPr>
        <w:t>审计局等负责</w:t>
      </w:r>
      <w:r>
        <w:rPr>
          <w:rFonts w:hint="eastAsia" w:ascii="Times New Roman" w:hAnsi="Times New Roman" w:eastAsia="楷体_GB2312"/>
          <w:sz w:val="32"/>
          <w:szCs w:val="32"/>
        </w:rPr>
        <w:t>）</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2.多措并举化解存量债务。</w:t>
      </w:r>
      <w:r>
        <w:rPr>
          <w:rFonts w:ascii="Times New Roman" w:hAnsi="Times New Roman" w:eastAsia="仿宋_GB2312"/>
          <w:sz w:val="32"/>
          <w:szCs w:val="32"/>
        </w:rPr>
        <w:t>组织各级多渠道筹集资金化解债务，优先保障付息，严禁虚假化债和数字化债。落实化债部门责任制。</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隆回高新区</w:t>
      </w:r>
      <w:r>
        <w:rPr>
          <w:rFonts w:ascii="Times New Roman" w:hAnsi="Times New Roman" w:eastAsia="楷体_GB2312"/>
          <w:sz w:val="32"/>
          <w:szCs w:val="32"/>
        </w:rPr>
        <w:t>、</w:t>
      </w:r>
      <w:r>
        <w:rPr>
          <w:rFonts w:hint="eastAsia" w:ascii="Times New Roman" w:hAnsi="Times New Roman" w:eastAsia="楷体_GB2312"/>
          <w:sz w:val="32"/>
          <w:szCs w:val="32"/>
        </w:rPr>
        <w:t>县重点建设项目事务中心</w:t>
      </w:r>
      <w:r>
        <w:rPr>
          <w:rFonts w:ascii="Times New Roman" w:hAnsi="Times New Roman" w:eastAsia="楷体_GB2312"/>
          <w:sz w:val="32"/>
          <w:szCs w:val="32"/>
        </w:rPr>
        <w:t>及</w:t>
      </w:r>
      <w:r>
        <w:rPr>
          <w:rFonts w:hint="eastAsia" w:ascii="Times New Roman" w:hAnsi="Times New Roman" w:eastAsia="楷体_GB2312"/>
          <w:sz w:val="32"/>
          <w:szCs w:val="32"/>
        </w:rPr>
        <w:t>县</w:t>
      </w:r>
      <w:r>
        <w:rPr>
          <w:rFonts w:ascii="Times New Roman" w:hAnsi="Times New Roman" w:eastAsia="楷体_GB2312"/>
          <w:sz w:val="32"/>
          <w:szCs w:val="32"/>
        </w:rPr>
        <w:t>直部门等负责)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3.常态化监测预警债务风险。</w:t>
      </w:r>
      <w:r>
        <w:rPr>
          <w:rFonts w:ascii="Times New Roman" w:hAnsi="Times New Roman" w:eastAsia="仿宋_GB2312"/>
          <w:sz w:val="32"/>
          <w:szCs w:val="32"/>
        </w:rPr>
        <w:t>健全常态化债务监测机制，及时开展债务风险评估预警。发挥政信资源引导作用，协调金融机构运用</w:t>
      </w:r>
      <w:r>
        <w:rPr>
          <w:rFonts w:hint="eastAsia" w:ascii="Times New Roman" w:hAnsi="Times New Roman" w:eastAsia="仿宋_GB2312"/>
          <w:sz w:val="32"/>
          <w:szCs w:val="32"/>
        </w:rPr>
        <w:t>“</w:t>
      </w:r>
      <w:r>
        <w:rPr>
          <w:rFonts w:ascii="Times New Roman" w:hAnsi="Times New Roman" w:eastAsia="仿宋_GB2312"/>
          <w:sz w:val="32"/>
          <w:szCs w:val="32"/>
        </w:rPr>
        <w:t>六个一批</w:t>
      </w:r>
      <w:r>
        <w:rPr>
          <w:rFonts w:hint="eastAsia" w:ascii="Times New Roman" w:hAnsi="Times New Roman" w:eastAsia="仿宋_GB2312"/>
          <w:sz w:val="32"/>
          <w:szCs w:val="32"/>
        </w:rPr>
        <w:t>”</w:t>
      </w:r>
      <w:r>
        <w:rPr>
          <w:rFonts w:ascii="Times New Roman" w:hAnsi="Times New Roman" w:eastAsia="仿宋_GB2312"/>
          <w:sz w:val="32"/>
          <w:szCs w:val="32"/>
        </w:rPr>
        <w:t>措施缓释到期债务风险。持续做好债务舆情监测处置工作。</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县政府金融办</w:t>
      </w:r>
      <w:r>
        <w:rPr>
          <w:rFonts w:ascii="Times New Roman" w:hAnsi="Times New Roman" w:eastAsia="楷体_GB2312"/>
          <w:sz w:val="32"/>
          <w:szCs w:val="32"/>
        </w:rPr>
        <w:t>、人民银行</w:t>
      </w:r>
      <w:r>
        <w:rPr>
          <w:rFonts w:hint="eastAsia" w:ascii="Times New Roman" w:hAnsi="Times New Roman" w:eastAsia="楷体_GB2312"/>
          <w:sz w:val="32"/>
          <w:szCs w:val="32"/>
        </w:rPr>
        <w:t>隆回</w:t>
      </w:r>
      <w:r>
        <w:rPr>
          <w:rFonts w:ascii="Times New Roman" w:hAnsi="Times New Roman" w:eastAsia="楷体_GB2312"/>
          <w:sz w:val="32"/>
          <w:szCs w:val="32"/>
        </w:rPr>
        <w:t>支行、</w:t>
      </w:r>
      <w:r>
        <w:rPr>
          <w:rFonts w:hint="eastAsia" w:ascii="Times New Roman" w:hAnsi="Times New Roman" w:eastAsia="楷体_GB2312"/>
          <w:sz w:val="32"/>
          <w:szCs w:val="32"/>
        </w:rPr>
        <w:t>县</w:t>
      </w:r>
      <w:r>
        <w:rPr>
          <w:rFonts w:ascii="Times New Roman" w:hAnsi="Times New Roman" w:eastAsia="楷体_GB2312"/>
          <w:sz w:val="32"/>
          <w:szCs w:val="32"/>
        </w:rPr>
        <w:t>委网信办、</w:t>
      </w:r>
      <w:r>
        <w:rPr>
          <w:rFonts w:hint="eastAsia" w:ascii="Times New Roman" w:hAnsi="Times New Roman" w:eastAsia="楷体_GB2312"/>
          <w:sz w:val="32"/>
          <w:szCs w:val="32"/>
        </w:rPr>
        <w:t>隆回高新区</w:t>
      </w:r>
      <w:r>
        <w:rPr>
          <w:rFonts w:ascii="Times New Roman" w:hAnsi="Times New Roman" w:eastAsia="楷体_GB2312"/>
          <w:sz w:val="32"/>
          <w:szCs w:val="32"/>
        </w:rPr>
        <w:t>、</w:t>
      </w:r>
      <w:r>
        <w:rPr>
          <w:rFonts w:hint="eastAsia" w:ascii="Times New Roman" w:hAnsi="Times New Roman" w:eastAsia="楷体_GB2312"/>
          <w:sz w:val="32"/>
          <w:szCs w:val="32"/>
        </w:rPr>
        <w:t>县重点建设项目事务中心</w:t>
      </w:r>
      <w:r>
        <w:rPr>
          <w:rFonts w:ascii="Times New Roman" w:hAnsi="Times New Roman" w:eastAsia="楷体_GB2312"/>
          <w:sz w:val="32"/>
          <w:szCs w:val="32"/>
        </w:rPr>
        <w:t>等负责）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4.加强政府债券管理。</w:t>
      </w:r>
      <w:r>
        <w:rPr>
          <w:rFonts w:ascii="Times New Roman" w:hAnsi="Times New Roman" w:eastAsia="仿宋_GB2312"/>
          <w:sz w:val="32"/>
          <w:szCs w:val="32"/>
        </w:rPr>
        <w:t>积极争取省财政厅对我</w:t>
      </w:r>
      <w:r>
        <w:rPr>
          <w:rFonts w:hint="eastAsia" w:ascii="Times New Roman" w:hAnsi="Times New Roman" w:eastAsia="仿宋_GB2312"/>
          <w:sz w:val="32"/>
          <w:szCs w:val="32"/>
        </w:rPr>
        <w:t>县</w:t>
      </w:r>
      <w:r>
        <w:rPr>
          <w:rFonts w:ascii="Times New Roman" w:hAnsi="Times New Roman" w:eastAsia="仿宋_GB2312"/>
          <w:sz w:val="32"/>
          <w:szCs w:val="32"/>
        </w:rPr>
        <w:t>政府债券限额分配支持。聚焦短板领域、重点方向、重大项目，储备优质债券项目。加快政府债券发行使用进度，加强专项债券投后管理，探索实施专项债券穿透式监测。按时足额还本付息，确保法定债券不出风险。</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县发改局</w:t>
      </w:r>
      <w:r>
        <w:rPr>
          <w:rFonts w:ascii="Times New Roman" w:hAnsi="Times New Roman" w:eastAsia="楷体_GB2312"/>
          <w:sz w:val="32"/>
          <w:szCs w:val="32"/>
        </w:rPr>
        <w:t>及</w:t>
      </w:r>
      <w:r>
        <w:rPr>
          <w:rFonts w:hint="eastAsia" w:ascii="Times New Roman" w:hAnsi="Times New Roman" w:eastAsia="楷体_GB2312"/>
          <w:sz w:val="32"/>
          <w:szCs w:val="32"/>
        </w:rPr>
        <w:t>县</w:t>
      </w:r>
      <w:r>
        <w:rPr>
          <w:rFonts w:ascii="Times New Roman" w:hAnsi="Times New Roman" w:eastAsia="楷体_GB2312"/>
          <w:sz w:val="32"/>
          <w:szCs w:val="32"/>
        </w:rPr>
        <w:t>直部门等负责)</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5.加强平台公司综合治理。</w:t>
      </w:r>
      <w:r>
        <w:rPr>
          <w:rFonts w:ascii="Times New Roman" w:hAnsi="Times New Roman" w:eastAsia="仿宋_GB2312"/>
          <w:sz w:val="32"/>
          <w:szCs w:val="32"/>
        </w:rPr>
        <w:t>严禁新设融资平台公司，防范国有企事业单位</w:t>
      </w:r>
      <w:r>
        <w:rPr>
          <w:rFonts w:hint="eastAsia" w:ascii="Times New Roman" w:hAnsi="Times New Roman" w:eastAsia="仿宋_GB2312"/>
          <w:sz w:val="32"/>
          <w:szCs w:val="32"/>
        </w:rPr>
        <w:t>“</w:t>
      </w:r>
      <w:r>
        <w:rPr>
          <w:rFonts w:ascii="Times New Roman" w:hAnsi="Times New Roman" w:eastAsia="仿宋_GB2312"/>
          <w:sz w:val="32"/>
          <w:szCs w:val="32"/>
        </w:rPr>
        <w:t>平台化</w:t>
      </w:r>
      <w:r>
        <w:rPr>
          <w:rFonts w:hint="eastAsia" w:ascii="Times New Roman" w:hAnsi="Times New Roman" w:eastAsia="仿宋_GB2312"/>
          <w:sz w:val="32"/>
          <w:szCs w:val="32"/>
        </w:rPr>
        <w:t>”</w:t>
      </w:r>
      <w:r>
        <w:rPr>
          <w:rFonts w:ascii="Times New Roman" w:hAnsi="Times New Roman" w:eastAsia="仿宋_GB2312"/>
          <w:sz w:val="32"/>
          <w:szCs w:val="32"/>
        </w:rPr>
        <w:t>。剥离平台公司政府融资职能，规范平台公司融资信息披露，严禁与政府信用挂钩。加快推进平台公司</w:t>
      </w:r>
      <w:r>
        <w:rPr>
          <w:rFonts w:hint="eastAsia" w:ascii="Times New Roman" w:hAnsi="Times New Roman" w:eastAsia="仿宋_GB2312"/>
          <w:sz w:val="32"/>
          <w:szCs w:val="32"/>
        </w:rPr>
        <w:t>“</w:t>
      </w:r>
      <w:r>
        <w:rPr>
          <w:rFonts w:ascii="Times New Roman" w:hAnsi="Times New Roman" w:eastAsia="仿宋_GB2312"/>
          <w:sz w:val="32"/>
          <w:szCs w:val="32"/>
        </w:rPr>
        <w:t>关停并转</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委财经办、</w:t>
      </w:r>
      <w:r>
        <w:rPr>
          <w:rFonts w:hint="eastAsia" w:ascii="Times New Roman" w:hAnsi="Times New Roman" w:eastAsia="楷体_GB2312"/>
          <w:sz w:val="32"/>
          <w:szCs w:val="32"/>
        </w:rPr>
        <w:t>县发改局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县政府金融办</w:t>
      </w:r>
      <w:r>
        <w:rPr>
          <w:rFonts w:ascii="Times New Roman" w:hAnsi="Times New Roman" w:eastAsia="楷体_GB2312"/>
          <w:sz w:val="32"/>
          <w:szCs w:val="32"/>
        </w:rPr>
        <w:t>、</w:t>
      </w:r>
      <w:r>
        <w:rPr>
          <w:rFonts w:hint="eastAsia" w:ascii="Times New Roman" w:hAnsi="Times New Roman" w:eastAsia="楷体_GB2312"/>
          <w:sz w:val="32"/>
          <w:szCs w:val="32"/>
        </w:rPr>
        <w:t>人民银行隆回支行</w:t>
      </w:r>
      <w:r>
        <w:rPr>
          <w:rFonts w:ascii="Times New Roman" w:hAnsi="Times New Roman" w:eastAsia="楷体_GB2312"/>
          <w:sz w:val="32"/>
          <w:szCs w:val="32"/>
        </w:rPr>
        <w:t>、</w:t>
      </w:r>
      <w:r>
        <w:rPr>
          <w:rFonts w:hint="eastAsia" w:ascii="Times New Roman" w:hAnsi="Times New Roman" w:eastAsia="楷体_GB2312"/>
          <w:sz w:val="32"/>
          <w:szCs w:val="32"/>
        </w:rPr>
        <w:t>隆回高新区</w:t>
      </w:r>
      <w:r>
        <w:rPr>
          <w:rFonts w:ascii="Times New Roman" w:hAnsi="Times New Roman" w:eastAsia="楷体_GB2312"/>
          <w:sz w:val="32"/>
          <w:szCs w:val="32"/>
        </w:rPr>
        <w:t>、</w:t>
      </w:r>
      <w:r>
        <w:rPr>
          <w:rFonts w:hint="eastAsia" w:ascii="Times New Roman" w:hAnsi="Times New Roman" w:eastAsia="楷体_GB2312"/>
          <w:sz w:val="32"/>
          <w:szCs w:val="32"/>
        </w:rPr>
        <w:t>县重点建设项目事务中心</w:t>
      </w:r>
      <w:r>
        <w:rPr>
          <w:rFonts w:ascii="Times New Roman" w:hAnsi="Times New Roman" w:eastAsia="楷体_GB2312"/>
          <w:sz w:val="32"/>
          <w:szCs w:val="32"/>
        </w:rPr>
        <w:t>等负责）</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（二）防范化解金融风险（</w:t>
      </w:r>
      <w:r>
        <w:rPr>
          <w:rFonts w:hint="eastAsia" w:ascii="Times New Roman" w:hAnsi="Times New Roman" w:eastAsia="楷体_GB2312"/>
          <w:b/>
          <w:bCs/>
          <w:sz w:val="32"/>
          <w:szCs w:val="32"/>
        </w:rPr>
        <w:t>县政府金融办</w:t>
      </w:r>
      <w:r>
        <w:rPr>
          <w:rFonts w:ascii="Times New Roman" w:hAnsi="Times New Roman" w:eastAsia="楷体_GB2312"/>
          <w:b/>
          <w:bCs/>
          <w:sz w:val="32"/>
          <w:szCs w:val="32"/>
        </w:rPr>
        <w:t>牵头)</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6.有效化解高风险机构风险。</w:t>
      </w:r>
      <w:r>
        <w:rPr>
          <w:rFonts w:ascii="Times New Roman" w:hAnsi="Times New Roman" w:eastAsia="仿宋_GB2312"/>
          <w:sz w:val="32"/>
          <w:szCs w:val="32"/>
        </w:rPr>
        <w:t>加快推动高风险中小银行机构化险脱困。加大中小银行改革发展和声誉风险防范处置支持力度，防范流动性风险事件。</w:t>
      </w:r>
      <w:r>
        <w:rPr>
          <w:rFonts w:ascii="Times New Roman" w:hAnsi="Times New Roman" w:eastAsia="楷体_GB2312"/>
          <w:sz w:val="32"/>
          <w:szCs w:val="32"/>
        </w:rPr>
        <w:t>（人民银行</w:t>
      </w:r>
      <w:r>
        <w:rPr>
          <w:rFonts w:hint="eastAsia" w:ascii="Times New Roman" w:hAnsi="Times New Roman" w:eastAsia="楷体_GB2312"/>
          <w:sz w:val="32"/>
          <w:szCs w:val="32"/>
        </w:rPr>
        <w:t>隆回</w:t>
      </w:r>
      <w:r>
        <w:rPr>
          <w:rFonts w:ascii="Times New Roman" w:hAnsi="Times New Roman" w:eastAsia="楷体_GB2312"/>
          <w:sz w:val="32"/>
          <w:szCs w:val="32"/>
        </w:rPr>
        <w:t>支行、</w:t>
      </w:r>
      <w:r>
        <w:rPr>
          <w:rFonts w:hint="eastAsia" w:ascii="Times New Roman" w:hAnsi="Times New Roman" w:eastAsia="楷体_GB2312"/>
          <w:sz w:val="32"/>
          <w:szCs w:val="32"/>
        </w:rPr>
        <w:t>县</w:t>
      </w:r>
      <w:r>
        <w:rPr>
          <w:rFonts w:ascii="Times New Roman" w:hAnsi="Times New Roman" w:eastAsia="楷体_GB2312"/>
          <w:sz w:val="32"/>
          <w:szCs w:val="32"/>
        </w:rPr>
        <w:t>政府金融办、</w:t>
      </w:r>
      <w:r>
        <w:rPr>
          <w:rFonts w:hint="eastAsia" w:ascii="Times New Roman" w:hAnsi="Times New Roman" w:eastAsia="楷体_GB2312"/>
          <w:sz w:val="32"/>
          <w:szCs w:val="32"/>
        </w:rPr>
        <w:t>隆回农商银行、隆回湘江村镇银行</w:t>
      </w:r>
      <w:r>
        <w:rPr>
          <w:rFonts w:ascii="Times New Roman" w:hAnsi="Times New Roman" w:eastAsia="楷体_GB2312"/>
          <w:sz w:val="32"/>
          <w:szCs w:val="32"/>
        </w:rPr>
        <w:t>等负责）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7.强化地方金融组织日常监管。</w:t>
      </w:r>
      <w:r>
        <w:rPr>
          <w:rFonts w:ascii="Times New Roman" w:hAnsi="Times New Roman" w:eastAsia="仿宋_GB2312"/>
          <w:sz w:val="32"/>
          <w:szCs w:val="32"/>
        </w:rPr>
        <w:t>贯彻《湖南省地方金融监督管理条例》，持续完善配套监管制度体系，做好小额贷款公司、融资担保公司</w:t>
      </w:r>
      <w:r>
        <w:rPr>
          <w:rFonts w:hint="eastAsia" w:ascii="Times New Roman" w:hAnsi="Times New Roman" w:eastAsia="仿宋_GB2312"/>
          <w:sz w:val="32"/>
          <w:szCs w:val="32"/>
        </w:rPr>
        <w:t>、典当</w:t>
      </w:r>
      <w:r>
        <w:rPr>
          <w:rFonts w:ascii="Times New Roman" w:hAnsi="Times New Roman" w:eastAsia="仿宋_GB2312"/>
          <w:sz w:val="32"/>
          <w:szCs w:val="32"/>
        </w:rPr>
        <w:t>等地方金融组织日常监管。</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政府金融办</w:t>
      </w:r>
      <w:r>
        <w:rPr>
          <w:rFonts w:hint="eastAsia" w:ascii="Times New Roman" w:hAnsi="Times New Roman" w:eastAsia="楷体_GB2312"/>
          <w:sz w:val="32"/>
          <w:szCs w:val="32"/>
        </w:rPr>
        <w:t>、县市场监督管理局</w:t>
      </w:r>
      <w:r>
        <w:rPr>
          <w:rFonts w:ascii="Times New Roman" w:hAnsi="Times New Roman" w:eastAsia="楷体_GB2312"/>
          <w:sz w:val="32"/>
          <w:szCs w:val="32"/>
        </w:rPr>
        <w:t>）</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8.全力推进重大案件风险处置。</w:t>
      </w:r>
      <w:r>
        <w:rPr>
          <w:rFonts w:ascii="Times New Roman" w:hAnsi="Times New Roman" w:eastAsia="仿宋_GB2312"/>
          <w:sz w:val="32"/>
          <w:szCs w:val="32"/>
        </w:rPr>
        <w:t>做好</w:t>
      </w:r>
      <w:r>
        <w:rPr>
          <w:rFonts w:hint="eastAsia" w:ascii="Times New Roman" w:hAnsi="Times New Roman" w:eastAsia="仿宋_GB2312"/>
          <w:sz w:val="32"/>
          <w:szCs w:val="32"/>
        </w:rPr>
        <w:t>“</w:t>
      </w:r>
      <w:r>
        <w:rPr>
          <w:rFonts w:ascii="Times New Roman" w:hAnsi="Times New Roman" w:eastAsia="仿宋_GB2312"/>
          <w:sz w:val="32"/>
          <w:szCs w:val="32"/>
        </w:rPr>
        <w:t>盛大金禧</w:t>
      </w:r>
      <w:r>
        <w:rPr>
          <w:rFonts w:hint="eastAsia" w:ascii="Times New Roman" w:hAnsi="Times New Roman" w:eastAsia="仿宋_GB2312"/>
          <w:sz w:val="32"/>
          <w:szCs w:val="32"/>
        </w:rPr>
        <w:t>”、“中桥金信”、“陈善斌案”</w:t>
      </w:r>
      <w:r>
        <w:rPr>
          <w:rFonts w:ascii="Times New Roman" w:hAnsi="Times New Roman" w:eastAsia="仿宋_GB2312"/>
          <w:sz w:val="32"/>
          <w:szCs w:val="32"/>
        </w:rPr>
        <w:t>等重大案件侦办查处、追赃挽损、信息核实、资产处置、信访维稳、舆情管控等工作，严厉打击违法犯罪，切实维护群众利益和社会稳定。</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盛大金禧</w:t>
      </w:r>
      <w:r>
        <w:rPr>
          <w:rFonts w:hint="eastAsia" w:ascii="Times New Roman" w:hAnsi="Times New Roman" w:eastAsia="楷体_GB2312"/>
          <w:sz w:val="32"/>
          <w:szCs w:val="32"/>
        </w:rPr>
        <w:t>”</w:t>
      </w:r>
      <w:r>
        <w:rPr>
          <w:rFonts w:ascii="Times New Roman" w:hAnsi="Times New Roman" w:eastAsia="楷体_GB2312"/>
          <w:sz w:val="32"/>
          <w:szCs w:val="32"/>
        </w:rPr>
        <w:t>案风险处置工作领导小组各成员单位</w:t>
      </w:r>
      <w:r>
        <w:rPr>
          <w:rFonts w:hint="eastAsia" w:ascii="Times New Roman" w:hAnsi="Times New Roman" w:eastAsia="楷体_GB2312"/>
          <w:sz w:val="32"/>
          <w:szCs w:val="32"/>
        </w:rPr>
        <w:t>、中桥金信处置工作组、陈善斌案处置工作组</w:t>
      </w:r>
      <w:r>
        <w:rPr>
          <w:rFonts w:ascii="Times New Roman" w:hAnsi="Times New Roman" w:eastAsia="楷体_GB2312"/>
          <w:sz w:val="32"/>
          <w:szCs w:val="32"/>
        </w:rPr>
        <w:t>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9.开展非法集资整治专项行动。</w:t>
      </w:r>
      <w:r>
        <w:rPr>
          <w:rFonts w:ascii="Times New Roman" w:hAnsi="Times New Roman" w:eastAsia="仿宋_GB2312"/>
          <w:sz w:val="32"/>
          <w:szCs w:val="32"/>
        </w:rPr>
        <w:t>全面摸清风险隐患底数并制定防控措施。完善行刑衔接和依法打击机制，常态化开展防非处非宣传、金融领域扫黑除恶、打击整治养老领域非法集资等工作，严厉打击</w:t>
      </w:r>
      <w:r>
        <w:rPr>
          <w:rFonts w:hint="eastAsia" w:ascii="Times New Roman" w:hAnsi="Times New Roman" w:eastAsia="仿宋_GB2312"/>
          <w:sz w:val="32"/>
          <w:szCs w:val="32"/>
        </w:rPr>
        <w:t>“</w:t>
      </w:r>
      <w:r>
        <w:rPr>
          <w:rFonts w:ascii="Times New Roman" w:hAnsi="Times New Roman" w:eastAsia="仿宋_GB2312"/>
          <w:sz w:val="32"/>
          <w:szCs w:val="32"/>
        </w:rPr>
        <w:t>一非三贷</w:t>
      </w:r>
      <w:r>
        <w:rPr>
          <w:rFonts w:hint="eastAsia" w:ascii="Times New Roman" w:hAnsi="Times New Roman" w:eastAsia="仿宋_GB2312"/>
          <w:sz w:val="32"/>
          <w:szCs w:val="32"/>
        </w:rPr>
        <w:t>”“</w:t>
      </w:r>
      <w:r>
        <w:rPr>
          <w:rFonts w:ascii="Times New Roman" w:hAnsi="Times New Roman" w:eastAsia="仿宋_GB2312"/>
          <w:sz w:val="32"/>
          <w:szCs w:val="32"/>
        </w:rPr>
        <w:t>三贷三霸</w:t>
      </w:r>
      <w:r>
        <w:rPr>
          <w:rFonts w:hint="eastAsia" w:ascii="Times New Roman" w:hAnsi="Times New Roman" w:eastAsia="仿宋_GB2312"/>
          <w:sz w:val="32"/>
          <w:szCs w:val="32"/>
        </w:rPr>
        <w:t>”</w:t>
      </w:r>
      <w:r>
        <w:rPr>
          <w:rFonts w:ascii="Times New Roman" w:hAnsi="Times New Roman" w:eastAsia="仿宋_GB2312"/>
          <w:sz w:val="32"/>
          <w:szCs w:val="32"/>
        </w:rPr>
        <w:t>等非法活动，从重打击以养老为幌子从事非法集资犯罪的市场主体和个人。</w:t>
      </w:r>
      <w:r>
        <w:rPr>
          <w:rFonts w:ascii="Times New Roman" w:hAnsi="Times New Roman" w:eastAsia="楷体_GB2312"/>
          <w:sz w:val="32"/>
          <w:szCs w:val="32"/>
        </w:rPr>
        <w:t>（</w:t>
      </w:r>
      <w:r>
        <w:rPr>
          <w:rFonts w:hint="eastAsia" w:ascii="Times New Roman" w:hAnsi="Times New Roman" w:eastAsia="楷体_GB2312"/>
          <w:sz w:val="32"/>
          <w:szCs w:val="32"/>
        </w:rPr>
        <w:t>县防范</w:t>
      </w:r>
      <w:r>
        <w:rPr>
          <w:rFonts w:ascii="Times New Roman" w:hAnsi="Times New Roman" w:eastAsia="楷体_GB2312"/>
          <w:sz w:val="32"/>
          <w:szCs w:val="32"/>
        </w:rPr>
        <w:t>和</w:t>
      </w:r>
      <w:r>
        <w:rPr>
          <w:rFonts w:hint="eastAsia" w:ascii="Times New Roman" w:hAnsi="Times New Roman" w:eastAsia="楷体_GB2312"/>
          <w:sz w:val="32"/>
          <w:szCs w:val="32"/>
        </w:rPr>
        <w:t>打击</w:t>
      </w:r>
      <w:r>
        <w:rPr>
          <w:rFonts w:ascii="Times New Roman" w:hAnsi="Times New Roman" w:eastAsia="楷体_GB2312"/>
          <w:sz w:val="32"/>
          <w:szCs w:val="32"/>
        </w:rPr>
        <w:t>非法集资工作领导小组各成员单位</w:t>
      </w:r>
      <w:r>
        <w:rPr>
          <w:rFonts w:hint="eastAsia" w:ascii="Times New Roman" w:hAnsi="Times New Roman" w:eastAsia="楷体_GB2312"/>
          <w:sz w:val="32"/>
          <w:szCs w:val="32"/>
        </w:rPr>
        <w:t>、各乡镇（街道）</w:t>
      </w:r>
      <w:r>
        <w:rPr>
          <w:rFonts w:ascii="Times New Roman" w:hAnsi="Times New Roman" w:eastAsia="楷体_GB2312"/>
          <w:sz w:val="32"/>
          <w:szCs w:val="32"/>
        </w:rPr>
        <w:t>负责)</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10.完善非法金融监测预警机制。</w:t>
      </w:r>
      <w:r>
        <w:rPr>
          <w:rFonts w:ascii="Times New Roman" w:hAnsi="Times New Roman" w:eastAsia="仿宋_GB2312"/>
          <w:sz w:val="32"/>
          <w:szCs w:val="32"/>
        </w:rPr>
        <w:t>根据省级建设、市级共享共用的原则，完善地方金融风险监测预警建设，加强</w:t>
      </w:r>
      <w:r>
        <w:rPr>
          <w:rFonts w:hint="eastAsia" w:ascii="Times New Roman" w:hAnsi="Times New Roman" w:eastAsia="仿宋_GB2312"/>
          <w:sz w:val="32"/>
          <w:szCs w:val="32"/>
        </w:rPr>
        <w:t>与上级主管部门和县</w:t>
      </w:r>
      <w:r>
        <w:rPr>
          <w:rFonts w:ascii="Times New Roman" w:hAnsi="Times New Roman" w:eastAsia="仿宋_GB2312"/>
          <w:sz w:val="32"/>
          <w:szCs w:val="32"/>
        </w:rPr>
        <w:t>级部门间数据信息共享，加快建立全链条地方金融风险防控治理体系。</w:t>
      </w:r>
      <w:r>
        <w:rPr>
          <w:rFonts w:ascii="Times New Roman" w:hAnsi="Times New Roman" w:eastAsia="楷体_GB2312"/>
          <w:sz w:val="32"/>
          <w:szCs w:val="32"/>
        </w:rPr>
        <w:t>(</w:t>
      </w:r>
      <w:r>
        <w:rPr>
          <w:rFonts w:hint="eastAsia" w:ascii="Times New Roman" w:hAnsi="Times New Roman" w:eastAsia="楷体_GB2312"/>
          <w:sz w:val="32"/>
          <w:szCs w:val="32"/>
        </w:rPr>
        <w:t>县防范</w:t>
      </w:r>
      <w:r>
        <w:rPr>
          <w:rFonts w:ascii="Times New Roman" w:hAnsi="Times New Roman" w:eastAsia="楷体_GB2312"/>
          <w:sz w:val="32"/>
          <w:szCs w:val="32"/>
        </w:rPr>
        <w:t>和打击非法集资工作领导小组各成员单位</w:t>
      </w:r>
      <w:r>
        <w:rPr>
          <w:rFonts w:hint="eastAsia" w:ascii="Times New Roman" w:hAnsi="Times New Roman" w:eastAsia="楷体_GB2312"/>
          <w:sz w:val="32"/>
          <w:szCs w:val="32"/>
        </w:rPr>
        <w:t>、各乡镇（街道）</w:t>
      </w:r>
      <w:r>
        <w:rPr>
          <w:rFonts w:ascii="Times New Roman" w:hAnsi="Times New Roman" w:eastAsia="楷体_GB2312"/>
          <w:sz w:val="32"/>
          <w:szCs w:val="32"/>
        </w:rPr>
        <w:t>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11.防范化解</w:t>
      </w:r>
      <w:r>
        <w:rPr>
          <w:rFonts w:hint="eastAsia" w:ascii="Times New Roman" w:hAnsi="Times New Roman" w:eastAsia="仿宋_GB2312"/>
          <w:b/>
          <w:bCs/>
          <w:sz w:val="32"/>
          <w:szCs w:val="32"/>
        </w:rPr>
        <w:t>挂牌和拟</w:t>
      </w:r>
      <w:r>
        <w:rPr>
          <w:rFonts w:ascii="Times New Roman" w:hAnsi="Times New Roman" w:eastAsia="仿宋_GB2312"/>
          <w:b/>
          <w:bCs/>
          <w:sz w:val="32"/>
          <w:szCs w:val="32"/>
        </w:rPr>
        <w:t>上市公司风险。</w:t>
      </w:r>
      <w:r>
        <w:rPr>
          <w:rFonts w:hint="eastAsia" w:ascii="Times New Roman" w:hAnsi="Times New Roman" w:eastAsia="仿宋_GB2312"/>
          <w:sz w:val="32"/>
          <w:szCs w:val="32"/>
        </w:rPr>
        <w:t>配合上级主管部门</w:t>
      </w:r>
      <w:r>
        <w:rPr>
          <w:rFonts w:ascii="Times New Roman" w:hAnsi="Times New Roman" w:eastAsia="仿宋_GB2312"/>
          <w:sz w:val="32"/>
          <w:szCs w:val="32"/>
        </w:rPr>
        <w:t>加大对上市公司违法违规问题的监管力度。支持上市公司通过并购重组、破产重整等方式出清风险。支持银行、证券、保险、私募股权基金等机构参与上市公司股票质押风险化解。</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政府金融办、人民银行</w:t>
      </w:r>
      <w:r>
        <w:rPr>
          <w:rFonts w:hint="eastAsia" w:ascii="Times New Roman" w:hAnsi="Times New Roman" w:eastAsia="楷体_GB2312"/>
          <w:sz w:val="32"/>
          <w:szCs w:val="32"/>
        </w:rPr>
        <w:t>隆回</w:t>
      </w:r>
      <w:r>
        <w:rPr>
          <w:rFonts w:ascii="Times New Roman" w:hAnsi="Times New Roman" w:eastAsia="楷体_GB2312"/>
          <w:sz w:val="32"/>
          <w:szCs w:val="32"/>
        </w:rPr>
        <w:t>支行、</w:t>
      </w:r>
      <w:r>
        <w:rPr>
          <w:rFonts w:hint="eastAsia" w:ascii="Times New Roman" w:hAnsi="Times New Roman" w:eastAsia="楷体_GB2312"/>
          <w:sz w:val="32"/>
          <w:szCs w:val="32"/>
        </w:rPr>
        <w:t>县</w:t>
      </w:r>
      <w:r>
        <w:rPr>
          <w:rFonts w:ascii="Times New Roman" w:hAnsi="Times New Roman" w:eastAsia="楷体_GB2312"/>
          <w:sz w:val="32"/>
          <w:szCs w:val="32"/>
        </w:rPr>
        <w:t>财政局等负责)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12.加强私募股权投资机构监管。</w:t>
      </w:r>
      <w:r>
        <w:rPr>
          <w:rFonts w:hint="eastAsia" w:ascii="Times New Roman" w:hAnsi="Times New Roman" w:eastAsia="仿宋_GB2312"/>
          <w:sz w:val="32"/>
          <w:szCs w:val="32"/>
        </w:rPr>
        <w:t>配合上级主管部门</w:t>
      </w:r>
      <w:r>
        <w:rPr>
          <w:rFonts w:ascii="Times New Roman" w:hAnsi="Times New Roman" w:eastAsia="仿宋_GB2312"/>
          <w:sz w:val="32"/>
          <w:szCs w:val="32"/>
        </w:rPr>
        <w:t>严厉打击各类违法违规行为，严控私募基金增量风险，稳妥化解存量风险，提升行业规范发展水平。</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政府金融办</w:t>
      </w:r>
      <w:r>
        <w:rPr>
          <w:rFonts w:hint="eastAsia" w:ascii="Times New Roman" w:hAnsi="Times New Roman" w:eastAsia="楷体_GB2312"/>
          <w:sz w:val="32"/>
          <w:szCs w:val="32"/>
        </w:rPr>
        <w:t>、县公安局、县市场监督管理局、各乡镇（街道）</w:t>
      </w:r>
      <w:r>
        <w:rPr>
          <w:rFonts w:ascii="Times New Roman" w:hAnsi="Times New Roman" w:eastAsia="楷体_GB2312"/>
          <w:sz w:val="32"/>
          <w:szCs w:val="32"/>
        </w:rPr>
        <w:t>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13.持续推进交易场所和互联网金融风险清理整治。</w:t>
      </w:r>
      <w:r>
        <w:rPr>
          <w:rFonts w:ascii="Times New Roman" w:hAnsi="Times New Roman" w:eastAsia="仿宋_GB2312"/>
          <w:sz w:val="32"/>
          <w:szCs w:val="32"/>
        </w:rPr>
        <w:t>强化对</w:t>
      </w:r>
      <w:r>
        <w:rPr>
          <w:rFonts w:hint="eastAsia" w:ascii="Times New Roman" w:hAnsi="Times New Roman" w:eastAsia="仿宋_GB2312"/>
          <w:sz w:val="32"/>
          <w:szCs w:val="32"/>
        </w:rPr>
        <w:t>“</w:t>
      </w:r>
      <w:r>
        <w:rPr>
          <w:rFonts w:ascii="Times New Roman" w:hAnsi="Times New Roman" w:eastAsia="仿宋_GB2312"/>
          <w:sz w:val="32"/>
          <w:szCs w:val="32"/>
        </w:rPr>
        <w:t>伪金交所</w:t>
      </w:r>
      <w:r>
        <w:rPr>
          <w:rFonts w:hint="eastAsia" w:ascii="Times New Roman" w:hAnsi="Times New Roman" w:eastAsia="仿宋_GB2312"/>
          <w:sz w:val="32"/>
          <w:szCs w:val="32"/>
        </w:rPr>
        <w:t>”</w:t>
      </w:r>
      <w:r>
        <w:rPr>
          <w:rFonts w:ascii="Times New Roman" w:hAnsi="Times New Roman" w:eastAsia="仿宋_GB2312"/>
          <w:sz w:val="32"/>
          <w:szCs w:val="32"/>
        </w:rPr>
        <w:t>、产权交易所的风险排查和处置，推动行业主管部门落实监管要求，建立健全风险防范和处置协调机制。打好网络借贷风险整治收官战，推动P2P风险全面出清。</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政府金融办、</w:t>
      </w:r>
      <w:r>
        <w:rPr>
          <w:rFonts w:hint="eastAsia" w:ascii="Times New Roman" w:hAnsi="Times New Roman" w:eastAsia="楷体_GB2312"/>
          <w:sz w:val="32"/>
          <w:szCs w:val="32"/>
        </w:rPr>
        <w:t>人民银行隆回支行、县公安局、县市场监督管理局、各乡镇（街道）</w:t>
      </w:r>
      <w:r>
        <w:rPr>
          <w:rFonts w:ascii="Times New Roman" w:hAnsi="Times New Roman" w:eastAsia="楷体_GB2312"/>
          <w:sz w:val="32"/>
          <w:szCs w:val="32"/>
        </w:rPr>
        <w:t>等负责)</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（三）防范化解地产风险（</w:t>
      </w:r>
      <w:r>
        <w:rPr>
          <w:rFonts w:hint="eastAsia" w:ascii="Times New Roman" w:hAnsi="Times New Roman" w:eastAsia="楷体_GB2312"/>
          <w:b/>
          <w:bCs/>
          <w:sz w:val="32"/>
          <w:szCs w:val="32"/>
        </w:rPr>
        <w:t>县</w:t>
      </w:r>
      <w:r>
        <w:rPr>
          <w:rFonts w:ascii="Times New Roman" w:hAnsi="Times New Roman" w:eastAsia="楷体_GB2312"/>
          <w:b/>
          <w:bCs/>
          <w:sz w:val="32"/>
          <w:szCs w:val="32"/>
        </w:rPr>
        <w:t>住房和城乡建设局牵头)</w:t>
      </w:r>
    </w:p>
    <w:p>
      <w:pPr>
        <w:topLinePunct/>
        <w:spacing w:line="586" w:lineRule="exact"/>
        <w:ind w:firstLine="643" w:firstLineChars="200"/>
        <w:rPr>
          <w:rFonts w:ascii="Times New Roman" w:hAnsi="Times New Roman" w:eastAsia="楷体_GB2312"/>
          <w:sz w:val="32"/>
          <w:szCs w:val="32"/>
        </w:rPr>
      </w:pPr>
      <w:r>
        <w:rPr>
          <w:rFonts w:hint="eastAsia" w:ascii="Times New Roman" w:hAnsi="Times New Roman" w:eastAsia="仿宋_GB2312"/>
          <w:b/>
          <w:bCs/>
          <w:sz w:val="32"/>
          <w:szCs w:val="32"/>
        </w:rPr>
        <w:t>14.</w:t>
      </w:r>
      <w:r>
        <w:rPr>
          <w:rFonts w:ascii="Times New Roman" w:hAnsi="Times New Roman" w:eastAsia="仿宋_GB2312"/>
          <w:b/>
          <w:bCs/>
          <w:sz w:val="32"/>
          <w:szCs w:val="32"/>
        </w:rPr>
        <w:t>开展房地产风险排查</w:t>
      </w:r>
      <w:r>
        <w:rPr>
          <w:rFonts w:hint="eastAsia" w:ascii="Times New Roman" w:hAnsi="Times New Roman" w:eastAsia="仿宋_GB2312"/>
          <w:b/>
          <w:bCs/>
          <w:sz w:val="32"/>
          <w:szCs w:val="32"/>
        </w:rPr>
        <w:t>。</w:t>
      </w:r>
      <w:r>
        <w:rPr>
          <w:rFonts w:ascii="仿宋" w:hAnsi="仿宋" w:eastAsia="仿宋" w:cs="仿宋"/>
          <w:sz w:val="32"/>
          <w:szCs w:val="32"/>
        </w:rPr>
        <w:t>全面普查在建、在售楼盘情况,排查梳理辖区内房地产项目风险点,建立防范房地产风险机制,建立问题台账。要对高价拿地的中小企业、自有资金不足、财务成本过高的企业,有延期交房、逾期办证风险的房地产项目进行风险防控。</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住房和城乡建设局</w:t>
      </w:r>
      <w:r>
        <w:rPr>
          <w:rFonts w:hint="eastAsia" w:ascii="Times New Roman" w:hAnsi="Times New Roman" w:eastAsia="楷体_GB2312"/>
          <w:sz w:val="32"/>
          <w:szCs w:val="32"/>
        </w:rPr>
        <w:t>、县</w:t>
      </w:r>
      <w:r>
        <w:rPr>
          <w:rFonts w:ascii="Times New Roman" w:hAnsi="Times New Roman" w:eastAsia="楷体_GB2312"/>
          <w:sz w:val="32"/>
          <w:szCs w:val="32"/>
        </w:rPr>
        <w:t>自然资源局、</w:t>
      </w:r>
      <w:r>
        <w:rPr>
          <w:rFonts w:hint="eastAsia" w:ascii="Times New Roman" w:hAnsi="Times New Roman" w:eastAsia="楷体_GB2312"/>
          <w:sz w:val="32"/>
          <w:szCs w:val="32"/>
        </w:rPr>
        <w:t>人民银行隆回支行</w:t>
      </w:r>
      <w:r>
        <w:rPr>
          <w:rFonts w:ascii="Times New Roman" w:hAnsi="Times New Roman" w:eastAsia="楷体_GB2312"/>
          <w:sz w:val="32"/>
          <w:szCs w:val="32"/>
        </w:rPr>
        <w:t>、</w:t>
      </w:r>
      <w:r>
        <w:rPr>
          <w:rFonts w:hint="eastAsia" w:ascii="Times New Roman" w:hAnsi="Times New Roman" w:eastAsia="楷体_GB2312"/>
          <w:sz w:val="32"/>
          <w:szCs w:val="32"/>
        </w:rPr>
        <w:t>县政府</w:t>
      </w:r>
      <w:r>
        <w:rPr>
          <w:rFonts w:ascii="Times New Roman" w:hAnsi="Times New Roman" w:eastAsia="楷体_GB2312"/>
          <w:sz w:val="32"/>
          <w:szCs w:val="32"/>
        </w:rPr>
        <w:t>金融</w:t>
      </w:r>
      <w:r>
        <w:rPr>
          <w:rFonts w:hint="eastAsia" w:ascii="Times New Roman" w:hAnsi="Times New Roman" w:eastAsia="楷体_GB2312"/>
          <w:sz w:val="32"/>
          <w:szCs w:val="32"/>
        </w:rPr>
        <w:t>办</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税务局)</w:t>
      </w:r>
    </w:p>
    <w:p>
      <w:pPr>
        <w:topLinePunct/>
        <w:spacing w:line="586" w:lineRule="exact"/>
        <w:ind w:firstLine="643" w:firstLineChars="200"/>
        <w:rPr>
          <w:rFonts w:hint="eastAsia" w:ascii="Times New Roman" w:hAnsi="Times New Roman" w:eastAsia="楷体_GB2312"/>
          <w:sz w:val="32"/>
          <w:szCs w:val="32"/>
        </w:rPr>
      </w:pPr>
      <w:r>
        <w:rPr>
          <w:rFonts w:hint="eastAsia" w:ascii="仿宋" w:hAnsi="仿宋" w:eastAsia="仿宋" w:cs="仿宋"/>
          <w:b/>
          <w:bCs/>
          <w:sz w:val="32"/>
          <w:szCs w:val="32"/>
        </w:rPr>
        <w:t>15.狠抓项目提速保质。</w:t>
      </w:r>
      <w:r>
        <w:rPr>
          <w:rFonts w:hint="eastAsia" w:ascii="仿宋" w:hAnsi="仿宋" w:eastAsia="仿宋" w:cs="仿宋"/>
          <w:sz w:val="32"/>
          <w:szCs w:val="32"/>
        </w:rPr>
        <w:t>推进工程审批制度改革，简化项目竣工验收，快捷办理项目竣工交付。狠抓质量安全，强化过程监管和验收管理。</w:t>
      </w:r>
      <w:r>
        <w:rPr>
          <w:rFonts w:hint="eastAsia" w:ascii="Times New Roman" w:hAnsi="Times New Roman" w:eastAsia="楷体_GB2312"/>
          <w:sz w:val="32"/>
          <w:szCs w:val="32"/>
        </w:rPr>
        <w:t>(责任单位：县住房和城乡建设局)</w:t>
      </w:r>
    </w:p>
    <w:p>
      <w:pPr>
        <w:topLinePunct/>
        <w:spacing w:line="586" w:lineRule="exact"/>
        <w:ind w:firstLine="643" w:firstLineChars="200"/>
        <w:rPr>
          <w:rFonts w:hint="eastAsia" w:ascii="Times New Roman" w:hAnsi="Times New Roman" w:eastAsia="楷体_GB2312"/>
          <w:sz w:val="32"/>
          <w:szCs w:val="32"/>
        </w:rPr>
      </w:pPr>
      <w:r>
        <w:rPr>
          <w:rFonts w:hint="eastAsia" w:ascii="仿宋" w:hAnsi="仿宋" w:eastAsia="仿宋" w:cs="仿宋"/>
          <w:b/>
          <w:bCs/>
          <w:sz w:val="32"/>
          <w:szCs w:val="32"/>
        </w:rPr>
        <w:t>16.做好支持政策落地</w:t>
      </w:r>
      <w:r>
        <w:rPr>
          <w:rFonts w:hint="eastAsia" w:ascii="仿宋" w:hAnsi="仿宋" w:eastAsia="仿宋" w:cs="仿宋"/>
          <w:sz w:val="32"/>
          <w:szCs w:val="32"/>
        </w:rPr>
        <w:t>。落实财税〔2022〕41 号文件要求。加速落地税收优惠政策。把握查封、扣押、冻结尺度，避免司法行为与“保交楼”政策冲突。严格执行有关规定，认真履行预售资金受托管理义务。严格落实保交楼专项借款还款责任，提高资金循环使用率。优化保交楼项目网签抵押交易税收监管，对保交楼项目资产保全网签抵押交易时的税金实行减免，在真实交易时缴纳一次。</w:t>
      </w:r>
      <w:r>
        <w:rPr>
          <w:rFonts w:hint="eastAsia" w:ascii="Times New Roman" w:hAnsi="Times New Roman" w:eastAsia="楷体_GB2312"/>
          <w:sz w:val="32"/>
          <w:szCs w:val="32"/>
        </w:rPr>
        <w:t>（责任单位：县税务局、县人民法院、县金融服务中心、县财政局、县住房和城乡建设局、人民银行隆回支行）</w:t>
      </w:r>
    </w:p>
    <w:p>
      <w:pPr>
        <w:topLinePunct/>
        <w:spacing w:line="586" w:lineRule="exact"/>
        <w:ind w:firstLine="643" w:firstLineChars="200"/>
        <w:rPr>
          <w:rFonts w:hint="eastAsia" w:ascii="Times New Roman" w:hAnsi="Times New Roman" w:eastAsia="楷体_GB2312"/>
          <w:sz w:val="32"/>
          <w:szCs w:val="32"/>
        </w:rPr>
      </w:pPr>
      <w:r>
        <w:rPr>
          <w:rFonts w:hint="eastAsia" w:ascii="仿宋" w:hAnsi="仿宋" w:eastAsia="仿宋" w:cs="仿宋"/>
          <w:b/>
          <w:bCs/>
          <w:sz w:val="32"/>
          <w:szCs w:val="32"/>
        </w:rPr>
        <w:t>17.优化办证手续流程</w:t>
      </w:r>
      <w:r>
        <w:rPr>
          <w:rFonts w:hint="eastAsia" w:ascii="仿宋" w:hAnsi="仿宋" w:eastAsia="仿宋" w:cs="仿宋"/>
          <w:sz w:val="32"/>
          <w:szCs w:val="32"/>
        </w:rPr>
        <w:t>。对房地产项目及“保交楼”专项借款项目，通过容缺办证、承诺制等方式，全面推行“交房即交证”。加大历史遗留问题办证力度，加快交房进度。</w:t>
      </w:r>
      <w:r>
        <w:rPr>
          <w:rFonts w:hint="eastAsia" w:ascii="Times New Roman" w:hAnsi="Times New Roman" w:eastAsia="楷体_GB2312"/>
          <w:sz w:val="32"/>
          <w:szCs w:val="32"/>
        </w:rPr>
        <w:t>（责任单位：县自然资源局、县住房和城乡建设局)</w:t>
      </w:r>
    </w:p>
    <w:p>
      <w:pPr>
        <w:topLinePunct/>
        <w:spacing w:line="586" w:lineRule="exact"/>
        <w:ind w:firstLine="643" w:firstLineChars="200"/>
        <w:rPr>
          <w:rFonts w:hint="eastAsia" w:ascii="Times New Roman" w:hAnsi="Times New Roman" w:eastAsia="楷体_GB2312"/>
          <w:sz w:val="32"/>
          <w:szCs w:val="32"/>
        </w:rPr>
      </w:pPr>
      <w:r>
        <w:rPr>
          <w:rFonts w:hint="eastAsia" w:ascii="仿宋" w:hAnsi="仿宋" w:eastAsia="仿宋" w:cs="仿宋"/>
          <w:b/>
          <w:bCs/>
          <w:sz w:val="32"/>
          <w:szCs w:val="32"/>
        </w:rPr>
        <w:t>18.营造良好稳定环境。</w:t>
      </w:r>
      <w:r>
        <w:rPr>
          <w:rFonts w:hint="eastAsia" w:ascii="仿宋" w:hAnsi="仿宋" w:eastAsia="仿宋" w:cs="仿宋"/>
          <w:sz w:val="32"/>
          <w:szCs w:val="32"/>
        </w:rPr>
        <w:t>压实属地责任，落实“四方见面沟通”机制，防止出现赴省进京集访群访事件。全面完成第一批、第二批专项借款项目原有预售资金专项审计工作，启动开发企业主要股东抽逃预售资金的追缴工作。依法查处涉房地产领域违法犯罪案件，严惩违法违规行为，重点查处拖欠农民工工资、违规预售、虚假宣传、挪用抽逃资金、搭伙倒账、扰乱市场正常秩序等问题。从严查处打击众筹资金、捐助资金用于资助群体房闹、集访群访、越级上访的违法行为，非法获利一律清退追缴。</w:t>
      </w:r>
      <w:r>
        <w:rPr>
          <w:rFonts w:hint="eastAsia" w:ascii="Times New Roman" w:hAnsi="Times New Roman" w:eastAsia="楷体_GB2312"/>
          <w:sz w:val="32"/>
          <w:szCs w:val="32"/>
        </w:rPr>
        <w:t>(责任单位：县委宣传部、县委网信办、县公安局、县住房和城乡建设局、县审计局、县信访局、县人力资源社会保障局、县市场监督管理局）</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（四）防范化解疫情风险（</w:t>
      </w:r>
      <w:r>
        <w:rPr>
          <w:rFonts w:hint="eastAsia" w:ascii="Times New Roman" w:hAnsi="Times New Roman" w:eastAsia="楷体_GB2312"/>
          <w:b/>
          <w:bCs/>
          <w:sz w:val="32"/>
          <w:szCs w:val="32"/>
        </w:rPr>
        <w:t>县</w:t>
      </w:r>
      <w:r>
        <w:rPr>
          <w:rFonts w:ascii="Times New Roman" w:hAnsi="Times New Roman" w:eastAsia="楷体_GB2312"/>
          <w:b/>
          <w:bCs/>
          <w:sz w:val="32"/>
          <w:szCs w:val="32"/>
        </w:rPr>
        <w:t>卫生健康</w:t>
      </w:r>
      <w:r>
        <w:rPr>
          <w:rFonts w:hint="eastAsia" w:ascii="Times New Roman" w:hAnsi="Times New Roman" w:eastAsia="楷体_GB2312"/>
          <w:b/>
          <w:bCs/>
          <w:sz w:val="32"/>
          <w:szCs w:val="32"/>
        </w:rPr>
        <w:t>局</w:t>
      </w:r>
      <w:r>
        <w:rPr>
          <w:rFonts w:ascii="Times New Roman" w:hAnsi="Times New Roman" w:eastAsia="楷体_GB2312"/>
          <w:b/>
          <w:bCs/>
          <w:sz w:val="32"/>
          <w:szCs w:val="32"/>
        </w:rPr>
        <w:t>牵头）</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19.持续提供疫苗接种服务，加大老年人特别是65岁以上老年人疫苗接种和符合条件人群第二剂次加强免疫接种推进力度。</w:t>
      </w:r>
      <w:r>
        <w:rPr>
          <w:rFonts w:ascii="Times New Roman" w:hAnsi="Times New Roman" w:eastAsia="仿宋_GB2312"/>
          <w:sz w:val="32"/>
          <w:szCs w:val="32"/>
        </w:rPr>
        <w:t>加强接种场所规范管理，引导受种者及陪护人员做好个人防护，防范接种点感染事件发生。</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县市</w:t>
      </w:r>
      <w:r>
        <w:rPr>
          <w:rFonts w:ascii="Times New Roman" w:hAnsi="Times New Roman" w:eastAsia="楷体_GB2312"/>
          <w:sz w:val="32"/>
          <w:szCs w:val="32"/>
        </w:rPr>
        <w:t>场</w:t>
      </w:r>
      <w:r>
        <w:rPr>
          <w:rFonts w:hint="eastAsia" w:ascii="Times New Roman" w:hAnsi="Times New Roman" w:eastAsia="楷体_GB2312"/>
          <w:sz w:val="32"/>
          <w:szCs w:val="32"/>
        </w:rPr>
        <w:t>监督管理</w:t>
      </w:r>
      <w:r>
        <w:rPr>
          <w:rFonts w:ascii="Times New Roman" w:hAnsi="Times New Roman" w:eastAsia="楷体_GB2312"/>
          <w:sz w:val="32"/>
          <w:szCs w:val="32"/>
        </w:rPr>
        <w:t>局、</w:t>
      </w:r>
      <w:r>
        <w:rPr>
          <w:rFonts w:hint="eastAsia" w:ascii="Times New Roman" w:hAnsi="Times New Roman" w:eastAsia="楷体_GB2312"/>
          <w:sz w:val="32"/>
          <w:szCs w:val="32"/>
        </w:rPr>
        <w:t>县</w:t>
      </w:r>
      <w:r>
        <w:rPr>
          <w:rFonts w:ascii="Times New Roman" w:hAnsi="Times New Roman" w:eastAsia="楷体_GB2312"/>
          <w:sz w:val="32"/>
          <w:szCs w:val="32"/>
        </w:rPr>
        <w:t>医保局、</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w:t>
      </w:r>
      <w:r>
        <w:rPr>
          <w:rFonts w:ascii="Times New Roman" w:hAnsi="Times New Roman" w:eastAsia="楷体_GB2312"/>
          <w:sz w:val="32"/>
          <w:szCs w:val="32"/>
        </w:rPr>
        <w:t>疾控中心、</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20.保障药品和检测试剂需求。</w:t>
      </w:r>
      <w:r>
        <w:rPr>
          <w:rFonts w:ascii="Times New Roman" w:hAnsi="Times New Roman" w:eastAsia="仿宋_GB2312"/>
          <w:sz w:val="32"/>
          <w:szCs w:val="32"/>
        </w:rPr>
        <w:t>县级医疗机构按照三个月的日常使用量动态准备新型冠状病毒感染相关药物、解热和止咳等对症治疗药物。基层医疗卫生机构按照服务人口数的15%</w:t>
      </w:r>
      <w:r>
        <w:rPr>
          <w:rFonts w:hint="eastAsia" w:ascii="Times New Roman" w:hAnsi="Times New Roman" w:eastAsia="仿宋_GB2312"/>
          <w:sz w:val="32"/>
          <w:szCs w:val="32"/>
        </w:rPr>
        <w:t>—</w:t>
      </w:r>
      <w:r>
        <w:rPr>
          <w:rFonts w:ascii="Times New Roman" w:hAnsi="Times New Roman" w:eastAsia="仿宋_GB2312"/>
          <w:sz w:val="32"/>
          <w:szCs w:val="32"/>
        </w:rPr>
        <w:t>20%动态准备相关中药、对症治疗药物，人口稠密地区酌情增加。</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县市</w:t>
      </w:r>
      <w:r>
        <w:rPr>
          <w:rFonts w:ascii="Times New Roman" w:hAnsi="Times New Roman" w:eastAsia="楷体_GB2312"/>
          <w:sz w:val="32"/>
          <w:szCs w:val="32"/>
        </w:rPr>
        <w:t>场</w:t>
      </w:r>
      <w:r>
        <w:rPr>
          <w:rFonts w:hint="eastAsia" w:ascii="Times New Roman" w:hAnsi="Times New Roman" w:eastAsia="楷体_GB2312"/>
          <w:sz w:val="32"/>
          <w:szCs w:val="32"/>
        </w:rPr>
        <w:t>监督管理</w:t>
      </w:r>
      <w:r>
        <w:rPr>
          <w:rFonts w:ascii="Times New Roman" w:hAnsi="Times New Roman" w:eastAsia="楷体_GB2312"/>
          <w:sz w:val="32"/>
          <w:szCs w:val="32"/>
        </w:rPr>
        <w:t>局、</w:t>
      </w:r>
      <w:r>
        <w:rPr>
          <w:rFonts w:hint="eastAsia" w:ascii="Times New Roman" w:hAnsi="Times New Roman" w:eastAsia="楷体_GB2312"/>
          <w:sz w:val="32"/>
          <w:szCs w:val="32"/>
        </w:rPr>
        <w:t>县</w:t>
      </w:r>
      <w:r>
        <w:rPr>
          <w:rFonts w:ascii="Times New Roman" w:hAnsi="Times New Roman" w:eastAsia="楷体_GB2312"/>
          <w:sz w:val="32"/>
          <w:szCs w:val="32"/>
        </w:rPr>
        <w:t>医保局、</w:t>
      </w:r>
      <w:r>
        <w:rPr>
          <w:rFonts w:hint="eastAsia" w:ascii="Times New Roman" w:hAnsi="Times New Roman" w:eastAsia="楷体_GB2312"/>
          <w:sz w:val="32"/>
          <w:szCs w:val="32"/>
        </w:rPr>
        <w:t>县</w:t>
      </w:r>
      <w:r>
        <w:rPr>
          <w:rFonts w:ascii="Times New Roman" w:hAnsi="Times New Roman" w:eastAsia="楷体_GB2312"/>
          <w:sz w:val="32"/>
          <w:szCs w:val="32"/>
        </w:rPr>
        <w:t>工业和信息化局、</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21.提高医疗应急机构救治能力。</w:t>
      </w:r>
      <w:r>
        <w:rPr>
          <w:rFonts w:ascii="Times New Roman" w:hAnsi="Times New Roman" w:eastAsia="仿宋_GB2312"/>
          <w:sz w:val="32"/>
          <w:szCs w:val="32"/>
        </w:rPr>
        <w:t>加大院前急救车辆和人员的配置力度，畅通120急救电话，提高危急重症患者转运能力，完善应急预案，重点做好住院、重症床位准备，</w:t>
      </w:r>
      <w:r>
        <w:rPr>
          <w:rFonts w:hint="eastAsia" w:ascii="Times New Roman" w:hAnsi="Times New Roman" w:eastAsia="仿宋_GB2312"/>
          <w:sz w:val="32"/>
          <w:szCs w:val="32"/>
        </w:rPr>
        <w:t>县人民医院、县中医</w:t>
      </w:r>
      <w:r>
        <w:rPr>
          <w:rFonts w:ascii="Times New Roman" w:hAnsi="Times New Roman" w:eastAsia="仿宋_GB2312"/>
          <w:sz w:val="32"/>
          <w:szCs w:val="32"/>
        </w:rPr>
        <w:t>医院强化重症医疗资源准备及医护力量配备，ICU床位和可转换ICU床位分别不低于总床位的4%，设ICU的医疗机构，新进医护人员须进ICU轮科培训1个月以上。</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县发改局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22.优化人群检测策略。</w:t>
      </w:r>
      <w:r>
        <w:rPr>
          <w:rFonts w:ascii="Times New Roman" w:hAnsi="Times New Roman" w:eastAsia="仿宋_GB2312"/>
          <w:sz w:val="32"/>
          <w:szCs w:val="32"/>
        </w:rPr>
        <w:t>对医疗机构收治的符合条件患者、有症状医务人员开展抗原或核酸检测。疫情期间对脆弱人群集中场所工作人员和被照护人员开展抗原或核酸检测。</w:t>
      </w:r>
      <w:r>
        <w:rPr>
          <w:rFonts w:hint="eastAsia" w:ascii="Times New Roman" w:hAnsi="Times New Roman" w:eastAsia="仿宋_GB2312"/>
          <w:sz w:val="32"/>
          <w:szCs w:val="32"/>
        </w:rPr>
        <w:t>在县城区设置</w:t>
      </w:r>
      <w:r>
        <w:rPr>
          <w:rFonts w:ascii="Times New Roman" w:hAnsi="Times New Roman" w:eastAsia="仿宋_GB2312"/>
          <w:sz w:val="32"/>
          <w:szCs w:val="32"/>
        </w:rPr>
        <w:t>足够的便民核酸点，</w:t>
      </w:r>
      <w:r>
        <w:rPr>
          <w:rFonts w:hint="eastAsia" w:ascii="Times New Roman" w:hAnsi="Times New Roman" w:eastAsia="仿宋_GB2312"/>
          <w:sz w:val="32"/>
          <w:szCs w:val="32"/>
        </w:rPr>
        <w:t>保障</w:t>
      </w:r>
      <w:r>
        <w:rPr>
          <w:rFonts w:ascii="Times New Roman" w:hAnsi="Times New Roman" w:eastAsia="仿宋_GB2312"/>
          <w:sz w:val="32"/>
          <w:szCs w:val="32"/>
        </w:rPr>
        <w:t>居民</w:t>
      </w:r>
      <w:r>
        <w:rPr>
          <w:rFonts w:hint="eastAsia" w:ascii="Times New Roman" w:hAnsi="Times New Roman" w:eastAsia="仿宋_GB2312"/>
          <w:sz w:val="32"/>
          <w:szCs w:val="32"/>
        </w:rPr>
        <w:t>“</w:t>
      </w:r>
      <w:r>
        <w:rPr>
          <w:rFonts w:ascii="Times New Roman" w:hAnsi="Times New Roman" w:eastAsia="仿宋_GB2312"/>
          <w:sz w:val="32"/>
          <w:szCs w:val="32"/>
        </w:rPr>
        <w:t>愿检尽检</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民政局、</w:t>
      </w:r>
      <w:r>
        <w:rPr>
          <w:rFonts w:hint="eastAsia" w:ascii="Times New Roman" w:hAnsi="Times New Roman" w:eastAsia="楷体_GB2312"/>
          <w:sz w:val="32"/>
          <w:szCs w:val="32"/>
        </w:rPr>
        <w:t>县市</w:t>
      </w:r>
      <w:r>
        <w:rPr>
          <w:rFonts w:ascii="Times New Roman" w:hAnsi="Times New Roman" w:eastAsia="楷体_GB2312"/>
          <w:sz w:val="32"/>
          <w:szCs w:val="32"/>
        </w:rPr>
        <w:t>场</w:t>
      </w:r>
      <w:r>
        <w:rPr>
          <w:rFonts w:hint="eastAsia" w:ascii="Times New Roman" w:hAnsi="Times New Roman" w:eastAsia="楷体_GB2312"/>
          <w:sz w:val="32"/>
          <w:szCs w:val="32"/>
        </w:rPr>
        <w:t>监督管理</w:t>
      </w:r>
      <w:r>
        <w:rPr>
          <w:rFonts w:ascii="Times New Roman" w:hAnsi="Times New Roman" w:eastAsia="楷体_GB2312"/>
          <w:sz w:val="32"/>
          <w:szCs w:val="32"/>
        </w:rPr>
        <w:t>局、</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23.分级分类救治患者。</w:t>
      </w:r>
      <w:r>
        <w:rPr>
          <w:rFonts w:ascii="Times New Roman" w:hAnsi="Times New Roman" w:eastAsia="仿宋_GB2312"/>
          <w:sz w:val="32"/>
          <w:szCs w:val="32"/>
        </w:rPr>
        <w:t>全面实行发热等患者基层首诊负责制，做好分级诊疗，建立就诊转诊、包片联系、对口指导机制，充分发挥</w:t>
      </w:r>
      <w:r>
        <w:rPr>
          <w:rFonts w:hint="eastAsia" w:ascii="Times New Roman" w:hAnsi="Times New Roman" w:eastAsia="仿宋_GB2312"/>
          <w:sz w:val="32"/>
          <w:szCs w:val="32"/>
        </w:rPr>
        <w:t>“</w:t>
      </w:r>
      <w:r>
        <w:rPr>
          <w:rFonts w:ascii="Times New Roman" w:hAnsi="Times New Roman" w:eastAsia="仿宋_GB2312"/>
          <w:sz w:val="32"/>
          <w:szCs w:val="32"/>
        </w:rPr>
        <w:t>医联体</w:t>
      </w:r>
      <w:r>
        <w:rPr>
          <w:rFonts w:hint="eastAsia" w:ascii="Times New Roman" w:hAnsi="Times New Roman" w:eastAsia="仿宋_GB2312"/>
          <w:sz w:val="32"/>
          <w:szCs w:val="32"/>
        </w:rPr>
        <w:t>”“</w:t>
      </w:r>
      <w:r>
        <w:rPr>
          <w:rFonts w:ascii="Times New Roman" w:hAnsi="Times New Roman" w:eastAsia="仿宋_GB2312"/>
          <w:sz w:val="32"/>
          <w:szCs w:val="32"/>
        </w:rPr>
        <w:t>医共体</w:t>
      </w:r>
      <w:r>
        <w:rPr>
          <w:rFonts w:hint="eastAsia" w:ascii="Times New Roman" w:hAnsi="Times New Roman" w:eastAsia="仿宋_GB2312"/>
          <w:sz w:val="32"/>
          <w:szCs w:val="32"/>
        </w:rPr>
        <w:t>”</w:t>
      </w:r>
      <w:r>
        <w:rPr>
          <w:rFonts w:ascii="Times New Roman" w:hAnsi="Times New Roman" w:eastAsia="仿宋_GB2312"/>
          <w:sz w:val="32"/>
          <w:szCs w:val="32"/>
        </w:rPr>
        <w:t>作用，完善医疗救治资源区域协同机制。在医疗力量出现较大缺口、医疗服务体系受到较大冲击时，及时进行</w:t>
      </w:r>
      <w:r>
        <w:rPr>
          <w:rFonts w:hint="eastAsia" w:ascii="Times New Roman" w:hAnsi="Times New Roman" w:eastAsia="仿宋_GB2312"/>
          <w:sz w:val="32"/>
          <w:szCs w:val="32"/>
        </w:rPr>
        <w:t>县级</w:t>
      </w:r>
      <w:r>
        <w:rPr>
          <w:rFonts w:ascii="Times New Roman" w:hAnsi="Times New Roman" w:eastAsia="仿宋_GB2312"/>
          <w:sz w:val="32"/>
          <w:szCs w:val="32"/>
        </w:rPr>
        <w:t>统筹</w:t>
      </w:r>
      <w:r>
        <w:rPr>
          <w:rFonts w:hint="eastAsia" w:ascii="Times New Roman" w:hAnsi="Times New Roman" w:eastAsia="仿宋_GB2312"/>
          <w:sz w:val="32"/>
          <w:szCs w:val="32"/>
        </w:rPr>
        <w:t>、申报市级支援</w:t>
      </w:r>
      <w:r>
        <w:rPr>
          <w:rFonts w:ascii="Times New Roman" w:hAnsi="Times New Roman" w:eastAsia="仿宋_GB2312"/>
          <w:sz w:val="32"/>
          <w:szCs w:val="32"/>
        </w:rPr>
        <w:t>。</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24.做好重点人群健康服务。</w:t>
      </w:r>
      <w:r>
        <w:rPr>
          <w:rFonts w:ascii="Times New Roman" w:hAnsi="Times New Roman" w:eastAsia="仿宋_GB2312"/>
          <w:sz w:val="32"/>
          <w:szCs w:val="32"/>
        </w:rPr>
        <w:t>充分发挥县、乡镇政府</w:t>
      </w:r>
      <w:r>
        <w:rPr>
          <w:rFonts w:hint="eastAsia" w:ascii="Times New Roman" w:hAnsi="Times New Roman" w:eastAsia="仿宋_GB2312"/>
          <w:sz w:val="32"/>
          <w:szCs w:val="32"/>
        </w:rPr>
        <w:t>（街道办事处）</w:t>
      </w:r>
      <w:r>
        <w:rPr>
          <w:rFonts w:ascii="Times New Roman" w:hAnsi="Times New Roman" w:eastAsia="仿宋_GB2312"/>
          <w:sz w:val="32"/>
          <w:szCs w:val="32"/>
        </w:rPr>
        <w:t>、村民</w:t>
      </w:r>
      <w:r>
        <w:rPr>
          <w:rFonts w:hint="eastAsia" w:ascii="Times New Roman" w:hAnsi="Times New Roman" w:eastAsia="仿宋_GB2312"/>
          <w:sz w:val="32"/>
          <w:szCs w:val="32"/>
        </w:rPr>
        <w:t>委</w:t>
      </w:r>
      <w:r>
        <w:rPr>
          <w:rFonts w:ascii="Times New Roman" w:hAnsi="Times New Roman" w:eastAsia="仿宋_GB2312"/>
          <w:sz w:val="32"/>
          <w:szCs w:val="32"/>
        </w:rPr>
        <w:t>员会及其公共卫生</w:t>
      </w:r>
      <w:r>
        <w:rPr>
          <w:rFonts w:hint="eastAsia" w:ascii="Times New Roman" w:hAnsi="Times New Roman" w:eastAsia="仿宋_GB2312"/>
          <w:sz w:val="32"/>
          <w:szCs w:val="32"/>
        </w:rPr>
        <w:t>委</w:t>
      </w:r>
      <w:r>
        <w:rPr>
          <w:rFonts w:ascii="Times New Roman" w:hAnsi="Times New Roman" w:eastAsia="仿宋_GB2312"/>
          <w:sz w:val="32"/>
          <w:szCs w:val="32"/>
        </w:rPr>
        <w:t>员会、乡镇卫生院和村卫生室作用，摸清合并基础性疾病的老年人、孕产妇、孤寡老人和留守儿童等人员健康情况，并建立重点人群健康状况信息库。有序有力开展老年人、儿童、孕产妇、慢性基础性疾病患者等重点人群分级分类动态服务工作，切实做好新冠重点人群健康管理和医疗救治工作。</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民政局、</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25.强化重点机构感染防控。</w:t>
      </w:r>
      <w:r>
        <w:rPr>
          <w:rFonts w:ascii="Times New Roman" w:hAnsi="Times New Roman" w:eastAsia="仿宋_GB2312"/>
          <w:sz w:val="32"/>
          <w:szCs w:val="32"/>
        </w:rPr>
        <w:t>对养老机构、社会福利机构、军休所等人群集中场所建立医疗救治绿色通道，疫情严重时经评估可适当采取封闭管理，防范疫情引入和扩散。强化医疗机构日常消毒和通风，做好学校、大型企业等人员聚集重点机构人员健康监测，发生疫情采取减少人际接触措施。</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民政局、</w:t>
      </w:r>
      <w:r>
        <w:rPr>
          <w:rFonts w:hint="eastAsia" w:ascii="Times New Roman" w:hAnsi="Times New Roman" w:eastAsia="楷体_GB2312"/>
          <w:sz w:val="32"/>
          <w:szCs w:val="32"/>
        </w:rPr>
        <w:t>县</w:t>
      </w:r>
      <w:r>
        <w:rPr>
          <w:rFonts w:ascii="Times New Roman" w:hAnsi="Times New Roman" w:eastAsia="楷体_GB2312"/>
          <w:sz w:val="32"/>
          <w:szCs w:val="32"/>
        </w:rPr>
        <w:t>退役军人事务局、</w:t>
      </w:r>
      <w:r>
        <w:rPr>
          <w:rFonts w:hint="eastAsia" w:ascii="Times New Roman" w:hAnsi="Times New Roman" w:eastAsia="楷体_GB2312"/>
          <w:sz w:val="32"/>
          <w:szCs w:val="32"/>
        </w:rPr>
        <w:t>县</w:t>
      </w:r>
      <w:r>
        <w:rPr>
          <w:rFonts w:ascii="Times New Roman" w:hAnsi="Times New Roman" w:eastAsia="楷体_GB2312"/>
          <w:sz w:val="32"/>
          <w:szCs w:val="32"/>
        </w:rPr>
        <w:t>教育局、</w:t>
      </w:r>
      <w:r>
        <w:rPr>
          <w:rFonts w:hint="eastAsia" w:ascii="Times New Roman" w:hAnsi="Times New Roman" w:eastAsia="楷体_GB2312"/>
          <w:sz w:val="32"/>
          <w:szCs w:val="32"/>
        </w:rPr>
        <w:t>县</w:t>
      </w:r>
      <w:r>
        <w:rPr>
          <w:rFonts w:ascii="Times New Roman" w:hAnsi="Times New Roman" w:eastAsia="楷体_GB2312"/>
          <w:sz w:val="32"/>
          <w:szCs w:val="32"/>
        </w:rPr>
        <w:t>公安局、</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26.加强农村地区疫情防控。</w:t>
      </w:r>
      <w:r>
        <w:rPr>
          <w:rFonts w:ascii="Times New Roman" w:hAnsi="Times New Roman" w:eastAsia="仿宋_GB2312"/>
          <w:sz w:val="32"/>
          <w:szCs w:val="32"/>
        </w:rPr>
        <w:t>发挥县、乡、村三级医疗卫生网作用，配足相关治疗药物和辅助治疗设备。建立健全县级医院对口帮扶和转诊集中，加强老年人等重点人群健康监测，确保高龄合并基础性疾病等重症风险较高的感染者得到及时发现、及时救治，明确和畅通转诊</w:t>
      </w:r>
      <w:r>
        <w:rPr>
          <w:rFonts w:hint="eastAsia" w:ascii="Times New Roman" w:hAnsi="Times New Roman" w:eastAsia="仿宋_GB2312"/>
          <w:sz w:val="32"/>
          <w:szCs w:val="32"/>
        </w:rPr>
        <w:t>“</w:t>
      </w:r>
      <w:r>
        <w:rPr>
          <w:rFonts w:ascii="Times New Roman" w:hAnsi="Times New Roman" w:eastAsia="仿宋_GB2312"/>
          <w:sz w:val="32"/>
          <w:szCs w:val="32"/>
        </w:rPr>
        <w:t>绿色通道</w:t>
      </w:r>
      <w:r>
        <w:rPr>
          <w:rFonts w:hint="eastAsia" w:ascii="Times New Roman" w:hAnsi="Times New Roman" w:eastAsia="仿宋_GB2312"/>
          <w:sz w:val="32"/>
          <w:szCs w:val="32"/>
        </w:rPr>
        <w:t>”</w:t>
      </w:r>
      <w:r>
        <w:rPr>
          <w:rFonts w:ascii="Times New Roman" w:hAnsi="Times New Roman" w:eastAsia="仿宋_GB2312"/>
          <w:sz w:val="32"/>
          <w:szCs w:val="32"/>
        </w:rPr>
        <w:t>，提高转诊效率。落实有转诊需求</w:t>
      </w:r>
      <w:r>
        <w:rPr>
          <w:rFonts w:hint="eastAsia" w:ascii="Times New Roman" w:hAnsi="Times New Roman" w:eastAsia="仿宋_GB2312"/>
          <w:sz w:val="32"/>
          <w:szCs w:val="32"/>
        </w:rPr>
        <w:t>居</w:t>
      </w:r>
      <w:r>
        <w:rPr>
          <w:rFonts w:ascii="Times New Roman" w:hAnsi="Times New Roman" w:eastAsia="仿宋_GB2312"/>
          <w:sz w:val="32"/>
          <w:szCs w:val="32"/>
        </w:rPr>
        <w:t>民的交通保障机制，乡镇和村统筹调度，动员社会组织、社会工作者、志愿者、社会慈善资源等协助就医转诊。疫情严重时适当控制农村集</w:t>
      </w:r>
      <w:r>
        <w:rPr>
          <w:rFonts w:hint="eastAsia" w:ascii="Times New Roman" w:hAnsi="Times New Roman" w:eastAsia="仿宋_GB2312"/>
          <w:sz w:val="32"/>
          <w:szCs w:val="32"/>
        </w:rPr>
        <w:t>市</w:t>
      </w:r>
      <w:r>
        <w:rPr>
          <w:rFonts w:ascii="Times New Roman" w:hAnsi="Times New Roman" w:eastAsia="仿宋_GB2312"/>
          <w:sz w:val="32"/>
          <w:szCs w:val="32"/>
        </w:rPr>
        <w:t>等聚集性活动规模和频次。</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农业农村局、</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县委</w:t>
      </w:r>
      <w:r>
        <w:rPr>
          <w:rFonts w:ascii="Times New Roman" w:hAnsi="Times New Roman" w:eastAsia="楷体_GB2312"/>
          <w:sz w:val="32"/>
          <w:szCs w:val="32"/>
        </w:rPr>
        <w:t>宣传部、</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27.强化疫情监测研判。</w:t>
      </w:r>
      <w:r>
        <w:rPr>
          <w:rFonts w:ascii="Times New Roman" w:hAnsi="Times New Roman" w:eastAsia="仿宋_GB2312"/>
          <w:sz w:val="32"/>
          <w:szCs w:val="32"/>
        </w:rPr>
        <w:t>畅通检测渠道，落实监测责任，动态分析病毒毒株变异情况，以及对传播力、致病力、免疫逃逸能力的影响，科学研判和预测疫情发展态势。按照省要求每周采集门急诊新冠感染病例或重型病例，以及所有新冠感染死亡病例开展基因测序并及时报送信息。</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疾控中心、</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28.加强宣传教育。</w:t>
      </w:r>
      <w:r>
        <w:rPr>
          <w:rFonts w:ascii="Times New Roman" w:hAnsi="Times New Roman" w:eastAsia="仿宋_GB2312"/>
          <w:sz w:val="32"/>
          <w:szCs w:val="32"/>
        </w:rPr>
        <w:t>广泛宣传疫苗接种、分级分类诊疗等措施，消除对疫情的恐慌疑虑，树立</w:t>
      </w:r>
      <w:r>
        <w:rPr>
          <w:rFonts w:hint="eastAsia" w:ascii="Times New Roman" w:hAnsi="Times New Roman" w:eastAsia="仿宋_GB2312"/>
          <w:sz w:val="32"/>
          <w:szCs w:val="32"/>
        </w:rPr>
        <w:t>“</w:t>
      </w:r>
      <w:r>
        <w:rPr>
          <w:rFonts w:ascii="Times New Roman" w:hAnsi="Times New Roman" w:eastAsia="仿宋_GB2312"/>
          <w:sz w:val="32"/>
          <w:szCs w:val="32"/>
        </w:rPr>
        <w:t>健康第一责任人</w:t>
      </w:r>
      <w:r>
        <w:rPr>
          <w:rFonts w:hint="eastAsia" w:ascii="Times New Roman" w:hAnsi="Times New Roman" w:eastAsia="仿宋_GB2312"/>
          <w:sz w:val="32"/>
          <w:szCs w:val="32"/>
        </w:rPr>
        <w:t>”</w:t>
      </w:r>
      <w:r>
        <w:rPr>
          <w:rFonts w:ascii="Times New Roman" w:hAnsi="Times New Roman" w:eastAsia="仿宋_GB2312"/>
          <w:sz w:val="32"/>
          <w:szCs w:val="32"/>
        </w:rPr>
        <w:t>理念，倡导做好个人防护，保持良好卫生习惯，提升健康素养。</w:t>
      </w:r>
      <w:r>
        <w:rPr>
          <w:rFonts w:ascii="Times New Roman" w:hAnsi="Times New Roman" w:eastAsia="楷体_GB2312"/>
          <w:sz w:val="32"/>
          <w:szCs w:val="32"/>
        </w:rPr>
        <w:t>（责任单位：</w:t>
      </w:r>
      <w:r>
        <w:rPr>
          <w:rFonts w:hint="eastAsia" w:ascii="Times New Roman" w:hAnsi="Times New Roman" w:eastAsia="楷体_GB2312"/>
          <w:sz w:val="32"/>
          <w:szCs w:val="32"/>
        </w:rPr>
        <w:t>县委</w:t>
      </w:r>
      <w:r>
        <w:rPr>
          <w:rFonts w:ascii="Times New Roman" w:hAnsi="Times New Roman" w:eastAsia="楷体_GB2312"/>
          <w:sz w:val="32"/>
          <w:szCs w:val="32"/>
        </w:rPr>
        <w:t>宣传部、</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29.做好信息发布。</w:t>
      </w:r>
      <w:r>
        <w:rPr>
          <w:rFonts w:ascii="Times New Roman" w:hAnsi="Times New Roman" w:eastAsia="仿宋_GB2312"/>
          <w:sz w:val="32"/>
          <w:szCs w:val="32"/>
        </w:rPr>
        <w:t>定期发布我</w:t>
      </w:r>
      <w:r>
        <w:rPr>
          <w:rFonts w:hint="eastAsia" w:ascii="Times New Roman" w:hAnsi="Times New Roman" w:eastAsia="仿宋_GB2312"/>
          <w:sz w:val="32"/>
          <w:szCs w:val="32"/>
        </w:rPr>
        <w:t>县</w:t>
      </w:r>
      <w:r>
        <w:rPr>
          <w:rFonts w:ascii="Times New Roman" w:hAnsi="Times New Roman" w:eastAsia="仿宋_GB2312"/>
          <w:sz w:val="32"/>
          <w:szCs w:val="32"/>
        </w:rPr>
        <w:t>新冠疫情和突发公共卫生事件总体信息。</w:t>
      </w:r>
      <w:r>
        <w:rPr>
          <w:rFonts w:ascii="Times New Roman" w:hAnsi="Times New Roman" w:eastAsia="楷体_GB2312"/>
          <w:sz w:val="32"/>
          <w:szCs w:val="32"/>
        </w:rPr>
        <w:t>（责任单位：</w:t>
      </w:r>
      <w:r>
        <w:rPr>
          <w:rFonts w:hint="eastAsia" w:ascii="Times New Roman" w:hAnsi="Times New Roman" w:eastAsia="楷体_GB2312"/>
          <w:sz w:val="32"/>
          <w:szCs w:val="32"/>
        </w:rPr>
        <w:t>县局</w:t>
      </w:r>
      <w:r>
        <w:rPr>
          <w:rFonts w:ascii="Times New Roman" w:hAnsi="Times New Roman" w:eastAsia="楷体_GB2312"/>
          <w:sz w:val="32"/>
          <w:szCs w:val="32"/>
        </w:rPr>
        <w:t>宣传部、</w:t>
      </w:r>
      <w:r>
        <w:rPr>
          <w:rFonts w:hint="eastAsia" w:ascii="Times New Roman" w:hAnsi="Times New Roman" w:eastAsia="楷体_GB2312"/>
          <w:sz w:val="32"/>
          <w:szCs w:val="32"/>
        </w:rPr>
        <w:t>县局</w:t>
      </w:r>
      <w:r>
        <w:rPr>
          <w:rFonts w:ascii="Times New Roman" w:hAnsi="Times New Roman" w:eastAsia="楷体_GB2312"/>
          <w:sz w:val="32"/>
          <w:szCs w:val="32"/>
        </w:rPr>
        <w:t>网信办、</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30.优化入返</w:t>
      </w:r>
      <w:r>
        <w:rPr>
          <w:rFonts w:hint="eastAsia" w:ascii="Times New Roman" w:hAnsi="Times New Roman" w:eastAsia="仿宋_GB2312"/>
          <w:b/>
          <w:bCs/>
          <w:sz w:val="32"/>
          <w:szCs w:val="32"/>
        </w:rPr>
        <w:t>隆</w:t>
      </w:r>
      <w:r>
        <w:rPr>
          <w:rFonts w:ascii="Times New Roman" w:hAnsi="Times New Roman" w:eastAsia="仿宋_GB2312"/>
          <w:b/>
          <w:bCs/>
          <w:sz w:val="32"/>
          <w:szCs w:val="32"/>
        </w:rPr>
        <w:t>人员管理。</w:t>
      </w:r>
      <w:r>
        <w:rPr>
          <w:rFonts w:ascii="Times New Roman" w:hAnsi="Times New Roman" w:eastAsia="仿宋_GB2312"/>
          <w:sz w:val="32"/>
          <w:szCs w:val="32"/>
        </w:rPr>
        <w:t>根据疫情形势变化，按照上级要求动态调整和落实管理措施。</w:t>
      </w:r>
      <w:r>
        <w:rPr>
          <w:rFonts w:ascii="Times New Roman" w:hAnsi="Times New Roman" w:eastAsia="楷体_GB2312"/>
          <w:sz w:val="32"/>
          <w:szCs w:val="32"/>
        </w:rPr>
        <w:t>（责任单位：</w:t>
      </w:r>
      <w:r>
        <w:rPr>
          <w:rFonts w:hint="eastAsia" w:ascii="Times New Roman" w:hAnsi="Times New Roman" w:eastAsia="楷体_GB2312"/>
          <w:sz w:val="32"/>
          <w:szCs w:val="32"/>
        </w:rPr>
        <w:t>县委</w:t>
      </w:r>
      <w:r>
        <w:rPr>
          <w:rFonts w:ascii="Times New Roman" w:hAnsi="Times New Roman" w:eastAsia="楷体_GB2312"/>
          <w:sz w:val="32"/>
          <w:szCs w:val="32"/>
        </w:rPr>
        <w:t>外事办、</w:t>
      </w:r>
      <w:r>
        <w:rPr>
          <w:rFonts w:hint="eastAsia" w:ascii="Times New Roman" w:hAnsi="Times New Roman" w:eastAsia="楷体_GB2312"/>
          <w:sz w:val="32"/>
          <w:szCs w:val="32"/>
        </w:rPr>
        <w:t>县</w:t>
      </w:r>
      <w:r>
        <w:rPr>
          <w:rFonts w:ascii="Times New Roman" w:hAnsi="Times New Roman" w:eastAsia="楷体_GB2312"/>
          <w:sz w:val="32"/>
          <w:szCs w:val="32"/>
        </w:rPr>
        <w:t>交通运输局、</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p>
    <w:p>
      <w:pPr>
        <w:topLinePunct/>
        <w:spacing w:line="586" w:lineRule="exact"/>
        <w:ind w:firstLine="643" w:firstLineChars="200"/>
        <w:rPr>
          <w:rFonts w:hint="eastAsia"/>
        </w:rPr>
      </w:pPr>
      <w:r>
        <w:rPr>
          <w:rFonts w:ascii="Times New Roman" w:hAnsi="Times New Roman" w:eastAsia="仿宋_GB2312"/>
          <w:b/>
          <w:bCs/>
          <w:sz w:val="32"/>
          <w:szCs w:val="32"/>
        </w:rPr>
        <w:t>31.做好心理援助工作。</w:t>
      </w:r>
      <w:r>
        <w:rPr>
          <w:rFonts w:ascii="Times New Roman" w:hAnsi="Times New Roman" w:eastAsia="仿宋_GB2312"/>
          <w:sz w:val="32"/>
          <w:szCs w:val="32"/>
        </w:rPr>
        <w:t>依托现有</w:t>
      </w:r>
      <w:r>
        <w:rPr>
          <w:rFonts w:hint="eastAsia" w:ascii="Times New Roman" w:hAnsi="Times New Roman" w:eastAsia="仿宋_GB2312"/>
          <w:sz w:val="32"/>
          <w:szCs w:val="32"/>
        </w:rPr>
        <w:t>县</w:t>
      </w:r>
      <w:r>
        <w:rPr>
          <w:rFonts w:ascii="Times New Roman" w:hAnsi="Times New Roman" w:eastAsia="仿宋_GB2312"/>
          <w:sz w:val="32"/>
          <w:szCs w:val="32"/>
        </w:rPr>
        <w:t>民服务热线，建立疫情防控心理援助热线。已开设互联网医院的二、三级医院在互联网医院功能板块常规设置便民咨询通道，通过线上答疑方式，及时解答群众关于新冠病毒感染就医、用药等疑问，设有精神心理门诊的医疗机构同步在互联网医院设置心理咨询通道，为患者提供专业心理咨询。同时，针对医务人员开展心理疏导工作。</w:t>
      </w:r>
      <w:r>
        <w:rPr>
          <w:rFonts w:ascii="Times New Roman" w:hAnsi="Times New Roman" w:eastAsia="楷体_GB2312"/>
          <w:sz w:val="32"/>
          <w:szCs w:val="32"/>
        </w:rPr>
        <w:t>（责任单位：</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各乡镇（街道）负责）</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（五）防范化解极端天气带来的风险(</w:t>
      </w:r>
      <w:r>
        <w:rPr>
          <w:rFonts w:hint="eastAsia" w:ascii="Times New Roman" w:hAnsi="Times New Roman" w:eastAsia="楷体_GB2312"/>
          <w:b/>
          <w:bCs/>
          <w:sz w:val="32"/>
          <w:szCs w:val="32"/>
        </w:rPr>
        <w:t>县</w:t>
      </w:r>
      <w:r>
        <w:rPr>
          <w:rFonts w:ascii="Times New Roman" w:hAnsi="Times New Roman" w:eastAsia="楷体_GB2312"/>
          <w:b/>
          <w:bCs/>
          <w:sz w:val="32"/>
          <w:szCs w:val="32"/>
        </w:rPr>
        <w:t>应急管理局牵头)</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32.加强风险隐患排查和修订完善预案方案。</w:t>
      </w:r>
      <w:r>
        <w:rPr>
          <w:rFonts w:ascii="Times New Roman" w:hAnsi="Times New Roman" w:eastAsia="仿宋_GB2312"/>
          <w:sz w:val="32"/>
          <w:szCs w:val="32"/>
        </w:rPr>
        <w:t>做好极端天气条件下重大自然灾害、事故灾难的危险源、危险区域调查、登记、风险评估，采取安全风险防范化解措施，按规定及时公布。对极端天气可能引发的重大灾害事故，修订完善应急预案方案，组织开展应急演练。</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安委会、</w:t>
      </w:r>
      <w:r>
        <w:rPr>
          <w:rFonts w:hint="eastAsia" w:ascii="Times New Roman" w:hAnsi="Times New Roman" w:eastAsia="楷体_GB2312"/>
          <w:sz w:val="32"/>
          <w:szCs w:val="32"/>
        </w:rPr>
        <w:t>县</w:t>
      </w:r>
      <w:r>
        <w:rPr>
          <w:rFonts w:ascii="Times New Roman" w:hAnsi="Times New Roman" w:eastAsia="楷体_GB2312"/>
          <w:sz w:val="32"/>
          <w:szCs w:val="32"/>
        </w:rPr>
        <w:t>减灾委相关成员单位负责)</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33.加强监测预警和信息发布。</w:t>
      </w:r>
      <w:r>
        <w:rPr>
          <w:rFonts w:ascii="Times New Roman" w:hAnsi="Times New Roman" w:eastAsia="仿宋_GB2312"/>
          <w:sz w:val="32"/>
          <w:szCs w:val="32"/>
        </w:rPr>
        <w:t>建立健全气象灾害监测、信息收集评估及预警系统。加强极端天气会商研判，及时向党委政府提出应对建议。健全发布体系，及时发布极端天气预报预警信息，确保第一时间传达到一线岗位和受威胁人群。</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安委会、</w:t>
      </w:r>
      <w:r>
        <w:rPr>
          <w:rFonts w:hint="eastAsia" w:ascii="Times New Roman" w:hAnsi="Times New Roman" w:eastAsia="楷体_GB2312"/>
          <w:sz w:val="32"/>
          <w:szCs w:val="32"/>
        </w:rPr>
        <w:t>县</w:t>
      </w:r>
      <w:r>
        <w:rPr>
          <w:rFonts w:ascii="Times New Roman" w:hAnsi="Times New Roman" w:eastAsia="楷体_GB2312"/>
          <w:sz w:val="32"/>
          <w:szCs w:val="32"/>
        </w:rPr>
        <w:t>减灾委相关成员单位负责)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4</w:t>
      </w:r>
      <w:r>
        <w:rPr>
          <w:rFonts w:ascii="Times New Roman" w:hAnsi="Times New Roman" w:eastAsia="仿宋_GB2312"/>
          <w:b/>
          <w:bCs/>
          <w:sz w:val="32"/>
          <w:szCs w:val="32"/>
        </w:rPr>
        <w:t>.防范应对极端天气自然灾害和安全生产事故。</w:t>
      </w:r>
      <w:r>
        <w:rPr>
          <w:rFonts w:ascii="Times New Roman" w:hAnsi="Times New Roman" w:eastAsia="仿宋_GB2312"/>
          <w:sz w:val="32"/>
          <w:szCs w:val="32"/>
        </w:rPr>
        <w:t>做好极端天气洪涝灾害、地质灾害、干旱灾害、森林火灾、低温雨雪冰冻、安全生产等重大风险灾害防范工作。落实企业主体责任，督促合理安排生产经营活动，防范极端天气自然灾害和安全生产事故。</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安委会、</w:t>
      </w:r>
      <w:r>
        <w:rPr>
          <w:rFonts w:hint="eastAsia" w:ascii="Times New Roman" w:hAnsi="Times New Roman" w:eastAsia="楷体_GB2312"/>
          <w:sz w:val="32"/>
          <w:szCs w:val="32"/>
        </w:rPr>
        <w:t>县</w:t>
      </w:r>
      <w:r>
        <w:rPr>
          <w:rFonts w:ascii="Times New Roman" w:hAnsi="Times New Roman" w:eastAsia="楷体_GB2312"/>
          <w:sz w:val="32"/>
          <w:szCs w:val="32"/>
        </w:rPr>
        <w:t>减灾委相关成员单位负责）</w:t>
      </w:r>
    </w:p>
    <w:p>
      <w:pPr>
        <w:topLinePunct/>
        <w:spacing w:line="586" w:lineRule="exact"/>
        <w:ind w:firstLine="643" w:firstLineChars="200"/>
        <w:rPr>
          <w:rFonts w:ascii="Times New Roman" w:hAnsi="Times New Roman" w:eastAsia="楷体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5</w:t>
      </w:r>
      <w:r>
        <w:rPr>
          <w:rFonts w:ascii="Times New Roman" w:hAnsi="Times New Roman" w:eastAsia="仿宋_GB2312"/>
          <w:b/>
          <w:bCs/>
          <w:sz w:val="32"/>
          <w:szCs w:val="32"/>
        </w:rPr>
        <w:t>.做好应急救援准备保障。</w:t>
      </w:r>
      <w:r>
        <w:rPr>
          <w:rFonts w:ascii="Times New Roman" w:hAnsi="Times New Roman" w:eastAsia="仿宋_GB2312"/>
          <w:sz w:val="32"/>
          <w:szCs w:val="32"/>
        </w:rPr>
        <w:t>加强</w:t>
      </w:r>
      <w:r>
        <w:rPr>
          <w:rFonts w:hint="eastAsia" w:ascii="Times New Roman" w:hAnsi="Times New Roman" w:eastAsia="仿宋_GB2312"/>
          <w:sz w:val="32"/>
          <w:szCs w:val="32"/>
        </w:rPr>
        <w:t>县</w:t>
      </w:r>
      <w:r>
        <w:rPr>
          <w:rFonts w:ascii="Times New Roman" w:hAnsi="Times New Roman" w:eastAsia="仿宋_GB2312"/>
          <w:sz w:val="32"/>
          <w:szCs w:val="32"/>
        </w:rPr>
        <w:t>级应急救援队伍能力建设，根据需要建立专业或半专业应急救援队伍。做好</w:t>
      </w:r>
      <w:r>
        <w:rPr>
          <w:rFonts w:hint="eastAsia" w:ascii="Times New Roman" w:hAnsi="Times New Roman" w:eastAsia="仿宋_GB2312"/>
          <w:sz w:val="32"/>
          <w:szCs w:val="32"/>
        </w:rPr>
        <w:t>县</w:t>
      </w:r>
      <w:r>
        <w:rPr>
          <w:rFonts w:ascii="Times New Roman" w:hAnsi="Times New Roman" w:eastAsia="仿宋_GB2312"/>
          <w:sz w:val="32"/>
          <w:szCs w:val="32"/>
        </w:rPr>
        <w:t>级救援队伍的装备配备和应急保障工作。完善应急物资供应渠道，加强专用物料、器材、装备、工具储备，加强生活生产必需品储备。加强医疗保障能力，提前做好受伤人员医疗救护准备。</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应急管理局、</w:t>
      </w:r>
      <w:r>
        <w:rPr>
          <w:rFonts w:hint="eastAsia" w:ascii="Times New Roman" w:hAnsi="Times New Roman" w:eastAsia="楷体_GB2312"/>
          <w:sz w:val="32"/>
          <w:szCs w:val="32"/>
        </w:rPr>
        <w:t>县</w:t>
      </w:r>
      <w:r>
        <w:rPr>
          <w:rFonts w:ascii="Times New Roman" w:hAnsi="Times New Roman" w:eastAsia="楷体_GB2312"/>
          <w:sz w:val="32"/>
          <w:szCs w:val="32"/>
        </w:rPr>
        <w:t>财政局、</w:t>
      </w:r>
      <w:r>
        <w:rPr>
          <w:rFonts w:hint="eastAsia" w:ascii="Times New Roman" w:hAnsi="Times New Roman" w:eastAsia="楷体_GB2312"/>
          <w:sz w:val="32"/>
          <w:szCs w:val="32"/>
        </w:rPr>
        <w:t>县</w:t>
      </w:r>
      <w:r>
        <w:rPr>
          <w:rFonts w:ascii="Times New Roman" w:hAnsi="Times New Roman" w:eastAsia="楷体_GB2312"/>
          <w:sz w:val="32"/>
          <w:szCs w:val="32"/>
        </w:rPr>
        <w:t>卫生健康</w:t>
      </w:r>
      <w:r>
        <w:rPr>
          <w:rFonts w:hint="eastAsia" w:ascii="Times New Roman" w:hAnsi="Times New Roman" w:eastAsia="楷体_GB2312"/>
          <w:sz w:val="32"/>
          <w:szCs w:val="32"/>
        </w:rPr>
        <w:t>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商务局、</w:t>
      </w:r>
      <w:r>
        <w:rPr>
          <w:rFonts w:hint="eastAsia" w:ascii="Times New Roman" w:hAnsi="Times New Roman" w:eastAsia="楷体_GB2312"/>
          <w:sz w:val="32"/>
          <w:szCs w:val="32"/>
        </w:rPr>
        <w:t>县发改局</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消防救援支队等负责)</w:t>
      </w:r>
    </w:p>
    <w:p>
      <w:pPr>
        <w:topLinePunct/>
        <w:spacing w:line="586" w:lineRule="exact"/>
        <w:ind w:firstLine="643" w:firstLineChars="200"/>
        <w:rPr>
          <w:rFonts w:ascii="Times New Roman" w:hAnsi="Times New Roman" w:eastAsia="楷体_GB2312"/>
          <w:sz w:val="32"/>
          <w:szCs w:val="32"/>
        </w:rPr>
      </w:pPr>
      <w:r>
        <w:rPr>
          <w:rFonts w:hint="eastAsia" w:ascii="Times New Roman" w:hAnsi="Times New Roman" w:eastAsia="仿宋_GB2312"/>
          <w:b/>
          <w:bCs/>
          <w:sz w:val="32"/>
          <w:szCs w:val="32"/>
        </w:rPr>
        <w:t>36</w:t>
      </w:r>
      <w:r>
        <w:rPr>
          <w:rFonts w:ascii="Times New Roman" w:hAnsi="Times New Roman" w:eastAsia="仿宋_GB2312"/>
          <w:b/>
          <w:bCs/>
          <w:sz w:val="32"/>
          <w:szCs w:val="32"/>
        </w:rPr>
        <w:t>.做好应急救援救灾工作。</w:t>
      </w:r>
      <w:r>
        <w:rPr>
          <w:rFonts w:ascii="Times New Roman" w:hAnsi="Times New Roman" w:eastAsia="仿宋_GB2312"/>
          <w:sz w:val="32"/>
          <w:szCs w:val="32"/>
        </w:rPr>
        <w:t>建立分级指挥与专业指挥相结合的指挥机制，完善部门间、军地间协调联动机制。</w:t>
      </w:r>
      <w:r>
        <w:rPr>
          <w:rFonts w:hint="eastAsia" w:ascii="Times New Roman" w:hAnsi="Times New Roman" w:eastAsia="仿宋_GB2312"/>
          <w:sz w:val="32"/>
          <w:szCs w:val="32"/>
        </w:rPr>
        <w:t>“</w:t>
      </w:r>
      <w:r>
        <w:rPr>
          <w:rFonts w:ascii="Times New Roman" w:hAnsi="Times New Roman" w:eastAsia="仿宋_GB2312"/>
          <w:sz w:val="32"/>
          <w:szCs w:val="32"/>
        </w:rPr>
        <w:t>分类管理，分级负责</w:t>
      </w:r>
      <w:r>
        <w:rPr>
          <w:rFonts w:hint="eastAsia" w:ascii="Times New Roman" w:hAnsi="Times New Roman" w:eastAsia="仿宋_GB2312"/>
          <w:sz w:val="32"/>
          <w:szCs w:val="32"/>
        </w:rPr>
        <w:t>”</w:t>
      </w:r>
      <w:r>
        <w:rPr>
          <w:rFonts w:ascii="Times New Roman" w:hAnsi="Times New Roman" w:eastAsia="仿宋_GB2312"/>
          <w:sz w:val="32"/>
          <w:szCs w:val="32"/>
        </w:rPr>
        <w:t>，第一时间启动应急响应并开展应急处置。用好各级应急资源管理和应急救援救助平台，千方百计保障受灾群众基本生活。</w:t>
      </w:r>
      <w:r>
        <w:rPr>
          <w:rFonts w:ascii="Times New Roman" w:hAnsi="Times New Roman" w:eastAsia="楷体_GB2312"/>
          <w:sz w:val="32"/>
          <w:szCs w:val="32"/>
        </w:rPr>
        <w:t>(</w:t>
      </w:r>
      <w:r>
        <w:rPr>
          <w:rFonts w:hint="eastAsia" w:ascii="Times New Roman" w:hAnsi="Times New Roman" w:eastAsia="楷体_GB2312"/>
          <w:sz w:val="32"/>
          <w:szCs w:val="32"/>
        </w:rPr>
        <w:t>县</w:t>
      </w:r>
      <w:r>
        <w:rPr>
          <w:rFonts w:ascii="Times New Roman" w:hAnsi="Times New Roman" w:eastAsia="楷体_GB2312"/>
          <w:sz w:val="32"/>
          <w:szCs w:val="32"/>
        </w:rPr>
        <w:t>安委会、</w:t>
      </w:r>
      <w:r>
        <w:rPr>
          <w:rFonts w:hint="eastAsia" w:ascii="Times New Roman" w:hAnsi="Times New Roman" w:eastAsia="楷体_GB2312"/>
          <w:sz w:val="32"/>
          <w:szCs w:val="32"/>
        </w:rPr>
        <w:t>县</w:t>
      </w:r>
      <w:r>
        <w:rPr>
          <w:rFonts w:ascii="Times New Roman" w:hAnsi="Times New Roman" w:eastAsia="楷体_GB2312"/>
          <w:sz w:val="32"/>
          <w:szCs w:val="32"/>
        </w:rPr>
        <w:t>减灾委相关成员单位负责)</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三、推进机制</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成立打好防范化解风险阻击仗工作专班，由</w:t>
      </w:r>
      <w:r>
        <w:rPr>
          <w:rFonts w:hint="eastAsia" w:ascii="Times New Roman" w:hAnsi="Times New Roman" w:eastAsia="仿宋_GB2312"/>
          <w:sz w:val="32"/>
          <w:szCs w:val="32"/>
        </w:rPr>
        <w:t>县</w:t>
      </w:r>
      <w:r>
        <w:rPr>
          <w:rFonts w:ascii="Times New Roman" w:hAnsi="Times New Roman" w:eastAsia="仿宋_GB2312"/>
          <w:sz w:val="32"/>
          <w:szCs w:val="32"/>
        </w:rPr>
        <w:t>政府</w:t>
      </w:r>
      <w:r>
        <w:rPr>
          <w:rFonts w:hint="eastAsia" w:ascii="Times New Roman" w:hAnsi="Times New Roman" w:eastAsia="仿宋_GB2312"/>
          <w:sz w:val="32"/>
          <w:szCs w:val="32"/>
        </w:rPr>
        <w:t>办</w:t>
      </w:r>
      <w:r>
        <w:rPr>
          <w:rFonts w:ascii="Times New Roman" w:hAnsi="Times New Roman" w:eastAsia="仿宋_GB2312"/>
          <w:sz w:val="32"/>
          <w:szCs w:val="32"/>
        </w:rPr>
        <w:t>分管副</w:t>
      </w:r>
      <w:r>
        <w:rPr>
          <w:rFonts w:hint="eastAsia" w:ascii="Times New Roman" w:hAnsi="Times New Roman" w:eastAsia="仿宋_GB2312"/>
          <w:sz w:val="32"/>
          <w:szCs w:val="32"/>
        </w:rPr>
        <w:t>主任王燕民</w:t>
      </w:r>
      <w:r>
        <w:rPr>
          <w:rFonts w:ascii="Times New Roman" w:hAnsi="Times New Roman" w:eastAsia="仿宋_GB2312"/>
          <w:sz w:val="32"/>
          <w:szCs w:val="32"/>
        </w:rPr>
        <w:t>担任召集人，</w:t>
      </w:r>
      <w:r>
        <w:rPr>
          <w:rFonts w:hint="eastAsia" w:ascii="Times New Roman" w:hAnsi="Times New Roman" w:eastAsia="仿宋_GB2312"/>
          <w:sz w:val="32"/>
          <w:szCs w:val="32"/>
        </w:rPr>
        <w:t>县</w:t>
      </w:r>
      <w:r>
        <w:rPr>
          <w:rFonts w:ascii="Times New Roman" w:hAnsi="Times New Roman" w:eastAsia="仿宋_GB2312"/>
          <w:sz w:val="32"/>
          <w:szCs w:val="32"/>
        </w:rPr>
        <w:t>财政局党组书记、局长</w:t>
      </w:r>
      <w:r>
        <w:rPr>
          <w:rFonts w:hint="eastAsia" w:ascii="Times New Roman" w:hAnsi="Times New Roman" w:eastAsia="仿宋_GB2312"/>
          <w:sz w:val="32"/>
          <w:szCs w:val="32"/>
        </w:rPr>
        <w:t>范志海</w:t>
      </w:r>
      <w:r>
        <w:rPr>
          <w:rFonts w:ascii="Times New Roman" w:hAnsi="Times New Roman" w:eastAsia="仿宋_GB2312"/>
          <w:sz w:val="32"/>
          <w:szCs w:val="32"/>
        </w:rPr>
        <w:t>担任副召集人，成员单位包括</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县政府金融办</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住房和城乡建设局、</w:t>
      </w:r>
      <w:r>
        <w:rPr>
          <w:rFonts w:hint="eastAsia" w:ascii="Times New Roman" w:hAnsi="Times New Roman" w:eastAsia="仿宋_GB2312"/>
          <w:sz w:val="32"/>
          <w:szCs w:val="32"/>
        </w:rPr>
        <w:t>县</w:t>
      </w:r>
      <w:r>
        <w:rPr>
          <w:rFonts w:ascii="Times New Roman" w:hAnsi="Times New Roman" w:eastAsia="仿宋_GB2312"/>
          <w:sz w:val="32"/>
          <w:szCs w:val="32"/>
        </w:rPr>
        <w:t>应急管理局、</w:t>
      </w:r>
      <w:r>
        <w:rPr>
          <w:rFonts w:hint="eastAsia" w:ascii="Times New Roman" w:hAnsi="Times New Roman" w:eastAsia="仿宋_GB2312"/>
          <w:sz w:val="32"/>
          <w:szCs w:val="32"/>
        </w:rPr>
        <w:t>县卫生健康局</w:t>
      </w:r>
      <w:r>
        <w:rPr>
          <w:rFonts w:ascii="Times New Roman" w:hAnsi="Times New Roman" w:eastAsia="仿宋_GB2312"/>
          <w:sz w:val="32"/>
          <w:szCs w:val="32"/>
        </w:rPr>
        <w:t>、</w:t>
      </w:r>
      <w:r>
        <w:rPr>
          <w:rFonts w:hint="eastAsia" w:ascii="Times New Roman" w:hAnsi="Times New Roman" w:eastAsia="仿宋_GB2312"/>
          <w:sz w:val="32"/>
          <w:szCs w:val="32"/>
        </w:rPr>
        <w:t>县发改局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县</w:t>
      </w:r>
      <w:r>
        <w:rPr>
          <w:rFonts w:ascii="Times New Roman" w:hAnsi="Times New Roman" w:eastAsia="仿宋_GB2312"/>
          <w:sz w:val="32"/>
          <w:szCs w:val="32"/>
        </w:rPr>
        <w:t>公安局、</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县自然资源局</w:t>
      </w:r>
      <w:r>
        <w:rPr>
          <w:rFonts w:ascii="Times New Roman" w:hAnsi="Times New Roman" w:eastAsia="仿宋_GB2312"/>
          <w:sz w:val="32"/>
          <w:szCs w:val="32"/>
        </w:rPr>
        <w:t>、</w:t>
      </w:r>
      <w:r>
        <w:rPr>
          <w:rFonts w:hint="eastAsia" w:ascii="Times New Roman" w:hAnsi="Times New Roman" w:eastAsia="仿宋_GB2312"/>
          <w:sz w:val="32"/>
          <w:szCs w:val="32"/>
        </w:rPr>
        <w:t>县市</w:t>
      </w:r>
      <w:r>
        <w:rPr>
          <w:rFonts w:ascii="Times New Roman" w:hAnsi="Times New Roman" w:eastAsia="仿宋_GB2312"/>
          <w:sz w:val="32"/>
          <w:szCs w:val="32"/>
        </w:rPr>
        <w:t>场</w:t>
      </w:r>
      <w:r>
        <w:rPr>
          <w:rFonts w:hint="eastAsia" w:ascii="Times New Roman" w:hAnsi="Times New Roman" w:eastAsia="仿宋_GB2312"/>
          <w:sz w:val="32"/>
          <w:szCs w:val="32"/>
        </w:rPr>
        <w:t>监督管理</w:t>
      </w:r>
      <w:r>
        <w:rPr>
          <w:rFonts w:ascii="Times New Roman" w:hAnsi="Times New Roman" w:eastAsia="仿宋_GB2312"/>
          <w:sz w:val="32"/>
          <w:szCs w:val="32"/>
        </w:rPr>
        <w:t>局、</w:t>
      </w:r>
      <w:r>
        <w:rPr>
          <w:rFonts w:hint="eastAsia" w:ascii="Times New Roman" w:hAnsi="Times New Roman" w:eastAsia="仿宋_GB2312"/>
          <w:sz w:val="32"/>
          <w:szCs w:val="32"/>
        </w:rPr>
        <w:t>县高新区管理委员会</w:t>
      </w:r>
      <w:r>
        <w:rPr>
          <w:rFonts w:ascii="Times New Roman" w:hAnsi="Times New Roman" w:eastAsia="仿宋_GB2312"/>
          <w:sz w:val="32"/>
          <w:szCs w:val="32"/>
        </w:rPr>
        <w:t>、</w:t>
      </w:r>
      <w:r>
        <w:rPr>
          <w:rFonts w:hint="eastAsia" w:ascii="Times New Roman" w:hAnsi="Times New Roman" w:eastAsia="仿宋_GB2312"/>
          <w:sz w:val="32"/>
          <w:szCs w:val="32"/>
        </w:rPr>
        <w:t>县重点建设项目事务中心</w:t>
      </w:r>
      <w:r>
        <w:rPr>
          <w:rFonts w:ascii="Times New Roman" w:hAnsi="Times New Roman" w:eastAsia="仿宋_GB2312"/>
          <w:sz w:val="32"/>
          <w:szCs w:val="32"/>
        </w:rPr>
        <w:t>、</w:t>
      </w:r>
      <w:r>
        <w:rPr>
          <w:rFonts w:hint="eastAsia" w:ascii="Times New Roman" w:hAnsi="Times New Roman" w:eastAsia="仿宋_GB2312"/>
          <w:sz w:val="32"/>
          <w:szCs w:val="32"/>
        </w:rPr>
        <w:t>人民银行隆回支行</w:t>
      </w:r>
      <w:r>
        <w:rPr>
          <w:rFonts w:ascii="Times New Roman" w:hAnsi="Times New Roman" w:eastAsia="仿宋_GB2312"/>
          <w:sz w:val="32"/>
          <w:szCs w:val="32"/>
        </w:rPr>
        <w:t>、</w:t>
      </w:r>
      <w:r>
        <w:rPr>
          <w:rFonts w:hint="eastAsia" w:ascii="Times New Roman" w:hAnsi="Times New Roman" w:eastAsia="仿宋_GB2312"/>
          <w:sz w:val="32"/>
          <w:szCs w:val="32"/>
        </w:rPr>
        <w:t>国网隆回供电公司</w:t>
      </w:r>
      <w:r>
        <w:rPr>
          <w:rFonts w:ascii="Times New Roman" w:hAnsi="Times New Roman" w:eastAsia="仿宋_GB2312"/>
          <w:sz w:val="32"/>
          <w:szCs w:val="32"/>
        </w:rPr>
        <w:t>等。专班办公室设在</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财政</w:t>
      </w:r>
      <w:r>
        <w:rPr>
          <w:rFonts w:hint="eastAsia" w:ascii="Times New Roman" w:hAnsi="Times New Roman" w:eastAsia="仿宋_GB2312"/>
          <w:sz w:val="32"/>
          <w:szCs w:val="32"/>
        </w:rPr>
        <w:t>事务中心主任罗卫</w:t>
      </w:r>
      <w:r>
        <w:rPr>
          <w:rFonts w:ascii="Times New Roman" w:hAnsi="Times New Roman" w:eastAsia="仿宋_GB2312"/>
          <w:sz w:val="32"/>
          <w:szCs w:val="32"/>
        </w:rPr>
        <w:t>任办公室主任，</w:t>
      </w:r>
      <w:r>
        <w:rPr>
          <w:rFonts w:hint="eastAsia" w:ascii="Times New Roman" w:hAnsi="Times New Roman" w:eastAsia="仿宋_GB2312"/>
          <w:sz w:val="32"/>
          <w:szCs w:val="32"/>
        </w:rPr>
        <w:t>县</w:t>
      </w:r>
      <w:r>
        <w:rPr>
          <w:rFonts w:ascii="Times New Roman" w:hAnsi="Times New Roman" w:eastAsia="仿宋_GB2312"/>
          <w:sz w:val="32"/>
          <w:szCs w:val="32"/>
        </w:rPr>
        <w:t>财政局政府债务</w:t>
      </w:r>
      <w:r>
        <w:rPr>
          <w:rFonts w:hint="eastAsia" w:ascii="Times New Roman" w:hAnsi="Times New Roman" w:eastAsia="仿宋_GB2312"/>
          <w:sz w:val="32"/>
          <w:szCs w:val="32"/>
        </w:rPr>
        <w:t>股负责人康目清</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住</w:t>
      </w:r>
      <w:r>
        <w:rPr>
          <w:rFonts w:hint="eastAsia" w:ascii="Times New Roman" w:hAnsi="Times New Roman" w:eastAsia="仿宋_GB2312"/>
          <w:sz w:val="32"/>
          <w:szCs w:val="32"/>
        </w:rPr>
        <w:t>房城乡建设</w:t>
      </w:r>
      <w:r>
        <w:rPr>
          <w:rFonts w:ascii="Times New Roman" w:hAnsi="Times New Roman" w:eastAsia="仿宋_GB2312"/>
          <w:sz w:val="32"/>
          <w:szCs w:val="32"/>
        </w:rPr>
        <w:t>局</w:t>
      </w:r>
      <w:r>
        <w:rPr>
          <w:rFonts w:hint="eastAsia" w:ascii="Times New Roman" w:hAnsi="Times New Roman" w:eastAsia="仿宋_GB2312"/>
          <w:sz w:val="32"/>
          <w:szCs w:val="32"/>
        </w:rPr>
        <w:t>住房保障和</w:t>
      </w:r>
      <w:r>
        <w:rPr>
          <w:rFonts w:ascii="Times New Roman" w:hAnsi="Times New Roman" w:eastAsia="仿宋_GB2312"/>
          <w:sz w:val="32"/>
          <w:szCs w:val="32"/>
        </w:rPr>
        <w:t>房地产</w:t>
      </w:r>
      <w:r>
        <w:rPr>
          <w:rFonts w:hint="eastAsia" w:ascii="Times New Roman" w:hAnsi="Times New Roman" w:eastAsia="仿宋_GB2312"/>
          <w:sz w:val="32"/>
          <w:szCs w:val="32"/>
        </w:rPr>
        <w:t>管理股股长肖爱中</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应急管理局防汛</w:t>
      </w:r>
      <w:r>
        <w:rPr>
          <w:rFonts w:hint="eastAsia" w:ascii="Times New Roman" w:hAnsi="Times New Roman" w:eastAsia="仿宋_GB2312"/>
          <w:sz w:val="32"/>
          <w:szCs w:val="32"/>
        </w:rPr>
        <w:t>股股长黄芸</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卫</w:t>
      </w:r>
      <w:r>
        <w:rPr>
          <w:rFonts w:hint="eastAsia" w:ascii="Times New Roman" w:hAnsi="Times New Roman" w:eastAsia="仿宋_GB2312"/>
          <w:sz w:val="32"/>
          <w:szCs w:val="32"/>
        </w:rPr>
        <w:t>生</w:t>
      </w:r>
      <w:r>
        <w:rPr>
          <w:rFonts w:ascii="Times New Roman" w:hAnsi="Times New Roman" w:eastAsia="仿宋_GB2312"/>
          <w:sz w:val="32"/>
          <w:szCs w:val="32"/>
        </w:rPr>
        <w:t>健</w:t>
      </w:r>
      <w:r>
        <w:rPr>
          <w:rFonts w:hint="eastAsia" w:ascii="Times New Roman" w:hAnsi="Times New Roman" w:eastAsia="仿宋_GB2312"/>
          <w:sz w:val="32"/>
          <w:szCs w:val="32"/>
        </w:rPr>
        <w:t>康局办公室负责人胡方</w:t>
      </w:r>
      <w:r>
        <w:rPr>
          <w:rFonts w:ascii="Times New Roman" w:hAnsi="Times New Roman" w:eastAsia="仿宋_GB2312"/>
          <w:sz w:val="32"/>
          <w:szCs w:val="32"/>
        </w:rPr>
        <w:t>、</w:t>
      </w:r>
      <w:r>
        <w:rPr>
          <w:rFonts w:hint="eastAsia" w:ascii="Times New Roman" w:hAnsi="Times New Roman" w:eastAsia="仿宋_GB2312"/>
          <w:sz w:val="32"/>
          <w:szCs w:val="32"/>
        </w:rPr>
        <w:t>县政府金融办综合部负责人刘丁国</w:t>
      </w:r>
      <w:r>
        <w:rPr>
          <w:rFonts w:ascii="Times New Roman" w:hAnsi="Times New Roman" w:eastAsia="仿宋_GB2312"/>
          <w:sz w:val="32"/>
          <w:szCs w:val="32"/>
        </w:rPr>
        <w:t>任联络员，负责日常协调和调度工作。</w:t>
      </w:r>
    </w:p>
    <w:p>
      <w:pPr>
        <w:topLinePunct/>
        <w:spacing w:line="586" w:lineRule="exact"/>
        <w:ind w:left="1598" w:leftChars="304" w:hanging="960" w:hangingChars="300"/>
        <w:rPr>
          <w:rFonts w:ascii="Times New Roman" w:hAnsi="Times New Roman" w:eastAsia="仿宋_GB2312"/>
          <w:sz w:val="32"/>
          <w:szCs w:val="32"/>
        </w:rPr>
      </w:pPr>
    </w:p>
    <w:p>
      <w:pPr>
        <w:topLinePunct/>
        <w:spacing w:line="586" w:lineRule="exact"/>
        <w:ind w:firstLine="640" w:firstLineChars="200"/>
        <w:rPr>
          <w:rFonts w:ascii="Times New Roman" w:hAnsi="Times New Roman" w:eastAsia="仿宋_GB2312"/>
          <w:spacing w:val="-17"/>
          <w:w w:val="95"/>
          <w:sz w:val="32"/>
          <w:szCs w:val="32"/>
        </w:rPr>
      </w:pPr>
      <w:r>
        <w:rPr>
          <w:rFonts w:ascii="Times New Roman" w:hAnsi="Times New Roman" w:eastAsia="仿宋_GB2312"/>
          <w:sz w:val="32"/>
          <w:szCs w:val="32"/>
        </w:rPr>
        <w:t>附表：</w:t>
      </w:r>
      <w:r>
        <w:rPr>
          <w:rFonts w:hint="eastAsia" w:ascii="Times New Roman" w:hAnsi="Times New Roman" w:eastAsia="仿宋_GB2312"/>
          <w:sz w:val="32"/>
          <w:szCs w:val="32"/>
        </w:rPr>
        <w:t>隆</w:t>
      </w:r>
      <w:r>
        <w:rPr>
          <w:rFonts w:hint="eastAsia" w:ascii="Times New Roman" w:hAnsi="Times New Roman" w:eastAsia="仿宋_GB2312"/>
          <w:spacing w:val="-17"/>
          <w:w w:val="95"/>
          <w:sz w:val="32"/>
          <w:szCs w:val="32"/>
        </w:rPr>
        <w:t>回县</w:t>
      </w:r>
      <w:r>
        <w:rPr>
          <w:rFonts w:ascii="Times New Roman" w:hAnsi="Times New Roman" w:eastAsia="仿宋_GB2312"/>
          <w:spacing w:val="-17"/>
          <w:w w:val="95"/>
          <w:sz w:val="32"/>
          <w:szCs w:val="32"/>
        </w:rPr>
        <w:t>打好</w:t>
      </w:r>
      <w:r>
        <w:rPr>
          <w:rFonts w:hint="eastAsia" w:ascii="Times New Roman" w:hAnsi="Times New Roman" w:eastAsia="仿宋_GB2312"/>
          <w:spacing w:val="-17"/>
          <w:w w:val="95"/>
          <w:sz w:val="32"/>
          <w:szCs w:val="32"/>
        </w:rPr>
        <w:t>“</w:t>
      </w:r>
      <w:r>
        <w:rPr>
          <w:rFonts w:ascii="Times New Roman" w:hAnsi="Times New Roman" w:eastAsia="仿宋_GB2312"/>
          <w:spacing w:val="-17"/>
          <w:w w:val="95"/>
          <w:sz w:val="32"/>
          <w:szCs w:val="32"/>
        </w:rPr>
        <w:t>防范化解风险阻击仗</w:t>
      </w:r>
      <w:r>
        <w:rPr>
          <w:rFonts w:hint="eastAsia" w:ascii="Times New Roman" w:hAnsi="Times New Roman" w:eastAsia="仿宋_GB2312"/>
          <w:spacing w:val="-17"/>
          <w:w w:val="95"/>
          <w:sz w:val="32"/>
          <w:szCs w:val="32"/>
        </w:rPr>
        <w:t>”</w:t>
      </w:r>
      <w:r>
        <w:rPr>
          <w:rFonts w:ascii="Times New Roman" w:hAnsi="Times New Roman" w:eastAsia="仿宋_GB2312"/>
          <w:spacing w:val="-17"/>
          <w:w w:val="95"/>
          <w:sz w:val="32"/>
          <w:szCs w:val="32"/>
        </w:rPr>
        <w:t>重点工作任务责任分解表</w:t>
      </w:r>
    </w:p>
    <w:p>
      <w:pPr>
        <w:topLinePunct/>
        <w:spacing w:line="586" w:lineRule="exact"/>
        <w:rPr>
          <w:rFonts w:ascii="Times New Roman" w:hAnsi="Times New Roman" w:eastAsia="黑体"/>
          <w:sz w:val="32"/>
          <w:szCs w:val="32"/>
        </w:rPr>
        <w:sectPr>
          <w:pgSz w:w="11906" w:h="16838"/>
          <w:pgMar w:top="1701" w:right="1417" w:bottom="1417" w:left="1417" w:header="851" w:footer="850" w:gutter="0"/>
          <w:cols w:space="720" w:num="1"/>
          <w:docGrid w:type="lines" w:linePitch="312" w:charSpace="0"/>
        </w:sectPr>
      </w:pPr>
    </w:p>
    <w:p>
      <w:pPr>
        <w:topLinePunct/>
        <w:spacing w:line="586" w:lineRule="exact"/>
        <w:rPr>
          <w:rFonts w:ascii="Times New Roman" w:hAnsi="Times New Roman" w:eastAsia="仿宋_GB2312"/>
          <w:sz w:val="32"/>
          <w:szCs w:val="32"/>
        </w:rPr>
      </w:pPr>
      <w:r>
        <w:rPr>
          <w:rFonts w:ascii="Times New Roman" w:hAnsi="Times New Roman" w:eastAsia="仿宋_GB2312"/>
          <w:sz w:val="32"/>
          <w:szCs w:val="32"/>
        </w:rPr>
        <w:t>附表</w:t>
      </w:r>
    </w:p>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隆回县打好“防范化解风险阻击仗”</w:t>
      </w:r>
      <w:r>
        <w:rPr>
          <w:rFonts w:hint="eastAsia" w:ascii="方正小标宋简体" w:hAnsi="方正小标宋简体" w:eastAsia="方正小标宋简体" w:cs="方正小标宋简体"/>
          <w:kern w:val="0"/>
          <w:sz w:val="44"/>
          <w:szCs w:val="44"/>
        </w:rPr>
        <w:t>重点工作任务责任分解表</w:t>
      </w:r>
    </w:p>
    <w:tbl>
      <w:tblPr>
        <w:tblStyle w:val="6"/>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4016"/>
        <w:gridCol w:w="3982"/>
        <w:gridCol w:w="2740"/>
        <w:gridCol w:w="2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249"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序号</w:t>
            </w:r>
          </w:p>
        </w:tc>
        <w:tc>
          <w:tcPr>
            <w:tcW w:w="1413"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重点工作任务</w:t>
            </w:r>
          </w:p>
        </w:tc>
        <w:tc>
          <w:tcPr>
            <w:tcW w:w="1401"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主要责任单位</w:t>
            </w:r>
          </w:p>
        </w:tc>
        <w:tc>
          <w:tcPr>
            <w:tcW w:w="964" w:type="pct"/>
            <w:noWrap w:val="0"/>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rPr>
              <w:t>责任人</w:t>
            </w:r>
          </w:p>
        </w:tc>
        <w:tc>
          <w:tcPr>
            <w:tcW w:w="971" w:type="pct"/>
            <w:noWrap w:val="0"/>
            <w:vAlign w:val="center"/>
          </w:tcPr>
          <w:p>
            <w:pPr>
              <w:spacing w:line="300" w:lineRule="exact"/>
              <w:jc w:val="center"/>
              <w:textAlignment w:val="center"/>
              <w:rPr>
                <w:rFonts w:ascii="Times New Roman" w:hAnsi="Times New Roman" w:eastAsia="黑体"/>
                <w:szCs w:val="21"/>
              </w:rPr>
            </w:pPr>
            <w:r>
              <w:rPr>
                <w:rFonts w:hint="eastAsia" w:ascii="Times New Roman" w:hAnsi="Times New Roman" w:eastAsia="黑体"/>
                <w:kern w:val="0"/>
                <w:szCs w:val="21"/>
              </w:rPr>
              <w:t>县</w:t>
            </w:r>
            <w:r>
              <w:rPr>
                <w:rFonts w:ascii="Times New Roman" w:hAnsi="Times New Roman" w:eastAsia="黑体"/>
                <w:kern w:val="0"/>
                <w:szCs w:val="21"/>
              </w:rPr>
              <w:t xml:space="preserve">级责任领导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5000" w:type="pct"/>
            <w:gridSpan w:val="5"/>
            <w:noWrap w:val="0"/>
            <w:vAlign w:val="center"/>
          </w:tcPr>
          <w:p>
            <w:pPr>
              <w:spacing w:line="280" w:lineRule="exact"/>
              <w:jc w:val="center"/>
              <w:rPr>
                <w:rFonts w:ascii="Times New Roman" w:hAnsi="Times New Roman"/>
                <w:b/>
                <w:bCs/>
                <w:szCs w:val="21"/>
              </w:rPr>
            </w:pPr>
            <w:r>
              <w:rPr>
                <w:rFonts w:ascii="Times New Roman" w:hAnsi="Times New Roman" w:eastAsia="黑体"/>
                <w:szCs w:val="21"/>
              </w:rPr>
              <w:t>一、防范化解政府债务风险（</w:t>
            </w:r>
            <w:r>
              <w:rPr>
                <w:rFonts w:hint="eastAsia" w:ascii="Times New Roman" w:hAnsi="Times New Roman" w:eastAsia="黑体"/>
                <w:szCs w:val="21"/>
              </w:rPr>
              <w:t>县</w:t>
            </w:r>
            <w:r>
              <w:rPr>
                <w:rFonts w:ascii="Times New Roman" w:hAnsi="Times New Roman" w:eastAsia="黑体"/>
                <w:szCs w:val="21"/>
              </w:rPr>
              <w:t>财政局牵头）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5000" w:type="pct"/>
            <w:gridSpan w:val="5"/>
            <w:noWrap w:val="0"/>
            <w:vAlign w:val="center"/>
          </w:tcPr>
          <w:p>
            <w:pPr>
              <w:spacing w:line="280" w:lineRule="exact"/>
              <w:jc w:val="center"/>
              <w:rPr>
                <w:rFonts w:ascii="Times New Roman" w:hAnsi="Times New Roman"/>
                <w:b/>
                <w:bCs/>
                <w:szCs w:val="21"/>
              </w:rPr>
            </w:pPr>
            <w:r>
              <w:rPr>
                <w:rFonts w:ascii="Times New Roman" w:hAnsi="Times New Roman" w:eastAsia="楷体_GB2312"/>
                <w:szCs w:val="21"/>
              </w:rPr>
              <w:t>（一）严格遏制新增政府隐性债务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249" w:type="pct"/>
            <w:noWrap w:val="0"/>
            <w:vAlign w:val="center"/>
          </w:tcPr>
          <w:p>
            <w:pPr>
              <w:spacing w:line="280" w:lineRule="exact"/>
              <w:jc w:val="center"/>
              <w:rPr>
                <w:rFonts w:ascii="Times New Roman" w:hAnsi="Times New Roman"/>
                <w:szCs w:val="21"/>
              </w:rPr>
            </w:pPr>
            <w:r>
              <w:rPr>
                <w:rFonts w:ascii="Times New Roman" w:hAnsi="Times New Roman"/>
                <w:szCs w:val="21"/>
              </w:rPr>
              <w:t>1</w:t>
            </w:r>
          </w:p>
        </w:tc>
        <w:tc>
          <w:tcPr>
            <w:tcW w:w="1413" w:type="pct"/>
            <w:noWrap w:val="0"/>
            <w:vAlign w:val="center"/>
          </w:tcPr>
          <w:p>
            <w:pPr>
              <w:rPr>
                <w:rFonts w:ascii="Times New Roman" w:hAnsi="Times New Roman"/>
                <w:szCs w:val="21"/>
              </w:rPr>
            </w:pPr>
            <w:r>
              <w:rPr>
                <w:rFonts w:ascii="Times New Roman" w:hAnsi="Times New Roman"/>
                <w:szCs w:val="21"/>
              </w:rPr>
              <w:t>落实规范政府投资项目立项管理办法，执行高风险地区上级财政开工核准制。</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县发改局</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80" w:lineRule="exact"/>
              <w:jc w:val="center"/>
              <w:rPr>
                <w:rFonts w:ascii="Times New Roman" w:hAnsi="Times New Roman"/>
                <w:szCs w:val="21"/>
              </w:rP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彭文波</w:t>
            </w:r>
          </w:p>
          <w:p>
            <w:pPr>
              <w:spacing w:line="280" w:lineRule="exact"/>
              <w:jc w:val="center"/>
              <w:rPr>
                <w:rFonts w:hint="eastAsia" w:ascii="Times New Roman" w:hAnsi="Times New Roman"/>
                <w:szCs w:val="21"/>
              </w:rPr>
            </w:pPr>
            <w:r>
              <w:rPr>
                <w:rFonts w:hint="eastAsia" w:ascii="Times New Roman" w:hAnsi="Times New Roman"/>
                <w:szCs w:val="21"/>
              </w:rPr>
              <w:t>范志海</w:t>
            </w:r>
          </w:p>
          <w:p>
            <w:pPr>
              <w:spacing w:line="280" w:lineRule="exact"/>
              <w:jc w:val="center"/>
              <w:rPr>
                <w:rFonts w:ascii="Times New Roman" w:hAnsi="Times New Roman"/>
                <w:szCs w:val="21"/>
              </w:rP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249" w:type="pct"/>
            <w:noWrap w:val="0"/>
            <w:vAlign w:val="center"/>
          </w:tcPr>
          <w:p>
            <w:pPr>
              <w:spacing w:line="280" w:lineRule="exact"/>
              <w:jc w:val="center"/>
              <w:rPr>
                <w:rFonts w:ascii="Times New Roman" w:hAnsi="Times New Roman"/>
                <w:szCs w:val="21"/>
              </w:rPr>
            </w:pPr>
            <w:r>
              <w:rPr>
                <w:rFonts w:ascii="Times New Roman" w:hAnsi="Times New Roman"/>
                <w:szCs w:val="21"/>
              </w:rPr>
              <w:t>2</w:t>
            </w:r>
          </w:p>
        </w:tc>
        <w:tc>
          <w:tcPr>
            <w:tcW w:w="1413" w:type="pct"/>
            <w:noWrap w:val="0"/>
            <w:vAlign w:val="center"/>
          </w:tcPr>
          <w:p>
            <w:pPr>
              <w:rPr>
                <w:rFonts w:ascii="Times New Roman" w:hAnsi="Times New Roman"/>
                <w:szCs w:val="21"/>
              </w:rPr>
            </w:pPr>
            <w:r>
              <w:rPr>
                <w:rFonts w:ascii="Times New Roman" w:hAnsi="Times New Roman"/>
                <w:szCs w:val="21"/>
              </w:rPr>
              <w:t>深化违规举债和虚假化债专项监督，加大执纪问责力度。加强债务管理工作考核，将防范化解债务风险纳入省委巡视、</w:t>
            </w:r>
            <w:r>
              <w:rPr>
                <w:rFonts w:hint="eastAsia" w:ascii="Times New Roman" w:hAnsi="Times New Roman"/>
                <w:szCs w:val="21"/>
              </w:rPr>
              <w:t>县</w:t>
            </w:r>
            <w:r>
              <w:rPr>
                <w:rFonts w:ascii="Times New Roman" w:hAnsi="Times New Roman"/>
                <w:szCs w:val="21"/>
              </w:rPr>
              <w:t>委巡察、绩效考核、审计等重点工作范围。</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纪委监委</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委巡察办</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80" w:lineRule="exact"/>
              <w:jc w:val="center"/>
              <w:rPr>
                <w:rFonts w:ascii="Times New Roman" w:hAnsi="Times New Roman"/>
                <w:szCs w:val="21"/>
              </w:rPr>
            </w:pPr>
            <w:r>
              <w:rPr>
                <w:rFonts w:hint="eastAsia" w:ascii="Times New Roman" w:hAnsi="Times New Roman"/>
                <w:szCs w:val="21"/>
              </w:rPr>
              <w:t>县发改局</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审计局</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郑小文</w:t>
            </w:r>
          </w:p>
          <w:p>
            <w:pPr>
              <w:spacing w:line="280" w:lineRule="exact"/>
              <w:jc w:val="center"/>
              <w:rPr>
                <w:rFonts w:hint="eastAsia" w:ascii="Times New Roman" w:hAnsi="Times New Roman"/>
                <w:szCs w:val="21"/>
              </w:rPr>
            </w:pPr>
            <w:r>
              <w:rPr>
                <w:rFonts w:hint="eastAsia" w:ascii="Times New Roman" w:hAnsi="Times New Roman"/>
                <w:szCs w:val="21"/>
              </w:rPr>
              <w:t>肖拥军</w:t>
            </w:r>
          </w:p>
          <w:p>
            <w:pPr>
              <w:spacing w:line="280" w:lineRule="exact"/>
              <w:jc w:val="center"/>
              <w:rPr>
                <w:rFonts w:hint="eastAsia" w:ascii="Times New Roman" w:hAnsi="Times New Roman"/>
                <w:szCs w:val="21"/>
              </w:rPr>
            </w:pPr>
            <w:r>
              <w:rPr>
                <w:rFonts w:hint="eastAsia" w:ascii="Times New Roman" w:hAnsi="Times New Roman"/>
                <w:szCs w:val="21"/>
              </w:rPr>
              <w:t>范志海</w:t>
            </w:r>
          </w:p>
          <w:p>
            <w:pPr>
              <w:spacing w:line="280" w:lineRule="exact"/>
              <w:jc w:val="center"/>
              <w:rPr>
                <w:rFonts w:hint="eastAsia" w:ascii="Times New Roman" w:hAnsi="Times New Roman"/>
                <w:szCs w:val="21"/>
              </w:rPr>
            </w:pPr>
            <w:r>
              <w:rPr>
                <w:rFonts w:hint="eastAsia" w:ascii="Times New Roman" w:hAnsi="Times New Roman"/>
                <w:szCs w:val="21"/>
              </w:rPr>
              <w:t>彭文波</w:t>
            </w:r>
          </w:p>
          <w:p>
            <w:pPr>
              <w:spacing w:line="280" w:lineRule="exact"/>
              <w:jc w:val="center"/>
              <w:rPr>
                <w:rFonts w:ascii="Times New Roman" w:hAnsi="Times New Roman"/>
                <w:szCs w:val="21"/>
              </w:rPr>
            </w:pPr>
            <w:r>
              <w:rPr>
                <w:rFonts w:hint="eastAsia" w:ascii="Times New Roman" w:hAnsi="Times New Roman"/>
                <w:szCs w:val="21"/>
              </w:rPr>
              <w:t>邱武隆</w:t>
            </w:r>
          </w:p>
        </w:tc>
        <w:tc>
          <w:tcPr>
            <w:tcW w:w="971"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陆海涛</w:t>
            </w:r>
          </w:p>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5000" w:type="pct"/>
            <w:gridSpan w:val="5"/>
            <w:noWrap w:val="0"/>
            <w:vAlign w:val="center"/>
          </w:tcPr>
          <w:p>
            <w:pPr>
              <w:spacing w:line="280" w:lineRule="exact"/>
              <w:jc w:val="center"/>
              <w:rPr>
                <w:rFonts w:ascii="Times New Roman" w:hAnsi="Times New Roman"/>
                <w:b/>
                <w:bCs/>
                <w:szCs w:val="21"/>
              </w:rPr>
            </w:pPr>
            <w:r>
              <w:rPr>
                <w:rFonts w:ascii="Times New Roman" w:hAnsi="Times New Roman" w:eastAsia="楷体_GB2312"/>
                <w:szCs w:val="21"/>
              </w:rPr>
              <w:t>（二）多措并举化解存量债务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jc w:val="center"/>
        </w:trPr>
        <w:tc>
          <w:tcPr>
            <w:tcW w:w="249" w:type="pct"/>
            <w:noWrap w:val="0"/>
            <w:vAlign w:val="center"/>
          </w:tcPr>
          <w:p>
            <w:pPr>
              <w:spacing w:line="280" w:lineRule="exact"/>
              <w:jc w:val="center"/>
              <w:rPr>
                <w:rFonts w:ascii="Times New Roman" w:hAnsi="Times New Roman"/>
                <w:szCs w:val="21"/>
              </w:rPr>
            </w:pPr>
            <w:r>
              <w:rPr>
                <w:rFonts w:ascii="Times New Roman" w:hAnsi="Times New Roman"/>
                <w:szCs w:val="21"/>
              </w:rPr>
              <w:t>3</w:t>
            </w:r>
          </w:p>
        </w:tc>
        <w:tc>
          <w:tcPr>
            <w:tcW w:w="1413" w:type="pct"/>
            <w:noWrap w:val="0"/>
            <w:vAlign w:val="center"/>
          </w:tcPr>
          <w:p>
            <w:pPr>
              <w:spacing w:line="260" w:lineRule="exact"/>
              <w:rPr>
                <w:rFonts w:ascii="Times New Roman" w:hAnsi="Times New Roman"/>
                <w:szCs w:val="21"/>
              </w:rPr>
            </w:pPr>
            <w:r>
              <w:rPr>
                <w:rFonts w:ascii="Times New Roman" w:hAnsi="Times New Roman"/>
                <w:szCs w:val="21"/>
              </w:rPr>
              <w:t>组织各级多渠道筹集资金化解债务，优先保障付息，严禁虚假化债和数字化债。落实化债部门责任制。</w:t>
            </w:r>
          </w:p>
        </w:tc>
        <w:tc>
          <w:tcPr>
            <w:tcW w:w="1401" w:type="pct"/>
            <w:noWrap w:val="0"/>
            <w:vAlign w:val="center"/>
          </w:tcPr>
          <w:p>
            <w:pPr>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60" w:lineRule="exact"/>
              <w:jc w:val="center"/>
              <w:rPr>
                <w:rFonts w:ascii="Times New Roman" w:hAnsi="Times New Roman"/>
                <w:szCs w:val="21"/>
              </w:rPr>
            </w:pPr>
            <w:r>
              <w:rPr>
                <w:rFonts w:hint="eastAsia" w:ascii="Times New Roman" w:hAnsi="Times New Roman"/>
                <w:szCs w:val="21"/>
              </w:rPr>
              <w:t>县高新区管委会</w:t>
            </w:r>
          </w:p>
          <w:p>
            <w:pPr>
              <w:spacing w:line="260" w:lineRule="exact"/>
              <w:jc w:val="center"/>
              <w:rPr>
                <w:rFonts w:ascii="Times New Roman" w:hAnsi="Times New Roman"/>
                <w:szCs w:val="21"/>
              </w:rPr>
            </w:pPr>
            <w:r>
              <w:rPr>
                <w:rFonts w:hint="eastAsia" w:ascii="Times New Roman" w:hAnsi="Times New Roman"/>
                <w:szCs w:val="21"/>
              </w:rPr>
              <w:t>县重点建设项目事务中心</w:t>
            </w:r>
          </w:p>
          <w:p>
            <w:pPr>
              <w:spacing w:line="260" w:lineRule="exact"/>
              <w:jc w:val="center"/>
              <w:rPr>
                <w:rFonts w:ascii="Times New Roman" w:hAnsi="Times New Roman"/>
                <w:szCs w:val="21"/>
              </w:rP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直部门等</w:t>
            </w:r>
          </w:p>
        </w:tc>
        <w:tc>
          <w:tcPr>
            <w:tcW w:w="964"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范志海</w:t>
            </w:r>
          </w:p>
          <w:p>
            <w:pPr>
              <w:spacing w:line="260" w:lineRule="exact"/>
              <w:jc w:val="center"/>
              <w:rPr>
                <w:rFonts w:hint="eastAsia" w:ascii="Times New Roman" w:hAnsi="Times New Roman"/>
                <w:szCs w:val="21"/>
              </w:rPr>
            </w:pPr>
            <w:r>
              <w:rPr>
                <w:rFonts w:hint="eastAsia" w:ascii="Times New Roman" w:hAnsi="Times New Roman"/>
                <w:szCs w:val="21"/>
              </w:rPr>
              <w:t>谭小菊</w:t>
            </w:r>
          </w:p>
          <w:p>
            <w:pPr>
              <w:spacing w:line="260" w:lineRule="exact"/>
              <w:jc w:val="center"/>
              <w:rPr>
                <w:rFonts w:hint="eastAsia" w:ascii="Times New Roman" w:hAnsi="Times New Roman"/>
                <w:szCs w:val="21"/>
              </w:rPr>
            </w:pPr>
            <w:r>
              <w:rPr>
                <w:rFonts w:hint="eastAsia" w:ascii="Times New Roman" w:hAnsi="Times New Roman"/>
                <w:szCs w:val="21"/>
              </w:rPr>
              <w:t>谭承志</w:t>
            </w:r>
          </w:p>
          <w:p>
            <w:pPr>
              <w:spacing w:line="260" w:lineRule="exact"/>
              <w:jc w:val="center"/>
              <w:rPr>
                <w:rFonts w:ascii="Times New Roman" w:hAnsi="Times New Roman"/>
                <w:szCs w:val="21"/>
              </w:rPr>
            </w:pPr>
            <w:r>
              <w:rPr>
                <w:rFonts w:hint="eastAsia" w:ascii="Times New Roman" w:hAnsi="Times New Roman"/>
                <w:szCs w:val="21"/>
              </w:rPr>
              <w:t>相关县</w:t>
            </w:r>
            <w:r>
              <w:rPr>
                <w:rFonts w:ascii="Times New Roman" w:hAnsi="Times New Roman"/>
                <w:szCs w:val="21"/>
              </w:rPr>
              <w:t>直部门主要负责人</w:t>
            </w:r>
          </w:p>
        </w:tc>
        <w:tc>
          <w:tcPr>
            <w:tcW w:w="971"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王兰鹏</w:t>
            </w:r>
          </w:p>
          <w:p>
            <w:pPr>
              <w:spacing w:line="260" w:lineRule="exact"/>
              <w:jc w:val="center"/>
              <w:rPr>
                <w:rFonts w:hint="eastAsia" w:ascii="Times New Roman" w:hAnsi="Times New Roman"/>
                <w:szCs w:val="21"/>
              </w:rPr>
            </w:pPr>
            <w:r>
              <w:rPr>
                <w:rFonts w:hint="eastAsia" w:ascii="Times New Roman" w:hAnsi="Times New Roman"/>
                <w:szCs w:val="21"/>
              </w:rPr>
              <w:t>刘咏波</w:t>
            </w:r>
          </w:p>
          <w:p>
            <w:pPr>
              <w:spacing w:line="26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5000" w:type="pct"/>
            <w:gridSpan w:val="5"/>
            <w:noWrap w:val="0"/>
            <w:vAlign w:val="center"/>
          </w:tcPr>
          <w:p>
            <w:pPr>
              <w:spacing w:line="260" w:lineRule="exact"/>
              <w:jc w:val="center"/>
              <w:rPr>
                <w:rFonts w:ascii="Times New Roman" w:hAnsi="Times New Roman"/>
                <w:b/>
                <w:bCs/>
                <w:szCs w:val="21"/>
              </w:rPr>
            </w:pPr>
            <w:r>
              <w:rPr>
                <w:rFonts w:ascii="Times New Roman" w:hAnsi="Times New Roman" w:eastAsia="楷体_GB2312"/>
                <w:szCs w:val="21"/>
              </w:rPr>
              <w:t>（三）常态化监测预警债务风险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noWrap w:val="0"/>
            <w:vAlign w:val="center"/>
          </w:tcPr>
          <w:p>
            <w:pPr>
              <w:spacing w:line="280" w:lineRule="exact"/>
              <w:jc w:val="center"/>
              <w:rPr>
                <w:rFonts w:ascii="Times New Roman" w:hAnsi="Times New Roman"/>
                <w:szCs w:val="21"/>
              </w:rPr>
            </w:pPr>
            <w:r>
              <w:rPr>
                <w:rFonts w:ascii="Times New Roman" w:hAnsi="Times New Roman"/>
                <w:szCs w:val="21"/>
              </w:rPr>
              <w:t>4</w:t>
            </w:r>
          </w:p>
        </w:tc>
        <w:tc>
          <w:tcPr>
            <w:tcW w:w="1413" w:type="pct"/>
            <w:noWrap w:val="0"/>
            <w:vAlign w:val="center"/>
          </w:tcPr>
          <w:p>
            <w:pPr>
              <w:spacing w:line="260" w:lineRule="exact"/>
              <w:rPr>
                <w:rFonts w:ascii="Times New Roman" w:hAnsi="Times New Roman"/>
                <w:szCs w:val="21"/>
              </w:rPr>
            </w:pPr>
            <w:r>
              <w:rPr>
                <w:rFonts w:ascii="Times New Roman" w:hAnsi="Times New Roman"/>
                <w:szCs w:val="21"/>
              </w:rPr>
              <w:t>健全常态化债务监测机制，及时开展债务风险评估预警。发挥政信资源引导作用，协调金融机构运用</w:t>
            </w:r>
            <w:r>
              <w:rPr>
                <w:rFonts w:hint="eastAsia" w:ascii="Times New Roman" w:hAnsi="Times New Roman"/>
                <w:szCs w:val="21"/>
              </w:rPr>
              <w:t>“</w:t>
            </w:r>
            <w:r>
              <w:rPr>
                <w:rFonts w:ascii="Times New Roman" w:hAnsi="Times New Roman"/>
                <w:szCs w:val="21"/>
              </w:rPr>
              <w:t>六个一批</w:t>
            </w:r>
            <w:r>
              <w:rPr>
                <w:rFonts w:hint="eastAsia" w:ascii="Times New Roman" w:hAnsi="Times New Roman"/>
                <w:szCs w:val="21"/>
              </w:rPr>
              <w:t>”</w:t>
            </w:r>
            <w:r>
              <w:rPr>
                <w:rFonts w:ascii="Times New Roman" w:hAnsi="Times New Roman"/>
                <w:szCs w:val="21"/>
              </w:rPr>
              <w:t>措施缓释到期债务风险。</w:t>
            </w:r>
          </w:p>
        </w:tc>
        <w:tc>
          <w:tcPr>
            <w:tcW w:w="1401" w:type="pct"/>
            <w:noWrap w:val="0"/>
            <w:vAlign w:val="center"/>
          </w:tcPr>
          <w:p>
            <w:pPr>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60" w:lineRule="exact"/>
              <w:jc w:val="center"/>
              <w:rPr>
                <w:rFonts w:ascii="Times New Roman" w:hAnsi="Times New Roman"/>
                <w:szCs w:val="21"/>
              </w:rPr>
            </w:pPr>
            <w:r>
              <w:rPr>
                <w:rFonts w:hint="eastAsia" w:ascii="Times New Roman" w:hAnsi="Times New Roman"/>
                <w:szCs w:val="21"/>
              </w:rPr>
              <w:t>县政府金融办</w:t>
            </w:r>
          </w:p>
          <w:p>
            <w:pPr>
              <w:spacing w:line="260" w:lineRule="exact"/>
              <w:jc w:val="center"/>
              <w:rPr>
                <w:rFonts w:ascii="Times New Roman" w:hAnsi="Times New Roman"/>
                <w:szCs w:val="21"/>
              </w:rPr>
            </w:pPr>
            <w:r>
              <w:rPr>
                <w:rFonts w:hint="eastAsia" w:ascii="Times New Roman" w:hAnsi="Times New Roman"/>
                <w:szCs w:val="21"/>
              </w:rPr>
              <w:t>人民银行隆回支行</w:t>
            </w:r>
          </w:p>
          <w:p>
            <w:pPr>
              <w:spacing w:line="260" w:lineRule="exact"/>
              <w:jc w:val="center"/>
              <w:rPr>
                <w:rFonts w:hint="eastAsia" w:ascii="Times New Roman" w:hAnsi="Times New Roman"/>
                <w:szCs w:val="21"/>
              </w:rPr>
            </w:pPr>
            <w:r>
              <w:rPr>
                <w:rFonts w:hint="eastAsia" w:ascii="Times New Roman" w:hAnsi="Times New Roman"/>
                <w:szCs w:val="21"/>
              </w:rPr>
              <w:t>县高新区管委会</w:t>
            </w:r>
          </w:p>
          <w:p>
            <w:pPr>
              <w:spacing w:line="260" w:lineRule="exact"/>
              <w:jc w:val="center"/>
              <w:rPr>
                <w:rFonts w:ascii="Times New Roman" w:hAnsi="Times New Roman"/>
                <w:szCs w:val="21"/>
              </w:rPr>
            </w:pPr>
            <w:r>
              <w:rPr>
                <w:rFonts w:hint="eastAsia" w:ascii="Times New Roman" w:hAnsi="Times New Roman"/>
                <w:szCs w:val="21"/>
              </w:rPr>
              <w:t>县重点建设项目事务中心</w:t>
            </w:r>
          </w:p>
          <w:p>
            <w:pPr>
              <w:spacing w:line="260" w:lineRule="exact"/>
              <w:jc w:val="cente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直部门等</w:t>
            </w:r>
          </w:p>
        </w:tc>
        <w:tc>
          <w:tcPr>
            <w:tcW w:w="964"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范志海</w:t>
            </w:r>
          </w:p>
          <w:p>
            <w:pPr>
              <w:spacing w:line="260" w:lineRule="exact"/>
              <w:jc w:val="center"/>
              <w:rPr>
                <w:rFonts w:hint="eastAsia" w:ascii="Times New Roman" w:hAnsi="Times New Roman"/>
                <w:szCs w:val="21"/>
              </w:rPr>
            </w:pPr>
            <w:r>
              <w:rPr>
                <w:rFonts w:hint="eastAsia" w:ascii="Times New Roman" w:hAnsi="Times New Roman"/>
                <w:szCs w:val="21"/>
              </w:rPr>
              <w:t>陈建军</w:t>
            </w:r>
          </w:p>
          <w:p>
            <w:pPr>
              <w:spacing w:line="260" w:lineRule="exact"/>
              <w:jc w:val="center"/>
              <w:rPr>
                <w:rFonts w:hint="eastAsia" w:ascii="Times New Roman" w:hAnsi="Times New Roman"/>
                <w:szCs w:val="21"/>
              </w:rPr>
            </w:pPr>
            <w:r>
              <w:rPr>
                <w:rFonts w:hint="eastAsia" w:ascii="Times New Roman" w:hAnsi="Times New Roman"/>
                <w:szCs w:val="21"/>
              </w:rPr>
              <w:t>刘伟雄</w:t>
            </w:r>
          </w:p>
          <w:p>
            <w:pPr>
              <w:spacing w:line="260" w:lineRule="exact"/>
              <w:jc w:val="center"/>
              <w:rPr>
                <w:rFonts w:hint="eastAsia" w:ascii="Times New Roman" w:hAnsi="Times New Roman"/>
                <w:szCs w:val="21"/>
              </w:rPr>
            </w:pPr>
            <w:r>
              <w:rPr>
                <w:rFonts w:hint="eastAsia" w:ascii="Times New Roman" w:hAnsi="Times New Roman"/>
                <w:szCs w:val="21"/>
              </w:rPr>
              <w:t>谭小菊</w:t>
            </w:r>
          </w:p>
          <w:p>
            <w:pPr>
              <w:spacing w:line="260" w:lineRule="exact"/>
              <w:jc w:val="center"/>
              <w:rPr>
                <w:rFonts w:hint="eastAsia" w:ascii="Times New Roman" w:hAnsi="Times New Roman"/>
                <w:szCs w:val="21"/>
              </w:rPr>
            </w:pPr>
            <w:r>
              <w:rPr>
                <w:rFonts w:hint="eastAsia" w:ascii="Times New Roman" w:hAnsi="Times New Roman"/>
                <w:szCs w:val="21"/>
              </w:rPr>
              <w:t>谭承志</w:t>
            </w:r>
          </w:p>
          <w:p>
            <w:pPr>
              <w:spacing w:line="260" w:lineRule="exact"/>
              <w:jc w:val="center"/>
            </w:pPr>
            <w:r>
              <w:rPr>
                <w:rFonts w:hint="eastAsia" w:ascii="Times New Roman" w:hAnsi="Times New Roman"/>
                <w:szCs w:val="21"/>
              </w:rPr>
              <w:t>相关县</w:t>
            </w:r>
            <w:r>
              <w:rPr>
                <w:rFonts w:ascii="Times New Roman" w:hAnsi="Times New Roman"/>
                <w:szCs w:val="21"/>
              </w:rPr>
              <w:t>直部门主要负责人</w:t>
            </w:r>
          </w:p>
        </w:tc>
        <w:tc>
          <w:tcPr>
            <w:tcW w:w="971"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王兰鹏</w:t>
            </w:r>
          </w:p>
          <w:p>
            <w:pPr>
              <w:spacing w:line="260" w:lineRule="exact"/>
              <w:jc w:val="center"/>
              <w:rPr>
                <w:rFonts w:hint="eastAsia" w:ascii="Times New Roman" w:hAnsi="Times New Roman"/>
                <w:szCs w:val="21"/>
              </w:rPr>
            </w:pPr>
            <w:r>
              <w:rPr>
                <w:rFonts w:hint="eastAsia" w:ascii="Times New Roman" w:hAnsi="Times New Roman"/>
                <w:szCs w:val="21"/>
              </w:rPr>
              <w:t>刘咏波</w:t>
            </w:r>
          </w:p>
          <w:p>
            <w:pPr>
              <w:spacing w:line="26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noWrap w:val="0"/>
            <w:vAlign w:val="center"/>
          </w:tcPr>
          <w:p>
            <w:pPr>
              <w:spacing w:line="280" w:lineRule="exact"/>
              <w:jc w:val="center"/>
              <w:rPr>
                <w:rFonts w:ascii="Times New Roman" w:hAnsi="Times New Roman"/>
                <w:szCs w:val="21"/>
              </w:rPr>
            </w:pPr>
            <w:r>
              <w:rPr>
                <w:rFonts w:ascii="Times New Roman" w:hAnsi="Times New Roman"/>
                <w:szCs w:val="21"/>
              </w:rPr>
              <w:t>5</w:t>
            </w:r>
          </w:p>
        </w:tc>
        <w:tc>
          <w:tcPr>
            <w:tcW w:w="1413" w:type="pct"/>
            <w:noWrap w:val="0"/>
            <w:vAlign w:val="center"/>
          </w:tcPr>
          <w:p>
            <w:pPr>
              <w:spacing w:line="260" w:lineRule="exact"/>
              <w:rPr>
                <w:rFonts w:ascii="Times New Roman" w:hAnsi="Times New Roman"/>
                <w:szCs w:val="21"/>
              </w:rPr>
            </w:pPr>
            <w:r>
              <w:rPr>
                <w:rFonts w:ascii="Times New Roman" w:hAnsi="Times New Roman"/>
                <w:szCs w:val="21"/>
              </w:rPr>
              <w:t>持续做好债务舆情监测处置工作。</w:t>
            </w:r>
          </w:p>
        </w:tc>
        <w:tc>
          <w:tcPr>
            <w:tcW w:w="1401" w:type="pct"/>
            <w:noWrap w:val="0"/>
            <w:vAlign w:val="center"/>
          </w:tcPr>
          <w:p>
            <w:pPr>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委网信办</w:t>
            </w:r>
          </w:p>
          <w:p>
            <w:pPr>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60" w:lineRule="exact"/>
              <w:jc w:val="center"/>
              <w:rPr>
                <w:rFonts w:ascii="Times New Roman" w:hAnsi="Times New Roman"/>
                <w:szCs w:val="21"/>
              </w:rPr>
            </w:pPr>
            <w:r>
              <w:rPr>
                <w:rFonts w:hint="eastAsia" w:ascii="Times New Roman" w:hAnsi="Times New Roman"/>
                <w:szCs w:val="21"/>
              </w:rPr>
              <w:t>县高新区管委会</w:t>
            </w:r>
          </w:p>
          <w:p>
            <w:pPr>
              <w:spacing w:line="260" w:lineRule="exact"/>
              <w:jc w:val="center"/>
              <w:rPr>
                <w:rFonts w:ascii="Times New Roman" w:hAnsi="Times New Roman"/>
                <w:szCs w:val="21"/>
              </w:rPr>
            </w:pPr>
            <w:r>
              <w:rPr>
                <w:rFonts w:hint="eastAsia" w:ascii="Times New Roman" w:hAnsi="Times New Roman"/>
                <w:szCs w:val="21"/>
              </w:rPr>
              <w:t>县重点建设项目事务中心</w:t>
            </w:r>
          </w:p>
        </w:tc>
        <w:tc>
          <w:tcPr>
            <w:tcW w:w="964"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杨力岸</w:t>
            </w:r>
          </w:p>
          <w:p>
            <w:pPr>
              <w:spacing w:line="260" w:lineRule="exact"/>
              <w:jc w:val="center"/>
              <w:rPr>
                <w:rFonts w:hint="eastAsia" w:ascii="Times New Roman" w:hAnsi="Times New Roman"/>
                <w:szCs w:val="21"/>
              </w:rPr>
            </w:pPr>
            <w:r>
              <w:rPr>
                <w:rFonts w:hint="eastAsia" w:ascii="Times New Roman" w:hAnsi="Times New Roman"/>
                <w:szCs w:val="21"/>
              </w:rPr>
              <w:t>范志海</w:t>
            </w:r>
          </w:p>
          <w:p>
            <w:pPr>
              <w:spacing w:line="260" w:lineRule="exact"/>
              <w:jc w:val="center"/>
              <w:rPr>
                <w:rFonts w:hint="eastAsia" w:ascii="Times New Roman" w:hAnsi="Times New Roman"/>
                <w:szCs w:val="21"/>
              </w:rPr>
            </w:pPr>
            <w:r>
              <w:rPr>
                <w:rFonts w:hint="eastAsia" w:ascii="Times New Roman" w:hAnsi="Times New Roman"/>
                <w:szCs w:val="21"/>
              </w:rPr>
              <w:t>谭小菊</w:t>
            </w:r>
          </w:p>
          <w:p>
            <w:pPr>
              <w:spacing w:line="260" w:lineRule="exact"/>
              <w:jc w:val="center"/>
              <w:rPr>
                <w:rFonts w:ascii="Times New Roman" w:hAnsi="Times New Roman"/>
                <w:szCs w:val="21"/>
              </w:rPr>
            </w:pPr>
            <w:r>
              <w:rPr>
                <w:rFonts w:hint="eastAsia" w:ascii="Times New Roman" w:hAnsi="Times New Roman"/>
                <w:szCs w:val="21"/>
              </w:rPr>
              <w:t>谭承志</w:t>
            </w:r>
          </w:p>
        </w:tc>
        <w:tc>
          <w:tcPr>
            <w:tcW w:w="971" w:type="pct"/>
            <w:noWrap w:val="0"/>
            <w:vAlign w:val="center"/>
          </w:tcPr>
          <w:p>
            <w:pPr>
              <w:spacing w:line="260" w:lineRule="exact"/>
              <w:jc w:val="center"/>
              <w:rPr>
                <w:rFonts w:hint="eastAsia" w:ascii="Times New Roman" w:hAnsi="Times New Roman"/>
                <w:szCs w:val="21"/>
              </w:rPr>
            </w:pPr>
            <w:r>
              <w:rPr>
                <w:rFonts w:hint="eastAsia" w:ascii="Times New Roman" w:hAnsi="Times New Roman"/>
                <w:szCs w:val="21"/>
              </w:rPr>
              <w:t>王兰鹏</w:t>
            </w:r>
          </w:p>
          <w:p>
            <w:pPr>
              <w:spacing w:line="260" w:lineRule="exact"/>
              <w:jc w:val="center"/>
              <w:rPr>
                <w:rFonts w:hint="eastAsia" w:ascii="Times New Roman" w:hAnsi="Times New Roman"/>
                <w:szCs w:val="21"/>
              </w:rPr>
            </w:pPr>
            <w:r>
              <w:rPr>
                <w:rFonts w:hint="eastAsia" w:ascii="Times New Roman" w:hAnsi="Times New Roman"/>
                <w:szCs w:val="21"/>
              </w:rPr>
              <w:t>刘咏波</w:t>
            </w:r>
          </w:p>
          <w:p>
            <w:pPr>
              <w:spacing w:line="26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spacing w:line="260" w:lineRule="exact"/>
              <w:jc w:val="center"/>
              <w:rPr>
                <w:rFonts w:ascii="Times New Roman" w:hAnsi="Times New Roman"/>
                <w:b/>
                <w:bCs/>
                <w:szCs w:val="21"/>
              </w:rPr>
            </w:pPr>
            <w:r>
              <w:rPr>
                <w:rFonts w:ascii="Times New Roman" w:hAnsi="Times New Roman" w:eastAsia="楷体_GB2312"/>
                <w:szCs w:val="21"/>
              </w:rPr>
              <w:t>（四）加强政府债券管理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tcBorders>
              <w:right w:val="single" w:color="auto" w:sz="4" w:space="0"/>
            </w:tcBorders>
            <w:noWrap w:val="0"/>
            <w:vAlign w:val="center"/>
          </w:tcPr>
          <w:p>
            <w:pPr>
              <w:spacing w:line="280" w:lineRule="exact"/>
              <w:jc w:val="center"/>
              <w:rPr>
                <w:rFonts w:ascii="Times New Roman" w:hAnsi="Times New Roman"/>
                <w:szCs w:val="21"/>
              </w:rPr>
            </w:pPr>
            <w:r>
              <w:rPr>
                <w:rFonts w:ascii="Times New Roman" w:hAnsi="Times New Roman"/>
                <w:szCs w:val="21"/>
              </w:rPr>
              <w:t>6</w:t>
            </w:r>
          </w:p>
        </w:tc>
        <w:tc>
          <w:tcPr>
            <w:tcW w:w="1413" w:type="pct"/>
            <w:tcBorders>
              <w:left w:val="single" w:color="auto" w:sz="4" w:space="0"/>
            </w:tcBorders>
            <w:noWrap w:val="0"/>
            <w:vAlign w:val="center"/>
          </w:tcPr>
          <w:p>
            <w:pPr>
              <w:spacing w:line="260" w:lineRule="exact"/>
              <w:rPr>
                <w:rFonts w:ascii="Times New Roman" w:hAnsi="Times New Roman"/>
                <w:szCs w:val="21"/>
              </w:rPr>
            </w:pPr>
            <w:r>
              <w:rPr>
                <w:rFonts w:ascii="Times New Roman" w:hAnsi="Times New Roman"/>
                <w:szCs w:val="21"/>
              </w:rPr>
              <w:t>聚焦短板领域、重点方向、重大项目，储备优质债券项目，特别是做好2023年补充批次项目申报。加快政府债券资金使用进度，加强专项债券投后管理，落实专项债券穿透式监测有关要求。</w:t>
            </w:r>
          </w:p>
        </w:tc>
        <w:tc>
          <w:tcPr>
            <w:tcW w:w="1401" w:type="pct"/>
            <w:noWrap w:val="0"/>
            <w:vAlign w:val="center"/>
          </w:tcPr>
          <w:p>
            <w:pPr>
              <w:spacing w:line="260" w:lineRule="exact"/>
              <w:jc w:val="center"/>
              <w:rPr>
                <w:rFonts w:ascii="Times New Roman" w:hAnsi="Times New Roman"/>
                <w:szCs w:val="21"/>
              </w:rPr>
            </w:pPr>
            <w:r>
              <w:rPr>
                <w:rFonts w:hint="eastAsia" w:ascii="Times New Roman" w:hAnsi="Times New Roman"/>
                <w:szCs w:val="21"/>
              </w:rPr>
              <w:t>县发改局</w:t>
            </w:r>
          </w:p>
          <w:p>
            <w:pPr>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60" w:lineRule="exact"/>
              <w:jc w:val="center"/>
              <w:rPr>
                <w:rFonts w:ascii="Times New Roman" w:hAnsi="Times New Roman"/>
                <w:szCs w:val="21"/>
              </w:rP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直部门及项目单位</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彭文波</w:t>
            </w:r>
          </w:p>
          <w:p>
            <w:pPr>
              <w:spacing w:line="260" w:lineRule="exact"/>
              <w:jc w:val="center"/>
              <w:rPr>
                <w:rFonts w:hint="eastAsia"/>
              </w:rPr>
            </w:pPr>
            <w:r>
              <w:rPr>
                <w:rFonts w:hint="eastAsia" w:ascii="Times New Roman" w:hAnsi="Times New Roman"/>
                <w:szCs w:val="21"/>
              </w:rPr>
              <w:t>范志海</w:t>
            </w:r>
          </w:p>
          <w:p>
            <w:pPr>
              <w:spacing w:line="260" w:lineRule="exact"/>
              <w:jc w:val="center"/>
              <w:rPr>
                <w:rFonts w:ascii="Times New Roman" w:hAnsi="Times New Roman"/>
                <w:szCs w:val="21"/>
              </w:rPr>
            </w:pPr>
            <w:r>
              <w:rPr>
                <w:rFonts w:ascii="Times New Roman" w:hAnsi="Times New Roman"/>
                <w:szCs w:val="21"/>
              </w:rPr>
              <w:t>相关</w:t>
            </w:r>
            <w:r>
              <w:rPr>
                <w:rFonts w:hint="eastAsia" w:ascii="Times New Roman" w:hAnsi="Times New Roman"/>
                <w:szCs w:val="21"/>
              </w:rPr>
              <w:t>县</w:t>
            </w:r>
            <w:r>
              <w:rPr>
                <w:rFonts w:ascii="Times New Roman" w:hAnsi="Times New Roman"/>
                <w:szCs w:val="21"/>
              </w:rPr>
              <w:t>直部门及项目单位主要负责人</w:t>
            </w:r>
          </w:p>
        </w:tc>
        <w:tc>
          <w:tcPr>
            <w:tcW w:w="971" w:type="pct"/>
            <w:noWrap w:val="0"/>
            <w:vAlign w:val="center"/>
          </w:tcPr>
          <w:p>
            <w:pPr>
              <w:spacing w:line="26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tcBorders>
              <w:right w:val="single" w:color="auto" w:sz="4" w:space="0"/>
            </w:tcBorders>
            <w:noWrap w:val="0"/>
            <w:vAlign w:val="center"/>
          </w:tcPr>
          <w:p>
            <w:pPr>
              <w:spacing w:line="280" w:lineRule="exact"/>
              <w:jc w:val="center"/>
              <w:rPr>
                <w:rFonts w:ascii="Times New Roman" w:hAnsi="Times New Roman"/>
                <w:szCs w:val="21"/>
              </w:rPr>
            </w:pPr>
            <w:r>
              <w:rPr>
                <w:rFonts w:ascii="Times New Roman" w:hAnsi="Times New Roman"/>
                <w:szCs w:val="21"/>
              </w:rPr>
              <w:t>7</w:t>
            </w:r>
          </w:p>
        </w:tc>
        <w:tc>
          <w:tcPr>
            <w:tcW w:w="1413" w:type="pct"/>
            <w:tcBorders>
              <w:left w:val="single" w:color="auto" w:sz="4" w:space="0"/>
            </w:tcBorders>
            <w:noWrap w:val="0"/>
            <w:vAlign w:val="center"/>
          </w:tcPr>
          <w:p>
            <w:pPr>
              <w:spacing w:line="260" w:lineRule="exact"/>
              <w:rPr>
                <w:rFonts w:ascii="Times New Roman" w:hAnsi="Times New Roman"/>
                <w:szCs w:val="21"/>
              </w:rPr>
            </w:pPr>
            <w:r>
              <w:rPr>
                <w:rFonts w:ascii="Times New Roman" w:hAnsi="Times New Roman"/>
                <w:szCs w:val="21"/>
              </w:rPr>
              <w:t>争取省财政厅对我</w:t>
            </w:r>
            <w:r>
              <w:rPr>
                <w:rFonts w:hint="eastAsia" w:ascii="Times New Roman" w:hAnsi="Times New Roman"/>
                <w:szCs w:val="21"/>
              </w:rPr>
              <w:t>县</w:t>
            </w:r>
            <w:r>
              <w:rPr>
                <w:rFonts w:ascii="Times New Roman" w:hAnsi="Times New Roman"/>
                <w:szCs w:val="21"/>
              </w:rPr>
              <w:t>政府债券限额分配支持，争取2023年不低于过去三年的平均水平。确保政府债券顺利发行。按时足额还本付息，确保法定债券不出风险。</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80" w:lineRule="exact"/>
              <w:jc w:val="center"/>
              <w:rPr>
                <w:rFonts w:ascii="Times New Roman" w:hAnsi="Times New Roman"/>
                <w:szCs w:val="21"/>
              </w:rPr>
            </w:pPr>
            <w:r>
              <w:rPr>
                <w:rFonts w:hint="eastAsia" w:ascii="Times New Roman" w:hAnsi="Times New Roman"/>
                <w:szCs w:val="21"/>
              </w:rPr>
              <w:t>县发改局</w:t>
            </w:r>
          </w:p>
          <w:p>
            <w:pPr>
              <w:spacing w:line="280" w:lineRule="exact"/>
              <w:jc w:val="center"/>
              <w:rPr>
                <w:rFonts w:ascii="Times New Roman" w:hAnsi="Times New Roman"/>
                <w:szCs w:val="21"/>
              </w:rPr>
            </w:pPr>
            <w:r>
              <w:rPr>
                <w:rFonts w:ascii="Times New Roman" w:hAnsi="Times New Roman"/>
                <w:szCs w:val="21"/>
              </w:rPr>
              <w:t>专项债券项目相关</w:t>
            </w:r>
            <w:r>
              <w:rPr>
                <w:rFonts w:hint="eastAsia" w:ascii="Times New Roman" w:hAnsi="Times New Roman"/>
                <w:szCs w:val="21"/>
              </w:rPr>
              <w:t>县</w:t>
            </w:r>
            <w:r>
              <w:rPr>
                <w:rFonts w:ascii="Times New Roman" w:hAnsi="Times New Roman"/>
                <w:szCs w:val="21"/>
              </w:rPr>
              <w:t>直部门及项目单位</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范志海</w:t>
            </w:r>
          </w:p>
          <w:p>
            <w:pPr>
              <w:spacing w:line="280" w:lineRule="exact"/>
              <w:jc w:val="center"/>
              <w:rPr>
                <w:rFonts w:hint="eastAsia"/>
              </w:rPr>
            </w:pPr>
            <w:r>
              <w:rPr>
                <w:rFonts w:hint="eastAsia" w:ascii="Times New Roman" w:hAnsi="Times New Roman"/>
                <w:szCs w:val="21"/>
              </w:rPr>
              <w:t>彭文波</w:t>
            </w:r>
          </w:p>
          <w:p>
            <w:pPr>
              <w:spacing w:line="280" w:lineRule="exact"/>
              <w:jc w:val="center"/>
              <w:rPr>
                <w:rFonts w:ascii="Times New Roman" w:hAnsi="Times New Roman"/>
                <w:szCs w:val="21"/>
              </w:rPr>
            </w:pPr>
            <w:r>
              <w:rPr>
                <w:rFonts w:ascii="Times New Roman" w:hAnsi="Times New Roman"/>
                <w:szCs w:val="21"/>
              </w:rPr>
              <w:t>专项债券项目相关</w:t>
            </w:r>
            <w:r>
              <w:rPr>
                <w:rFonts w:hint="eastAsia" w:ascii="Times New Roman" w:hAnsi="Times New Roman"/>
                <w:szCs w:val="21"/>
              </w:rPr>
              <w:t>县</w:t>
            </w:r>
            <w:r>
              <w:rPr>
                <w:rFonts w:ascii="Times New Roman" w:hAnsi="Times New Roman"/>
                <w:szCs w:val="21"/>
              </w:rPr>
              <w:t>直部门及项目单位主要负责人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snapToGrid w:val="0"/>
              <w:spacing w:line="280" w:lineRule="exact"/>
              <w:jc w:val="center"/>
              <w:rPr>
                <w:rFonts w:ascii="Times New Roman" w:hAnsi="Times New Roman"/>
                <w:b/>
                <w:bCs/>
                <w:szCs w:val="21"/>
              </w:rPr>
            </w:pPr>
            <w:r>
              <w:rPr>
                <w:rFonts w:ascii="Times New Roman" w:hAnsi="Times New Roman" w:eastAsia="楷体_GB2312"/>
                <w:szCs w:val="21"/>
              </w:rPr>
              <w:t>（五）加强平台公司综合治理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3" w:hRule="atLeast"/>
          <w:jc w:val="center"/>
        </w:trPr>
        <w:tc>
          <w:tcPr>
            <w:tcW w:w="249" w:type="pct"/>
            <w:tcBorders>
              <w:right w:val="single" w:color="auto" w:sz="4" w:space="0"/>
            </w:tcBorders>
            <w:noWrap w:val="0"/>
            <w:vAlign w:val="center"/>
          </w:tcPr>
          <w:p>
            <w:pPr>
              <w:spacing w:line="280" w:lineRule="exact"/>
              <w:jc w:val="center"/>
              <w:rPr>
                <w:rFonts w:ascii="Times New Roman" w:hAnsi="Times New Roman"/>
                <w:szCs w:val="21"/>
              </w:rPr>
            </w:pPr>
            <w:r>
              <w:rPr>
                <w:rFonts w:ascii="Times New Roman" w:hAnsi="Times New Roman"/>
                <w:szCs w:val="21"/>
              </w:rPr>
              <w:t>8</w:t>
            </w:r>
          </w:p>
        </w:tc>
        <w:tc>
          <w:tcPr>
            <w:tcW w:w="1413" w:type="pct"/>
            <w:tcBorders>
              <w:left w:val="single" w:color="auto" w:sz="4" w:space="0"/>
            </w:tcBorders>
            <w:noWrap w:val="0"/>
            <w:vAlign w:val="center"/>
          </w:tcPr>
          <w:p>
            <w:pPr>
              <w:spacing w:line="280" w:lineRule="exact"/>
              <w:rPr>
                <w:rFonts w:ascii="Times New Roman" w:hAnsi="Times New Roman"/>
                <w:szCs w:val="21"/>
              </w:rPr>
            </w:pPr>
            <w:r>
              <w:rPr>
                <w:rFonts w:ascii="Times New Roman" w:hAnsi="Times New Roman"/>
                <w:szCs w:val="21"/>
              </w:rPr>
              <w:t>严禁新设融资平台公司，防范国有企事业单位</w:t>
            </w:r>
            <w:r>
              <w:rPr>
                <w:rFonts w:hint="eastAsia" w:ascii="Times New Roman" w:hAnsi="Times New Roman"/>
                <w:szCs w:val="21"/>
              </w:rPr>
              <w:t>“</w:t>
            </w:r>
            <w:r>
              <w:rPr>
                <w:rFonts w:ascii="Times New Roman" w:hAnsi="Times New Roman"/>
                <w:szCs w:val="21"/>
              </w:rPr>
              <w:t>平台化</w:t>
            </w:r>
            <w:r>
              <w:rPr>
                <w:rFonts w:hint="eastAsia" w:ascii="Times New Roman" w:hAnsi="Times New Roman"/>
                <w:szCs w:val="21"/>
              </w:rPr>
              <w:t>”</w:t>
            </w:r>
            <w:r>
              <w:rPr>
                <w:rFonts w:ascii="Times New Roman" w:hAnsi="Times New Roman"/>
                <w:szCs w:val="21"/>
              </w:rPr>
              <w:t>。剥离平台公司政府融资职能，规范平台公司融资信息披露，严禁与政府信用挂钩。加快推进平台公司</w:t>
            </w:r>
            <w:r>
              <w:rPr>
                <w:rFonts w:hint="eastAsia" w:ascii="Times New Roman" w:hAnsi="Times New Roman"/>
                <w:szCs w:val="21"/>
              </w:rPr>
              <w:t>“</w:t>
            </w:r>
            <w:r>
              <w:rPr>
                <w:rFonts w:ascii="Times New Roman" w:hAnsi="Times New Roman"/>
                <w:szCs w:val="21"/>
              </w:rPr>
              <w:t>关停并转</w:t>
            </w:r>
            <w:r>
              <w:rPr>
                <w:rFonts w:hint="eastAsia" w:ascii="Times New Roman" w:hAnsi="Times New Roman"/>
                <w:szCs w:val="21"/>
              </w:rPr>
              <w:t>”</w:t>
            </w:r>
            <w:r>
              <w:rPr>
                <w:rFonts w:ascii="Times New Roman" w:hAnsi="Times New Roman"/>
                <w:szCs w:val="21"/>
              </w:rPr>
              <w:t>。</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委财经办（</w:t>
            </w:r>
            <w:r>
              <w:rPr>
                <w:rFonts w:hint="eastAsia" w:ascii="Times New Roman" w:hAnsi="Times New Roman"/>
                <w:szCs w:val="21"/>
              </w:rPr>
              <w:t>县发改局</w:t>
            </w:r>
            <w:r>
              <w:rPr>
                <w:rFonts w:ascii="Times New Roman" w:hAnsi="Times New Roman"/>
                <w:szCs w:val="21"/>
              </w:rPr>
              <w:t>）</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pacing w:line="280" w:lineRule="exact"/>
              <w:jc w:val="center"/>
              <w:rPr>
                <w:rFonts w:ascii="Times New Roman" w:hAnsi="Times New Roman"/>
                <w:szCs w:val="21"/>
              </w:rPr>
            </w:pPr>
            <w:r>
              <w:rPr>
                <w:rFonts w:hint="eastAsia" w:ascii="Times New Roman" w:hAnsi="Times New Roman"/>
                <w:szCs w:val="21"/>
              </w:rPr>
              <w:t>县政府金融办</w:t>
            </w:r>
          </w:p>
          <w:p>
            <w:pPr>
              <w:spacing w:line="280" w:lineRule="exact"/>
              <w:jc w:val="center"/>
              <w:rPr>
                <w:rFonts w:ascii="Times New Roman" w:hAnsi="Times New Roman"/>
                <w:szCs w:val="21"/>
              </w:rPr>
            </w:pPr>
            <w:r>
              <w:rPr>
                <w:rFonts w:hint="eastAsia" w:ascii="Times New Roman" w:hAnsi="Times New Roman"/>
                <w:szCs w:val="21"/>
              </w:rPr>
              <w:t>人民银行隆回支行</w:t>
            </w:r>
          </w:p>
          <w:p>
            <w:pPr>
              <w:spacing w:line="280" w:lineRule="exact"/>
              <w:jc w:val="center"/>
              <w:rPr>
                <w:rFonts w:ascii="Times New Roman" w:hAnsi="Times New Roman"/>
                <w:szCs w:val="21"/>
              </w:rPr>
            </w:pPr>
            <w:r>
              <w:rPr>
                <w:rFonts w:hint="eastAsia" w:ascii="Times New Roman" w:hAnsi="Times New Roman"/>
                <w:szCs w:val="21"/>
              </w:rPr>
              <w:t>县高新区管委会</w:t>
            </w:r>
          </w:p>
          <w:p>
            <w:pPr>
              <w:spacing w:line="280" w:lineRule="exact"/>
              <w:jc w:val="center"/>
              <w:rPr>
                <w:rFonts w:ascii="Times New Roman" w:hAnsi="Times New Roman"/>
                <w:szCs w:val="21"/>
              </w:rPr>
            </w:pPr>
            <w:r>
              <w:rPr>
                <w:rFonts w:hint="eastAsia" w:ascii="Times New Roman" w:hAnsi="Times New Roman"/>
                <w:szCs w:val="21"/>
              </w:rPr>
              <w:t>县重点建设项目事务中心</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彭文波</w:t>
            </w:r>
          </w:p>
          <w:p>
            <w:pPr>
              <w:spacing w:line="260" w:lineRule="exact"/>
              <w:jc w:val="center"/>
              <w:rPr>
                <w:rFonts w:hint="eastAsia" w:ascii="Times New Roman" w:hAnsi="Times New Roman"/>
                <w:szCs w:val="21"/>
              </w:rPr>
            </w:pPr>
            <w:r>
              <w:rPr>
                <w:rFonts w:hint="eastAsia" w:ascii="Times New Roman" w:hAnsi="Times New Roman"/>
                <w:szCs w:val="21"/>
              </w:rPr>
              <w:t>范志海</w:t>
            </w:r>
          </w:p>
          <w:p>
            <w:pPr>
              <w:spacing w:line="260" w:lineRule="exact"/>
              <w:jc w:val="center"/>
              <w:rPr>
                <w:rFonts w:hint="eastAsia" w:ascii="Times New Roman" w:hAnsi="Times New Roman"/>
                <w:szCs w:val="21"/>
              </w:rPr>
            </w:pPr>
            <w:r>
              <w:rPr>
                <w:rFonts w:hint="eastAsia" w:ascii="Times New Roman" w:hAnsi="Times New Roman"/>
                <w:szCs w:val="21"/>
              </w:rPr>
              <w:t>陈建军</w:t>
            </w:r>
          </w:p>
          <w:p>
            <w:pPr>
              <w:spacing w:line="260" w:lineRule="exact"/>
              <w:jc w:val="center"/>
              <w:rPr>
                <w:rFonts w:hint="eastAsia" w:ascii="Times New Roman" w:hAnsi="Times New Roman"/>
                <w:szCs w:val="21"/>
              </w:rPr>
            </w:pPr>
            <w:r>
              <w:rPr>
                <w:rFonts w:hint="eastAsia" w:ascii="Times New Roman" w:hAnsi="Times New Roman"/>
                <w:szCs w:val="21"/>
              </w:rPr>
              <w:t>刘伟雄</w:t>
            </w:r>
          </w:p>
          <w:p>
            <w:pPr>
              <w:spacing w:line="260" w:lineRule="exact"/>
              <w:jc w:val="center"/>
              <w:rPr>
                <w:rFonts w:hint="eastAsia" w:ascii="Times New Roman" w:hAnsi="Times New Roman"/>
                <w:szCs w:val="21"/>
              </w:rPr>
            </w:pPr>
            <w:r>
              <w:rPr>
                <w:rFonts w:hint="eastAsia" w:ascii="Times New Roman" w:hAnsi="Times New Roman"/>
                <w:szCs w:val="21"/>
              </w:rPr>
              <w:t>谭小菊</w:t>
            </w:r>
          </w:p>
          <w:p>
            <w:pPr>
              <w:spacing w:line="260" w:lineRule="exact"/>
              <w:jc w:val="center"/>
              <w:rPr>
                <w:rFonts w:ascii="Times New Roman" w:hAnsi="Times New Roman"/>
                <w:szCs w:val="21"/>
              </w:rPr>
            </w:pPr>
            <w:r>
              <w:rPr>
                <w:rFonts w:hint="eastAsia" w:ascii="Times New Roman" w:hAnsi="Times New Roman"/>
                <w:szCs w:val="21"/>
              </w:rPr>
              <w:t>谭承志</w:t>
            </w:r>
          </w:p>
        </w:tc>
        <w:tc>
          <w:tcPr>
            <w:tcW w:w="971"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王兰鹏</w:t>
            </w:r>
          </w:p>
          <w:p>
            <w:pPr>
              <w:spacing w:line="280" w:lineRule="exact"/>
              <w:jc w:val="center"/>
              <w:rPr>
                <w:rFonts w:hint="eastAsia" w:ascii="Times New Roman" w:hAnsi="Times New Roman"/>
                <w:szCs w:val="21"/>
              </w:rPr>
            </w:pPr>
            <w:r>
              <w:rPr>
                <w:rFonts w:hint="eastAsia" w:ascii="Times New Roman" w:hAnsi="Times New Roman"/>
                <w:szCs w:val="21"/>
              </w:rPr>
              <w:t>刘咏波</w:t>
            </w:r>
          </w:p>
          <w:p>
            <w:pPr>
              <w:spacing w:line="28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spacing w:line="280" w:lineRule="exact"/>
              <w:jc w:val="center"/>
              <w:rPr>
                <w:rFonts w:ascii="Times New Roman" w:hAnsi="Times New Roman"/>
                <w:b/>
                <w:bCs/>
                <w:szCs w:val="21"/>
              </w:rPr>
            </w:pPr>
            <w:r>
              <w:rPr>
                <w:rFonts w:ascii="Times New Roman" w:hAnsi="Times New Roman" w:eastAsia="黑体"/>
                <w:szCs w:val="21"/>
              </w:rPr>
              <w:t>二、防范化解金融风险（</w:t>
            </w:r>
            <w:r>
              <w:rPr>
                <w:rFonts w:hint="eastAsia" w:ascii="Times New Roman" w:hAnsi="Times New Roman" w:eastAsia="黑体"/>
                <w:szCs w:val="21"/>
              </w:rPr>
              <w:t>县政府金融办</w:t>
            </w:r>
            <w:r>
              <w:rPr>
                <w:rFonts w:ascii="Times New Roman" w:hAnsi="Times New Roman" w:eastAsia="黑体"/>
                <w:szCs w:val="21"/>
              </w:rPr>
              <w:t>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防范高风险机构出现。加大中小银行改革发展和声誉风险防范处置支持力度，防范流动性风险事件。</w:t>
            </w:r>
          </w:p>
        </w:tc>
        <w:tc>
          <w:tcPr>
            <w:tcW w:w="3982" w:type="dxa"/>
            <w:noWrap w:val="0"/>
            <w:vAlign w:val="center"/>
          </w:tcPr>
          <w:p>
            <w:pPr>
              <w:snapToGrid w:val="0"/>
              <w:spacing w:line="280" w:lineRule="exact"/>
              <w:jc w:val="center"/>
              <w:rPr>
                <w:rFonts w:ascii="Times New Roman" w:hAnsi="Times New Roman"/>
                <w:szCs w:val="21"/>
              </w:rPr>
            </w:pPr>
            <w:r>
              <w:rPr>
                <w:rFonts w:ascii="Times New Roman" w:hAnsi="Times New Roman"/>
                <w:szCs w:val="21"/>
              </w:rPr>
              <w:t>人民银行</w:t>
            </w:r>
            <w:r>
              <w:rPr>
                <w:rFonts w:hint="eastAsia" w:ascii="Times New Roman" w:hAnsi="Times New Roman"/>
                <w:szCs w:val="21"/>
              </w:rPr>
              <w:t>隆回</w:t>
            </w:r>
            <w:r>
              <w:rPr>
                <w:rFonts w:ascii="Times New Roman" w:hAnsi="Times New Roman"/>
                <w:szCs w:val="21"/>
              </w:rPr>
              <w:t>支行</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hint="eastAsia" w:ascii="Times New Roman" w:hAnsi="Times New Roman"/>
                <w:szCs w:val="21"/>
              </w:rPr>
            </w:pPr>
            <w:r>
              <w:rPr>
                <w:rFonts w:hint="eastAsia" w:ascii="Times New Roman" w:hAnsi="Times New Roman"/>
                <w:szCs w:val="21"/>
              </w:rPr>
              <w:t>隆回农商银行</w:t>
            </w:r>
          </w:p>
          <w:p>
            <w:pPr>
              <w:snapToGrid w:val="0"/>
              <w:spacing w:line="280" w:lineRule="exact"/>
              <w:jc w:val="center"/>
              <w:rPr>
                <w:rFonts w:ascii="Times New Roman" w:hAnsi="Times New Roman"/>
                <w:szCs w:val="21"/>
              </w:rPr>
            </w:pPr>
            <w:r>
              <w:rPr>
                <w:rFonts w:hint="eastAsia" w:ascii="Times New Roman" w:hAnsi="Times New Roman"/>
                <w:szCs w:val="21"/>
              </w:rPr>
              <w:t>隆回村镇银行</w:t>
            </w:r>
            <w:r>
              <w:rPr>
                <w:rFonts w:ascii="Times New Roman" w:hAnsi="Times New Roman"/>
                <w:szCs w:val="21"/>
              </w:rPr>
              <w:t>等</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刘伟雄</w:t>
            </w:r>
          </w:p>
          <w:p>
            <w:pPr>
              <w:snapToGrid w:val="0"/>
              <w:spacing w:line="280" w:lineRule="exact"/>
              <w:jc w:val="center"/>
              <w:rPr>
                <w:rFonts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hint="eastAsia" w:ascii="Times New Roman" w:hAnsi="Times New Roman"/>
                <w:szCs w:val="21"/>
              </w:rPr>
              <w:t>黄  学</w:t>
            </w:r>
          </w:p>
          <w:p>
            <w:pPr>
              <w:snapToGrid w:val="0"/>
              <w:spacing w:line="280" w:lineRule="exact"/>
              <w:jc w:val="center"/>
              <w:rPr>
                <w:rFonts w:ascii="Times New Roman" w:hAnsi="Times New Roman"/>
                <w:szCs w:val="21"/>
              </w:rPr>
            </w:pPr>
            <w:r>
              <w:rPr>
                <w:rFonts w:hint="eastAsia" w:ascii="Times New Roman" w:hAnsi="Times New Roman"/>
                <w:szCs w:val="21"/>
              </w:rPr>
              <w:t>徐灵芝</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2</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强化地方金融组织日常监管。贯彻落实省地方金融监督管理条例及配套监管制度体系，做好小额贷款公司、融资担保公司等7类地方金融组织日常监管。</w:t>
            </w:r>
          </w:p>
        </w:tc>
        <w:tc>
          <w:tcPr>
            <w:tcW w:w="3982" w:type="dxa"/>
            <w:noWrap w:val="0"/>
            <w:vAlign w:val="center"/>
          </w:tcPr>
          <w:p>
            <w:pPr>
              <w:snapToGrid w:val="0"/>
              <w:spacing w:line="280" w:lineRule="exact"/>
              <w:jc w:val="center"/>
            </w:pPr>
            <w:r>
              <w:rPr>
                <w:rFonts w:hint="eastAsia"/>
              </w:rPr>
              <w:t>县</w:t>
            </w:r>
            <w:r>
              <w:t>政府金融办</w:t>
            </w:r>
          </w:p>
          <w:p>
            <w:pPr>
              <w:pStyle w:val="5"/>
              <w:jc w:val="center"/>
              <w:rPr>
                <w:rFonts w:ascii="Times New Roman" w:hAnsi="Times New Roman"/>
                <w:szCs w:val="21"/>
              </w:rPr>
            </w:pPr>
            <w:r>
              <w:rPr>
                <w:rFonts w:hint="eastAsia" w:ascii="Times New Roman" w:hAnsi="Times New Roman"/>
                <w:szCs w:val="21"/>
              </w:rPr>
              <w:t>县市场监督管理局</w:t>
            </w:r>
          </w:p>
        </w:tc>
        <w:tc>
          <w:tcPr>
            <w:tcW w:w="2740" w:type="dxa"/>
            <w:noWrap w:val="0"/>
            <w:vAlign w:val="center"/>
          </w:tcPr>
          <w:p>
            <w:pPr>
              <w:snapToGrid w:val="0"/>
              <w:spacing w:line="280" w:lineRule="exact"/>
              <w:jc w:val="center"/>
              <w:rPr>
                <w:rFonts w:hint="eastAsia"/>
              </w:rPr>
            </w:pPr>
            <w:r>
              <w:rPr>
                <w:rFonts w:hint="eastAsia"/>
              </w:rPr>
              <w:t>陈建军</w:t>
            </w:r>
          </w:p>
          <w:p>
            <w:pPr>
              <w:pStyle w:val="5"/>
              <w:jc w:val="center"/>
              <w:rPr>
                <w:rFonts w:ascii="Times New Roman" w:hAnsi="Times New Roman"/>
                <w:szCs w:val="21"/>
              </w:rPr>
            </w:pPr>
            <w:r>
              <w:rPr>
                <w:rFonts w:hint="eastAsia" w:ascii="Times New Roman" w:hAnsi="Times New Roman"/>
                <w:szCs w:val="21"/>
              </w:rPr>
              <w:t>陈林习</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3</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全力推进重大案件风险处置。做好</w:t>
            </w:r>
            <w:r>
              <w:rPr>
                <w:rFonts w:hint="eastAsia" w:ascii="Times New Roman" w:hAnsi="Times New Roman"/>
                <w:szCs w:val="21"/>
              </w:rPr>
              <w:t>“</w:t>
            </w:r>
            <w:r>
              <w:rPr>
                <w:rFonts w:ascii="Times New Roman" w:hAnsi="Times New Roman"/>
                <w:szCs w:val="21"/>
              </w:rPr>
              <w:t>盛大金禧</w:t>
            </w:r>
            <w:r>
              <w:rPr>
                <w:rFonts w:hint="eastAsia" w:ascii="Times New Roman" w:hAnsi="Times New Roman"/>
                <w:szCs w:val="21"/>
              </w:rPr>
              <w:t>”“中桥金信”、“陈善斌案”</w:t>
            </w:r>
            <w:r>
              <w:rPr>
                <w:rFonts w:ascii="Times New Roman" w:hAnsi="Times New Roman"/>
                <w:szCs w:val="21"/>
              </w:rPr>
              <w:t>等重大案件侦办查处、追赃挽损、信息核实、资产处置、信访维稳、舆情管控等工作，严厉打击违法犯罪，切实维护群众利益和社会稳定。</w:t>
            </w:r>
          </w:p>
        </w:tc>
        <w:tc>
          <w:tcPr>
            <w:tcW w:w="3982" w:type="dxa"/>
            <w:noWrap w:val="0"/>
            <w:vAlign w:val="center"/>
          </w:tcPr>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委政法委</w:t>
            </w:r>
          </w:p>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人民法院</w:t>
            </w:r>
          </w:p>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人民检察院</w:t>
            </w:r>
          </w:p>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公安局</w:t>
            </w:r>
          </w:p>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盛大金禧</w:t>
            </w:r>
            <w:r>
              <w:rPr>
                <w:rFonts w:hint="eastAsia" w:ascii="Times New Roman" w:hAnsi="Times New Roman"/>
                <w:szCs w:val="21"/>
              </w:rPr>
              <w:t>”</w:t>
            </w:r>
            <w:r>
              <w:rPr>
                <w:rFonts w:ascii="Times New Roman" w:hAnsi="Times New Roman"/>
                <w:szCs w:val="21"/>
              </w:rPr>
              <w:t>案风险处置工作领导小组成员单位</w:t>
            </w:r>
            <w:r>
              <w:rPr>
                <w:rFonts w:hint="eastAsia" w:ascii="Times New Roman" w:hAnsi="Times New Roman"/>
                <w:szCs w:val="21"/>
              </w:rPr>
              <w:t>、中桥金信处置工作组、陈善斌案处置工作组</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杨治华</w:t>
            </w:r>
          </w:p>
          <w:p>
            <w:pPr>
              <w:snapToGrid w:val="0"/>
              <w:spacing w:line="280" w:lineRule="exact"/>
              <w:jc w:val="center"/>
              <w:rPr>
                <w:rFonts w:ascii="Times New Roman" w:hAnsi="Times New Roman"/>
                <w:szCs w:val="21"/>
              </w:rPr>
            </w:pPr>
            <w:r>
              <w:rPr>
                <w:rFonts w:ascii="Times New Roman" w:hAnsi="Times New Roman"/>
                <w:szCs w:val="21"/>
              </w:rPr>
              <w:t>李</w:t>
            </w:r>
            <w:r>
              <w:rPr>
                <w:rFonts w:hint="eastAsia" w:ascii="Times New Roman" w:hAnsi="Times New Roman"/>
                <w:szCs w:val="21"/>
              </w:rPr>
              <w:t xml:space="preserve">  平</w:t>
            </w:r>
          </w:p>
          <w:p>
            <w:pPr>
              <w:snapToGrid w:val="0"/>
              <w:spacing w:line="280" w:lineRule="exact"/>
              <w:jc w:val="center"/>
              <w:rPr>
                <w:rFonts w:ascii="Times New Roman" w:hAnsi="Times New Roman"/>
                <w:szCs w:val="21"/>
              </w:rPr>
            </w:pPr>
            <w:r>
              <w:rPr>
                <w:rFonts w:hint="eastAsia" w:ascii="Times New Roman" w:hAnsi="Times New Roman"/>
                <w:szCs w:val="21"/>
              </w:rPr>
              <w:t>罗洪韬</w:t>
            </w:r>
          </w:p>
          <w:p>
            <w:pPr>
              <w:snapToGrid w:val="0"/>
              <w:spacing w:line="280" w:lineRule="exact"/>
              <w:jc w:val="center"/>
              <w:rPr>
                <w:rFonts w:ascii="Times New Roman" w:hAnsi="Times New Roman"/>
                <w:szCs w:val="21"/>
              </w:rPr>
            </w:pPr>
            <w:r>
              <w:rPr>
                <w:rFonts w:hint="eastAsia" w:ascii="Times New Roman" w:hAnsi="Times New Roman"/>
                <w:szCs w:val="21"/>
              </w:rPr>
              <w:t>丁  波</w:t>
            </w:r>
          </w:p>
          <w:p>
            <w:pPr>
              <w:snapToGrid w:val="0"/>
              <w:spacing w:line="280" w:lineRule="exact"/>
              <w:jc w:val="center"/>
              <w:rPr>
                <w:rFonts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ascii="Times New Roman" w:hAnsi="Times New Roman"/>
                <w:szCs w:val="21"/>
              </w:rPr>
              <w:t>领导小组成员单位主要负责人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杨  敏</w:t>
            </w:r>
          </w:p>
          <w:p>
            <w:pPr>
              <w:snapToGrid w:val="0"/>
              <w:spacing w:line="280" w:lineRule="exact"/>
              <w:jc w:val="center"/>
              <w:rPr>
                <w:rFonts w:hint="eastAsia" w:ascii="Times New Roman" w:hAnsi="Times New Roman"/>
                <w:szCs w:val="21"/>
              </w:rPr>
            </w:pPr>
            <w:r>
              <w:rPr>
                <w:rFonts w:hint="eastAsia" w:ascii="Times New Roman" w:hAnsi="Times New Roman"/>
                <w:szCs w:val="21"/>
              </w:rPr>
              <w:t>申智军</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4</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开展非法集资整治专项行动。全面摸清风险隐患底数并制定防控措施。完善行刑衔接和依法打击机制，常态化开展防非处非宣传、金融领域扫黑除恶、打击整治养老领域非法集资等工作，严厉打击</w:t>
            </w:r>
            <w:r>
              <w:rPr>
                <w:rFonts w:hint="eastAsia" w:ascii="Times New Roman" w:hAnsi="Times New Roman"/>
                <w:szCs w:val="21"/>
              </w:rPr>
              <w:t>“</w:t>
            </w:r>
            <w:r>
              <w:rPr>
                <w:rFonts w:ascii="Times New Roman" w:hAnsi="Times New Roman"/>
                <w:szCs w:val="21"/>
              </w:rPr>
              <w:t>一非三贷</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w:t>
            </w:r>
            <w:r>
              <w:rPr>
                <w:rFonts w:ascii="Times New Roman" w:hAnsi="Times New Roman"/>
                <w:szCs w:val="21"/>
              </w:rPr>
              <w:t>三贷三霸</w:t>
            </w:r>
            <w:r>
              <w:rPr>
                <w:rFonts w:hint="eastAsia" w:ascii="Times New Roman" w:hAnsi="Times New Roman"/>
                <w:szCs w:val="21"/>
              </w:rPr>
              <w:t>”</w:t>
            </w:r>
            <w:r>
              <w:rPr>
                <w:rFonts w:ascii="Times New Roman" w:hAnsi="Times New Roman"/>
                <w:szCs w:val="21"/>
              </w:rPr>
              <w:t>等非法活动，从重打击以</w:t>
            </w:r>
            <w:r>
              <w:rPr>
                <w:rFonts w:hint="eastAsia" w:ascii="Times New Roman" w:hAnsi="Times New Roman"/>
                <w:szCs w:val="21"/>
              </w:rPr>
              <w:t>“</w:t>
            </w:r>
            <w:r>
              <w:rPr>
                <w:rFonts w:ascii="Times New Roman" w:hAnsi="Times New Roman"/>
                <w:szCs w:val="21"/>
              </w:rPr>
              <w:t>养老</w:t>
            </w:r>
            <w:r>
              <w:rPr>
                <w:rFonts w:hint="eastAsia" w:ascii="Times New Roman" w:hAnsi="Times New Roman"/>
                <w:szCs w:val="21"/>
              </w:rPr>
              <w:t>”</w:t>
            </w:r>
            <w:r>
              <w:rPr>
                <w:rFonts w:ascii="Times New Roman" w:hAnsi="Times New Roman"/>
                <w:szCs w:val="21"/>
              </w:rPr>
              <w:t>为幌子从事非法集资犯罪的市场主体和个人。</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公安局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民政局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ascii="Times New Roman" w:hAnsi="Times New Roman"/>
                <w:szCs w:val="21"/>
              </w:rPr>
            </w:pPr>
            <w:r>
              <w:rPr>
                <w:rFonts w:hint="eastAsia" w:ascii="Times New Roman" w:hAnsi="Times New Roman"/>
                <w:szCs w:val="21"/>
              </w:rPr>
              <w:t>县防范</w:t>
            </w:r>
            <w:r>
              <w:rPr>
                <w:rFonts w:ascii="Times New Roman" w:hAnsi="Times New Roman"/>
                <w:szCs w:val="21"/>
              </w:rPr>
              <w:t>和</w:t>
            </w:r>
            <w:r>
              <w:rPr>
                <w:rFonts w:hint="eastAsia" w:ascii="Times New Roman" w:hAnsi="Times New Roman"/>
                <w:szCs w:val="21"/>
              </w:rPr>
              <w:t>打击</w:t>
            </w:r>
            <w:r>
              <w:rPr>
                <w:rFonts w:ascii="Times New Roman" w:hAnsi="Times New Roman"/>
                <w:szCs w:val="21"/>
              </w:rPr>
              <w:t>非法集资工作领导小组成员单位</w:t>
            </w: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丁波</w:t>
            </w:r>
          </w:p>
          <w:p>
            <w:pPr>
              <w:snapToGrid w:val="0"/>
              <w:spacing w:line="280" w:lineRule="exact"/>
              <w:jc w:val="center"/>
              <w:rPr>
                <w:rFonts w:ascii="Times New Roman" w:hAnsi="Times New Roman"/>
                <w:szCs w:val="21"/>
              </w:rPr>
            </w:pPr>
            <w:r>
              <w:rPr>
                <w:rFonts w:hint="eastAsia" w:ascii="Times New Roman" w:hAnsi="Times New Roman"/>
                <w:szCs w:val="21"/>
              </w:rPr>
              <w:t>张诚</w:t>
            </w:r>
          </w:p>
          <w:p>
            <w:pPr>
              <w:snapToGrid w:val="0"/>
              <w:spacing w:line="280" w:lineRule="exact"/>
              <w:jc w:val="center"/>
              <w:rPr>
                <w:rFonts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ascii="Times New Roman" w:hAnsi="Times New Roman"/>
                <w:szCs w:val="21"/>
              </w:rPr>
              <w:t>领导小组成员单位</w:t>
            </w:r>
            <w:r>
              <w:rPr>
                <w:rFonts w:hint="eastAsia" w:ascii="Times New Roman" w:hAnsi="Times New Roman"/>
                <w:szCs w:val="21"/>
              </w:rPr>
              <w:t>、各乡镇（街道）</w:t>
            </w:r>
            <w:r>
              <w:rPr>
                <w:rFonts w:ascii="Times New Roman" w:hAnsi="Times New Roman"/>
                <w:szCs w:val="21"/>
              </w:rPr>
              <w:t>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申智军</w:t>
            </w:r>
          </w:p>
          <w:p>
            <w:pPr>
              <w:snapToGrid w:val="0"/>
              <w:spacing w:line="280" w:lineRule="exact"/>
              <w:jc w:val="center"/>
              <w:rPr>
                <w:rFonts w:hint="eastAsia" w:ascii="Times New Roman" w:hAnsi="Times New Roman"/>
                <w:szCs w:val="21"/>
              </w:rPr>
            </w:pPr>
            <w:r>
              <w:rPr>
                <w:rFonts w:hint="eastAsia" w:ascii="Times New Roman" w:hAnsi="Times New Roman"/>
                <w:szCs w:val="21"/>
              </w:rPr>
              <w:t>张胤</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5</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完善非法金融监测预警机制。根据省级建设、市级共享共用的原则，完善地方金融风险监测预警建设，加强</w:t>
            </w:r>
            <w:r>
              <w:rPr>
                <w:rFonts w:hint="eastAsia" w:ascii="Times New Roman" w:hAnsi="Times New Roman"/>
                <w:szCs w:val="21"/>
              </w:rPr>
              <w:t>与上级主管部门和县</w:t>
            </w:r>
            <w:r>
              <w:rPr>
                <w:rFonts w:ascii="Times New Roman" w:hAnsi="Times New Roman"/>
                <w:szCs w:val="21"/>
              </w:rPr>
              <w:t>级部门间数据信息共享，加快建立全链条地方金融风险防控治理体系</w:t>
            </w:r>
            <w:r>
              <w:rPr>
                <w:rFonts w:hint="eastAsia" w:ascii="Times New Roman" w:hAnsi="Times New Roman"/>
                <w:szCs w:val="21"/>
              </w:rPr>
              <w:t>。</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公安局</w:t>
            </w:r>
          </w:p>
          <w:p>
            <w:pPr>
              <w:snapToGrid w:val="0"/>
              <w:spacing w:line="280" w:lineRule="exact"/>
              <w:jc w:val="center"/>
              <w:rPr>
                <w:rFonts w:ascii="Times New Roman" w:hAnsi="Times New Roman"/>
                <w:szCs w:val="21"/>
              </w:rPr>
            </w:pPr>
            <w:r>
              <w:rPr>
                <w:rFonts w:hint="eastAsia" w:ascii="Times New Roman" w:hAnsi="Times New Roman"/>
                <w:szCs w:val="21"/>
              </w:rPr>
              <w:t>县防范</w:t>
            </w:r>
            <w:r>
              <w:rPr>
                <w:rFonts w:ascii="Times New Roman" w:hAnsi="Times New Roman"/>
                <w:szCs w:val="21"/>
              </w:rPr>
              <w:t>和</w:t>
            </w:r>
            <w:r>
              <w:rPr>
                <w:rFonts w:hint="eastAsia" w:ascii="Times New Roman" w:hAnsi="Times New Roman"/>
                <w:szCs w:val="21"/>
              </w:rPr>
              <w:t>打击</w:t>
            </w:r>
            <w:r>
              <w:rPr>
                <w:rFonts w:ascii="Times New Roman" w:hAnsi="Times New Roman"/>
                <w:szCs w:val="21"/>
              </w:rPr>
              <w:t>非法集资工作领导小组成员单位</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hint="eastAsia" w:ascii="Times New Roman" w:hAnsi="Times New Roman"/>
                <w:szCs w:val="21"/>
              </w:rPr>
              <w:t>丁  波</w:t>
            </w:r>
          </w:p>
          <w:p>
            <w:pPr>
              <w:snapToGrid w:val="0"/>
              <w:spacing w:line="280" w:lineRule="exact"/>
              <w:jc w:val="center"/>
              <w:rPr>
                <w:rFonts w:ascii="Times New Roman" w:hAnsi="Times New Roman"/>
                <w:szCs w:val="21"/>
              </w:rPr>
            </w:pPr>
            <w:r>
              <w:rPr>
                <w:rFonts w:ascii="Times New Roman" w:hAnsi="Times New Roman"/>
                <w:szCs w:val="21"/>
              </w:rPr>
              <w:t>领导小组成员单位主要负责人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ascii="Times New Roman" w:hAnsi="Times New Roman"/>
                <w:szCs w:val="21"/>
              </w:rPr>
            </w:pPr>
            <w:r>
              <w:rPr>
                <w:rFonts w:hint="eastAsia" w:ascii="Times New Roman" w:hAnsi="Times New Roman"/>
                <w:szCs w:val="21"/>
              </w:rPr>
              <w:t>申智军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6</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防范化解挂牌和拟上市公司风险。配合上级主管部门加大对上市公司违法违规问题的监管力度。支持上市公司通过并购重组、破产重整等方式出清风险。支持银行、证券、保险、私募股权基金等机构参与上市公司股票质押风险化解。</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ascii="Times New Roman" w:hAnsi="Times New Roman"/>
                <w:szCs w:val="21"/>
              </w:rPr>
            </w:pPr>
            <w:r>
              <w:rPr>
                <w:rFonts w:ascii="Times New Roman" w:hAnsi="Times New Roman"/>
                <w:szCs w:val="21"/>
              </w:rPr>
              <w:t>人民银</w:t>
            </w:r>
            <w:r>
              <w:rPr>
                <w:rFonts w:hint="eastAsia" w:ascii="Times New Roman" w:hAnsi="Times New Roman"/>
                <w:szCs w:val="21"/>
              </w:rPr>
              <w:t>行隆回</w:t>
            </w:r>
            <w:r>
              <w:rPr>
                <w:rFonts w:ascii="Times New Roman" w:hAnsi="Times New Roman"/>
                <w:szCs w:val="21"/>
              </w:rPr>
              <w:t>支行</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财政局等</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hint="eastAsia" w:ascii="Times New Roman" w:hAnsi="Times New Roman"/>
                <w:szCs w:val="21"/>
              </w:rPr>
              <w:t>刘伟雄</w:t>
            </w:r>
          </w:p>
          <w:p>
            <w:pPr>
              <w:snapToGrid w:val="0"/>
              <w:spacing w:line="280" w:lineRule="exact"/>
              <w:jc w:val="center"/>
              <w:rPr>
                <w:rFonts w:ascii="Times New Roman" w:hAnsi="Times New Roman"/>
                <w:szCs w:val="21"/>
              </w:rPr>
            </w:pPr>
            <w:r>
              <w:rPr>
                <w:rFonts w:hint="eastAsia" w:ascii="Times New Roman" w:hAnsi="Times New Roman"/>
                <w:szCs w:val="21"/>
              </w:rPr>
              <w:t>范志海</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7</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加强私募股权投资机构监管。</w:t>
            </w:r>
            <w:r>
              <w:rPr>
                <w:rFonts w:hint="eastAsia" w:ascii="Times New Roman" w:hAnsi="Times New Roman"/>
                <w:szCs w:val="21"/>
              </w:rPr>
              <w:t>配合上级主管部门</w:t>
            </w:r>
            <w:r>
              <w:rPr>
                <w:rFonts w:ascii="Times New Roman" w:hAnsi="Times New Roman"/>
                <w:szCs w:val="21"/>
              </w:rPr>
              <w:t>严厉打击各类违法违规行为，严控私募基金增量风险，稳妥化解存量风险，提升行业规范发展水平</w:t>
            </w:r>
            <w:r>
              <w:rPr>
                <w:rFonts w:ascii="Times New Roman" w:hAnsi="Times New Roman" w:eastAsia="仿宋_GB2312"/>
                <w:sz w:val="32"/>
                <w:szCs w:val="32"/>
              </w:rPr>
              <w:t>。</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hint="eastAsia" w:ascii="Times New Roman" w:hAnsi="Times New Roman"/>
                <w:szCs w:val="21"/>
              </w:rPr>
            </w:pPr>
            <w:r>
              <w:rPr>
                <w:rFonts w:hint="eastAsia" w:ascii="Times New Roman" w:hAnsi="Times New Roman"/>
                <w:szCs w:val="21"/>
              </w:rPr>
              <w:t>县公安局</w:t>
            </w:r>
          </w:p>
          <w:p>
            <w:pPr>
              <w:snapToGrid w:val="0"/>
              <w:spacing w:line="280" w:lineRule="exact"/>
              <w:jc w:val="center"/>
              <w:rPr>
                <w:rFonts w:hint="eastAsia" w:ascii="Times New Roman" w:hAnsi="Times New Roman"/>
                <w:szCs w:val="21"/>
              </w:rPr>
            </w:pPr>
            <w:r>
              <w:rPr>
                <w:rFonts w:hint="eastAsia" w:ascii="Times New Roman" w:hAnsi="Times New Roman"/>
                <w:szCs w:val="21"/>
              </w:rPr>
              <w:t>县市场监督管理局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陈建军</w:t>
            </w:r>
          </w:p>
          <w:p>
            <w:pPr>
              <w:snapToGrid w:val="0"/>
              <w:spacing w:line="280" w:lineRule="exact"/>
              <w:jc w:val="center"/>
              <w:rPr>
                <w:rFonts w:hint="eastAsia" w:ascii="Times New Roman" w:hAnsi="Times New Roman"/>
                <w:szCs w:val="21"/>
              </w:rPr>
            </w:pPr>
            <w:r>
              <w:rPr>
                <w:rFonts w:hint="eastAsia" w:ascii="Times New Roman" w:hAnsi="Times New Roman"/>
                <w:szCs w:val="21"/>
              </w:rPr>
              <w:t>丁  波</w:t>
            </w:r>
          </w:p>
          <w:p>
            <w:pPr>
              <w:snapToGrid w:val="0"/>
              <w:spacing w:line="280" w:lineRule="exact"/>
              <w:jc w:val="center"/>
              <w:rPr>
                <w:rFonts w:hint="eastAsia" w:ascii="Times New Roman" w:hAnsi="Times New Roman"/>
                <w:szCs w:val="21"/>
              </w:rPr>
            </w:pPr>
            <w:r>
              <w:rPr>
                <w:rFonts w:hint="eastAsia" w:ascii="Times New Roman" w:hAnsi="Times New Roman"/>
                <w:szCs w:val="21"/>
              </w:rPr>
              <w:t>陈林习</w:t>
            </w:r>
          </w:p>
          <w:p>
            <w:pPr>
              <w:snapToGrid w:val="0"/>
              <w:spacing w:line="280" w:lineRule="exact"/>
              <w:jc w:val="center"/>
              <w:rPr>
                <w:rFonts w:ascii="Times New Roman" w:hAnsi="Times New Roman"/>
                <w:szCs w:val="21"/>
              </w:rPr>
            </w:pPr>
            <w:r>
              <w:rPr>
                <w:rFonts w:hint="eastAsia" w:ascii="Times New Roman" w:hAnsi="Times New Roman"/>
                <w:szCs w:val="21"/>
              </w:rPr>
              <w:t>各乡镇（街道）主要负责人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hint="eastAsia" w:ascii="Times New Roman" w:hAnsi="Times New Roman"/>
                <w:szCs w:val="21"/>
              </w:rPr>
            </w:pPr>
            <w:r>
              <w:rPr>
                <w:rFonts w:hint="eastAsia" w:ascii="Times New Roman" w:hAnsi="Times New Roman"/>
                <w:szCs w:val="21"/>
              </w:rPr>
              <w:t>申智军</w:t>
            </w:r>
          </w:p>
          <w:p>
            <w:pPr>
              <w:snapToGrid w:val="0"/>
              <w:spacing w:line="280" w:lineRule="exact"/>
              <w:jc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8</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持续推进交易场所和互联网金融风险清理整治。强化对</w:t>
            </w:r>
            <w:r>
              <w:rPr>
                <w:rFonts w:hint="eastAsia" w:ascii="Times New Roman" w:hAnsi="Times New Roman"/>
                <w:szCs w:val="21"/>
              </w:rPr>
              <w:t>“</w:t>
            </w:r>
            <w:r>
              <w:rPr>
                <w:rFonts w:ascii="Times New Roman" w:hAnsi="Times New Roman"/>
                <w:szCs w:val="21"/>
              </w:rPr>
              <w:t>伪金交所</w:t>
            </w:r>
            <w:r>
              <w:rPr>
                <w:rFonts w:hint="eastAsia" w:ascii="Times New Roman" w:hAnsi="Times New Roman"/>
                <w:szCs w:val="21"/>
              </w:rPr>
              <w:t>”</w:t>
            </w:r>
            <w:r>
              <w:rPr>
                <w:rFonts w:ascii="Times New Roman" w:hAnsi="Times New Roman"/>
                <w:szCs w:val="21"/>
              </w:rPr>
              <w:t>、产权交易所的风险排查和处置，推动行业主管部门落实监管要求，建立健全风险防范和处置协调机制。打好网络借贷风险整治收官战，推动P2P风险全面出清。</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政府金融办</w:t>
            </w:r>
          </w:p>
          <w:p>
            <w:pPr>
              <w:snapToGrid w:val="0"/>
              <w:spacing w:line="280" w:lineRule="exact"/>
              <w:jc w:val="center"/>
              <w:rPr>
                <w:rFonts w:hint="eastAsia" w:ascii="Times New Roman" w:hAnsi="Times New Roman"/>
                <w:szCs w:val="21"/>
              </w:rPr>
            </w:pPr>
            <w:r>
              <w:rPr>
                <w:rFonts w:hint="eastAsia" w:ascii="Times New Roman" w:hAnsi="Times New Roman"/>
                <w:szCs w:val="21"/>
              </w:rPr>
              <w:t>人民银行隆回支行</w:t>
            </w:r>
          </w:p>
          <w:p>
            <w:pPr>
              <w:snapToGrid w:val="0"/>
              <w:spacing w:line="280" w:lineRule="exact"/>
              <w:jc w:val="center"/>
              <w:rPr>
                <w:rFonts w:hint="eastAsia" w:ascii="Times New Roman" w:hAnsi="Times New Roman"/>
                <w:szCs w:val="21"/>
              </w:rPr>
            </w:pPr>
            <w:r>
              <w:rPr>
                <w:rFonts w:hint="eastAsia" w:ascii="Times New Roman" w:hAnsi="Times New Roman"/>
                <w:szCs w:val="21"/>
              </w:rPr>
              <w:t>县公安局</w:t>
            </w:r>
          </w:p>
          <w:p>
            <w:pPr>
              <w:snapToGrid w:val="0"/>
              <w:spacing w:line="280" w:lineRule="exact"/>
              <w:jc w:val="center"/>
              <w:rPr>
                <w:rFonts w:hint="eastAsia" w:ascii="Times New Roman" w:hAnsi="Times New Roman"/>
                <w:szCs w:val="21"/>
              </w:rPr>
            </w:pPr>
            <w:r>
              <w:rPr>
                <w:rFonts w:hint="eastAsia" w:ascii="Times New Roman" w:hAnsi="Times New Roman"/>
                <w:szCs w:val="21"/>
              </w:rPr>
              <w:t>县市场监督管理局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r>
              <w:rPr>
                <w:rFonts w:ascii="Times New Roman" w:hAnsi="Times New Roman"/>
                <w:szCs w:val="21"/>
              </w:rPr>
              <w:t>等</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陈建军</w:t>
            </w:r>
          </w:p>
          <w:p>
            <w:pPr>
              <w:snapToGrid w:val="0"/>
              <w:spacing w:line="280" w:lineRule="exact"/>
              <w:jc w:val="center"/>
              <w:rPr>
                <w:rFonts w:hint="eastAsia" w:ascii="Times New Roman" w:hAnsi="Times New Roman"/>
                <w:szCs w:val="21"/>
              </w:rPr>
            </w:pPr>
            <w:r>
              <w:rPr>
                <w:rFonts w:hint="eastAsia" w:ascii="Times New Roman" w:hAnsi="Times New Roman"/>
                <w:szCs w:val="21"/>
              </w:rPr>
              <w:t>刘伟雄</w:t>
            </w:r>
          </w:p>
          <w:p>
            <w:pPr>
              <w:snapToGrid w:val="0"/>
              <w:spacing w:line="280" w:lineRule="exact"/>
              <w:jc w:val="center"/>
              <w:rPr>
                <w:rFonts w:hint="eastAsia" w:ascii="Times New Roman" w:hAnsi="Times New Roman"/>
                <w:szCs w:val="21"/>
              </w:rPr>
            </w:pPr>
            <w:r>
              <w:rPr>
                <w:rFonts w:hint="eastAsia" w:ascii="Times New Roman" w:hAnsi="Times New Roman"/>
                <w:szCs w:val="21"/>
              </w:rPr>
              <w:t>丁  波</w:t>
            </w:r>
          </w:p>
          <w:p>
            <w:pPr>
              <w:snapToGrid w:val="0"/>
              <w:spacing w:line="280" w:lineRule="exact"/>
              <w:jc w:val="center"/>
              <w:rPr>
                <w:rFonts w:hint="eastAsia" w:ascii="Times New Roman" w:hAnsi="Times New Roman"/>
                <w:szCs w:val="21"/>
              </w:rPr>
            </w:pPr>
            <w:r>
              <w:rPr>
                <w:rFonts w:hint="eastAsia" w:ascii="Times New Roman" w:hAnsi="Times New Roman"/>
                <w:szCs w:val="21"/>
              </w:rPr>
              <w:t>陈林习</w:t>
            </w:r>
          </w:p>
          <w:p>
            <w:pPr>
              <w:snapToGrid w:val="0"/>
              <w:spacing w:line="280" w:lineRule="exact"/>
              <w:jc w:val="center"/>
              <w:rPr>
                <w:rFonts w:ascii="Times New Roman" w:hAnsi="Times New Roman"/>
                <w:szCs w:val="21"/>
              </w:rPr>
            </w:pPr>
            <w:r>
              <w:rPr>
                <w:rFonts w:hint="eastAsia" w:ascii="Times New Roman" w:hAnsi="Times New Roman"/>
                <w:szCs w:val="21"/>
              </w:rPr>
              <w:t>各乡镇（街道）主要负责人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hint="eastAsia" w:ascii="Times New Roman" w:hAnsi="Times New Roman"/>
                <w:szCs w:val="21"/>
              </w:rPr>
            </w:pPr>
            <w:r>
              <w:rPr>
                <w:rFonts w:hint="eastAsia" w:ascii="Times New Roman" w:hAnsi="Times New Roman"/>
                <w:szCs w:val="21"/>
              </w:rPr>
              <w:t>申智军</w:t>
            </w:r>
          </w:p>
          <w:p>
            <w:pPr>
              <w:snapToGrid w:val="0"/>
              <w:spacing w:line="280" w:lineRule="exact"/>
              <w:jc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snapToGrid w:val="0"/>
              <w:spacing w:line="280" w:lineRule="exact"/>
              <w:jc w:val="center"/>
              <w:rPr>
                <w:rFonts w:ascii="Times New Roman" w:hAnsi="Times New Roman"/>
                <w:b/>
                <w:bCs/>
                <w:szCs w:val="21"/>
              </w:rPr>
            </w:pPr>
            <w:r>
              <w:rPr>
                <w:rFonts w:ascii="Times New Roman" w:hAnsi="Times New Roman" w:eastAsia="黑体"/>
                <w:szCs w:val="21"/>
              </w:rPr>
              <w:t>三、防范化解地产风险（</w:t>
            </w:r>
            <w:r>
              <w:rPr>
                <w:rFonts w:hint="eastAsia" w:ascii="Times New Roman" w:hAnsi="Times New Roman" w:eastAsia="黑体"/>
                <w:szCs w:val="21"/>
              </w:rPr>
              <w:t>县</w:t>
            </w:r>
            <w:r>
              <w:rPr>
                <w:rFonts w:ascii="Times New Roman" w:hAnsi="Times New Roman" w:eastAsia="黑体"/>
                <w:szCs w:val="21"/>
              </w:rPr>
              <w:t>住房和城乡建设局牵头）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3"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1</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全面普查在建、在售楼盘情况,排查梳理辖区内房地产项目风险点,建立防范房地产风险机制,建立问题台账。要对高价拿地的中小企业、自有资金不足、财务成本过高的企业,有延期交房、逾期办证风险的房地产项目进行风险防控。</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w:t>
            </w:r>
            <w:r>
              <w:rPr>
                <w:rFonts w:ascii="Times New Roman" w:hAnsi="Times New Roman"/>
                <w:szCs w:val="21"/>
              </w:rPr>
              <w:t>住房和城乡建设局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自然资源局</w:t>
            </w:r>
          </w:p>
          <w:p>
            <w:pPr>
              <w:snapToGrid w:val="0"/>
              <w:spacing w:line="280" w:lineRule="exact"/>
              <w:jc w:val="center"/>
              <w:rPr>
                <w:rFonts w:ascii="Times New Roman" w:hAnsi="Times New Roman"/>
                <w:szCs w:val="21"/>
              </w:rPr>
            </w:pPr>
            <w:r>
              <w:rPr>
                <w:rFonts w:hint="eastAsia" w:ascii="Times New Roman" w:hAnsi="Times New Roman"/>
                <w:szCs w:val="21"/>
              </w:rPr>
              <w:t>人民银行隆回支行</w:t>
            </w:r>
          </w:p>
          <w:p>
            <w:pPr>
              <w:snapToGrid w:val="0"/>
              <w:spacing w:line="280" w:lineRule="exact"/>
              <w:jc w:val="center"/>
              <w:rPr>
                <w:rFonts w:hint="eastAsia" w:ascii="Times New Roman" w:hAnsi="Times New Roman"/>
                <w:szCs w:val="21"/>
              </w:rPr>
            </w:pPr>
            <w:r>
              <w:rPr>
                <w:rFonts w:hint="eastAsia" w:ascii="Times New Roman" w:hAnsi="Times New Roman"/>
                <w:szCs w:val="21"/>
              </w:rPr>
              <w:t>县政府金融办</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税务局</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周玉科</w:t>
            </w:r>
          </w:p>
          <w:p>
            <w:pPr>
              <w:snapToGrid w:val="0"/>
              <w:spacing w:line="280" w:lineRule="exact"/>
              <w:jc w:val="center"/>
              <w:rPr>
                <w:rFonts w:hint="eastAsia" w:ascii="Times New Roman" w:hAnsi="Times New Roman"/>
                <w:szCs w:val="21"/>
              </w:rPr>
            </w:pPr>
            <w:r>
              <w:rPr>
                <w:rFonts w:hint="eastAsia" w:ascii="Times New Roman" w:hAnsi="Times New Roman"/>
                <w:szCs w:val="21"/>
              </w:rPr>
              <w:t>李金平</w:t>
            </w:r>
          </w:p>
          <w:p>
            <w:pPr>
              <w:snapToGrid w:val="0"/>
              <w:spacing w:line="280" w:lineRule="exact"/>
              <w:jc w:val="center"/>
              <w:rPr>
                <w:rFonts w:hint="eastAsia" w:ascii="Times New Roman" w:hAnsi="Times New Roman"/>
                <w:szCs w:val="21"/>
              </w:rPr>
            </w:pPr>
            <w:r>
              <w:rPr>
                <w:rFonts w:hint="eastAsia" w:ascii="Times New Roman" w:hAnsi="Times New Roman"/>
                <w:szCs w:val="21"/>
              </w:rPr>
              <w:t>刘伟雄</w:t>
            </w:r>
          </w:p>
          <w:p>
            <w:pPr>
              <w:snapToGrid w:val="0"/>
              <w:spacing w:line="280" w:lineRule="exact"/>
              <w:jc w:val="center"/>
              <w:rPr>
                <w:rFonts w:hint="eastAsia" w:ascii="Times New Roman" w:hAnsi="Times New Roman"/>
                <w:szCs w:val="21"/>
              </w:rPr>
            </w:pPr>
            <w:r>
              <w:rPr>
                <w:rFonts w:hint="eastAsia" w:ascii="Times New Roman" w:hAnsi="Times New Roman"/>
                <w:szCs w:val="21"/>
              </w:rPr>
              <w:t>陈建军</w:t>
            </w:r>
          </w:p>
          <w:p>
            <w:pPr>
              <w:snapToGrid w:val="0"/>
              <w:spacing w:line="280" w:lineRule="exact"/>
              <w:jc w:val="center"/>
              <w:rPr>
                <w:rFonts w:ascii="Times New Roman" w:hAnsi="Times New Roman"/>
                <w:szCs w:val="21"/>
              </w:rPr>
            </w:pPr>
            <w:r>
              <w:rPr>
                <w:rFonts w:hint="eastAsia" w:ascii="Times New Roman" w:hAnsi="Times New Roman"/>
                <w:szCs w:val="21"/>
              </w:rPr>
              <w:t>章  晋</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杨喜国</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2</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狠抓项目提速保质。推进工程审批制度改革，简化项目竣工验收，快捷办理项目竣工交付。狠抓质量安全，强化过程监管和验收管理。</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县住房和城乡建设局</w:t>
            </w:r>
          </w:p>
          <w:p>
            <w:pPr>
              <w:snapToGrid w:val="0"/>
              <w:spacing w:line="280" w:lineRule="exact"/>
              <w:jc w:val="center"/>
              <w:rPr>
                <w:rFonts w:ascii="Times New Roman" w:hAnsi="Times New Roman"/>
                <w:szCs w:val="21"/>
              </w:rPr>
            </w:pP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周玉科</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2"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3</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全力做好“保交楼、稳民生”工作。继续做好保交楼专项借款申报工作，推进后续申报、资金使用监管工作，成熟一批，上报一批。加快保交楼建设进度，抢抓黄金施工期，同步按有关要求完善抵押等手续。加强专项借款资金使用管理，确保项目建设取得明显进展。项目复工续建后，存量资产处置、新建房屋销售回款等所有回笼资金需全额进入专用账户封闭运行，优先用于“保交楼”建设和偿还专项借款。</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县住房和城乡建设局</w:t>
            </w:r>
          </w:p>
          <w:p>
            <w:pPr>
              <w:snapToGrid w:val="0"/>
              <w:spacing w:line="280" w:lineRule="exact"/>
              <w:jc w:val="center"/>
              <w:rPr>
                <w:rFonts w:ascii="Times New Roman" w:hAnsi="Times New Roman"/>
                <w:szCs w:val="21"/>
              </w:rPr>
            </w:pP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周玉科</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4"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4</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做好支持政策落地。落实财税〔2022〕41 号文件要求。加速落地税收优惠政策。把握查封、扣押、冻结尺度，避免司法行为与“保交楼”政策冲突。严格执行有关规定，认真履行预售资金受托管理义务。严格落实保交楼专项借款还款责任，提高资金循环使用率。优化保交楼项目网签抵押交易税收监管，对保交楼项目资产保全网签抵押交易时的税金实行减免，在真实交易时缴纳一次。</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县税务局</w:t>
            </w:r>
          </w:p>
          <w:p>
            <w:pPr>
              <w:snapToGrid w:val="0"/>
              <w:spacing w:line="280" w:lineRule="exact"/>
              <w:jc w:val="center"/>
              <w:rPr>
                <w:rFonts w:hint="eastAsia" w:ascii="Times New Roman" w:hAnsi="Times New Roman"/>
                <w:szCs w:val="21"/>
              </w:rPr>
            </w:pPr>
            <w:r>
              <w:rPr>
                <w:rFonts w:hint="eastAsia" w:ascii="Times New Roman" w:hAnsi="Times New Roman"/>
                <w:szCs w:val="21"/>
              </w:rPr>
              <w:t>县人民法院</w:t>
            </w:r>
          </w:p>
          <w:p>
            <w:pPr>
              <w:snapToGrid w:val="0"/>
              <w:spacing w:line="280" w:lineRule="exact"/>
              <w:jc w:val="center"/>
              <w:rPr>
                <w:rFonts w:hint="eastAsia" w:ascii="Times New Roman" w:hAnsi="Times New Roman"/>
                <w:szCs w:val="21"/>
              </w:rPr>
            </w:pPr>
            <w:r>
              <w:rPr>
                <w:rFonts w:hint="eastAsia" w:ascii="Times New Roman" w:hAnsi="Times New Roman"/>
                <w:szCs w:val="21"/>
              </w:rPr>
              <w:t>县政府金融办</w:t>
            </w:r>
          </w:p>
          <w:p>
            <w:pPr>
              <w:snapToGrid w:val="0"/>
              <w:spacing w:line="280" w:lineRule="exact"/>
              <w:jc w:val="center"/>
              <w:rPr>
                <w:rFonts w:hint="eastAsia" w:ascii="Times New Roman" w:hAnsi="Times New Roman"/>
                <w:szCs w:val="21"/>
              </w:rPr>
            </w:pPr>
            <w:r>
              <w:rPr>
                <w:rFonts w:hint="eastAsia" w:ascii="Times New Roman" w:hAnsi="Times New Roman"/>
                <w:szCs w:val="21"/>
              </w:rPr>
              <w:t>县财政局</w:t>
            </w:r>
          </w:p>
          <w:p>
            <w:pPr>
              <w:snapToGrid w:val="0"/>
              <w:spacing w:line="280" w:lineRule="exact"/>
              <w:jc w:val="center"/>
              <w:rPr>
                <w:rFonts w:hint="eastAsia" w:ascii="Times New Roman" w:hAnsi="Times New Roman"/>
                <w:szCs w:val="21"/>
              </w:rPr>
            </w:pPr>
            <w:r>
              <w:rPr>
                <w:rFonts w:hint="eastAsia" w:ascii="Times New Roman" w:hAnsi="Times New Roman"/>
                <w:szCs w:val="21"/>
              </w:rPr>
              <w:t>县住房城乡建设局</w:t>
            </w:r>
          </w:p>
          <w:p>
            <w:pPr>
              <w:snapToGrid w:val="0"/>
              <w:spacing w:line="280" w:lineRule="exact"/>
              <w:jc w:val="center"/>
              <w:rPr>
                <w:rFonts w:hint="eastAsia" w:ascii="Times New Roman" w:hAnsi="Times New Roman"/>
                <w:szCs w:val="21"/>
              </w:rPr>
            </w:pPr>
            <w:r>
              <w:rPr>
                <w:rFonts w:hint="eastAsia" w:ascii="Times New Roman" w:hAnsi="Times New Roman"/>
                <w:szCs w:val="21"/>
              </w:rPr>
              <w:t>人民银行隆回支行</w:t>
            </w:r>
          </w:p>
          <w:p>
            <w:pPr>
              <w:snapToGrid w:val="0"/>
              <w:spacing w:line="280" w:lineRule="exact"/>
              <w:jc w:val="center"/>
              <w:rPr>
                <w:rFonts w:ascii="Times New Roman" w:hAnsi="Times New Roman"/>
                <w:szCs w:val="21"/>
              </w:rPr>
            </w:pP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章  晋</w:t>
            </w:r>
          </w:p>
          <w:p>
            <w:pPr>
              <w:snapToGrid w:val="0"/>
              <w:spacing w:line="280" w:lineRule="exact"/>
              <w:jc w:val="center"/>
              <w:rPr>
                <w:rFonts w:hint="eastAsia" w:ascii="Times New Roman" w:hAnsi="Times New Roman"/>
                <w:szCs w:val="21"/>
              </w:rPr>
            </w:pPr>
            <w:r>
              <w:rPr>
                <w:rFonts w:hint="eastAsia" w:ascii="Times New Roman" w:hAnsi="Times New Roman"/>
                <w:szCs w:val="21"/>
              </w:rPr>
              <w:t>边  旭</w:t>
            </w:r>
          </w:p>
          <w:p>
            <w:pPr>
              <w:snapToGrid w:val="0"/>
              <w:spacing w:line="280" w:lineRule="exact"/>
              <w:jc w:val="center"/>
              <w:rPr>
                <w:rFonts w:hint="eastAsia" w:ascii="Times New Roman" w:hAnsi="Times New Roman"/>
                <w:szCs w:val="21"/>
              </w:rPr>
            </w:pPr>
            <w:r>
              <w:rPr>
                <w:rFonts w:hint="eastAsia" w:ascii="Times New Roman" w:hAnsi="Times New Roman"/>
                <w:szCs w:val="21"/>
              </w:rPr>
              <w:t>陈建军</w:t>
            </w:r>
          </w:p>
          <w:p>
            <w:pPr>
              <w:snapToGrid w:val="0"/>
              <w:spacing w:line="280" w:lineRule="exact"/>
              <w:jc w:val="center"/>
              <w:rPr>
                <w:rFonts w:hint="eastAsia" w:ascii="Times New Roman" w:hAnsi="Times New Roman"/>
                <w:szCs w:val="21"/>
              </w:rPr>
            </w:pPr>
            <w:r>
              <w:rPr>
                <w:rFonts w:hint="eastAsia" w:ascii="Times New Roman" w:hAnsi="Times New Roman"/>
                <w:szCs w:val="21"/>
              </w:rPr>
              <w:t>范志海</w:t>
            </w:r>
          </w:p>
          <w:p>
            <w:pPr>
              <w:snapToGrid w:val="0"/>
              <w:spacing w:line="280" w:lineRule="exact"/>
              <w:jc w:val="center"/>
              <w:rPr>
                <w:rFonts w:hint="eastAsia" w:ascii="Times New Roman" w:hAnsi="Times New Roman"/>
                <w:szCs w:val="21"/>
              </w:rPr>
            </w:pPr>
            <w:r>
              <w:rPr>
                <w:rFonts w:hint="eastAsia" w:ascii="Times New Roman" w:hAnsi="Times New Roman"/>
                <w:szCs w:val="21"/>
              </w:rPr>
              <w:t>周玉科</w:t>
            </w:r>
          </w:p>
          <w:p>
            <w:pPr>
              <w:snapToGrid w:val="0"/>
              <w:spacing w:line="280" w:lineRule="exact"/>
              <w:jc w:val="center"/>
              <w:rPr>
                <w:rFonts w:hint="eastAsia" w:ascii="Times New Roman" w:hAnsi="Times New Roman"/>
                <w:szCs w:val="21"/>
              </w:rPr>
            </w:pPr>
            <w:r>
              <w:rPr>
                <w:rFonts w:hint="eastAsia" w:ascii="Times New Roman" w:hAnsi="Times New Roman"/>
                <w:szCs w:val="21"/>
              </w:rPr>
              <w:t>刘伟雄</w:t>
            </w:r>
          </w:p>
          <w:p>
            <w:pPr>
              <w:snapToGrid w:val="0"/>
              <w:spacing w:line="280" w:lineRule="exact"/>
              <w:jc w:val="center"/>
              <w:rPr>
                <w:rFonts w:ascii="Times New Roman" w:hAnsi="Times New Roman"/>
                <w:szCs w:val="21"/>
              </w:rPr>
            </w:pP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5</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优化办证手续流程。对房地产项目及“保交楼”专项借款项目，通过容缺办证、承诺制等方式，全面推行“交房即交证”。加大历史遗留问题办证力度，加快交房进度。</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县自然资源局</w:t>
            </w:r>
          </w:p>
          <w:p>
            <w:pPr>
              <w:snapToGrid w:val="0"/>
              <w:spacing w:line="280" w:lineRule="exact"/>
              <w:jc w:val="center"/>
              <w:rPr>
                <w:rFonts w:ascii="Times New Roman" w:hAnsi="Times New Roman"/>
                <w:szCs w:val="21"/>
              </w:rPr>
            </w:pPr>
            <w:r>
              <w:rPr>
                <w:rFonts w:hint="eastAsia" w:ascii="Times New Roman" w:hAnsi="Times New Roman"/>
                <w:szCs w:val="21"/>
              </w:rPr>
              <w:t>县住房和城乡建设局</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李金平</w:t>
            </w:r>
          </w:p>
          <w:p>
            <w:pPr>
              <w:snapToGrid w:val="0"/>
              <w:spacing w:line="280" w:lineRule="exact"/>
              <w:jc w:val="center"/>
              <w:rPr>
                <w:rFonts w:ascii="Times New Roman" w:hAnsi="Times New Roman"/>
                <w:szCs w:val="21"/>
              </w:rPr>
            </w:pPr>
            <w:r>
              <w:rPr>
                <w:rFonts w:hint="eastAsia" w:ascii="Times New Roman" w:hAnsi="Times New Roman"/>
                <w:szCs w:val="21"/>
              </w:rPr>
              <w:t>周玉科</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杨喜国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0"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 w:val="24"/>
                <w:szCs w:val="24"/>
              </w:rPr>
            </w:pPr>
            <w:r>
              <w:rPr>
                <w:rFonts w:hint="eastAsia" w:ascii="Times New Roman" w:hAnsi="Times New Roman"/>
                <w:sz w:val="24"/>
                <w:szCs w:val="24"/>
              </w:rPr>
              <w:t>6</w:t>
            </w:r>
          </w:p>
        </w:tc>
        <w:tc>
          <w:tcPr>
            <w:tcW w:w="4016" w:type="dxa"/>
            <w:tcBorders>
              <w:left w:val="single" w:color="auto" w:sz="4" w:space="0"/>
            </w:tcBorders>
            <w:noWrap w:val="0"/>
            <w:vAlign w:val="center"/>
          </w:tcPr>
          <w:p>
            <w:pPr>
              <w:snapToGrid w:val="0"/>
              <w:spacing w:line="280" w:lineRule="exact"/>
              <w:rPr>
                <w:rFonts w:ascii="Times New Roman" w:hAnsi="Times New Roman"/>
                <w:sz w:val="24"/>
                <w:szCs w:val="24"/>
              </w:rPr>
            </w:pPr>
            <w:r>
              <w:rPr>
                <w:rFonts w:hint="eastAsia" w:ascii="Times New Roman" w:hAnsi="Times New Roman"/>
                <w:sz w:val="24"/>
                <w:szCs w:val="24"/>
              </w:rPr>
              <w:t>营造良好稳定环境。压实属地责任，落实“四方见面沟通”机制，防止出现赴省进京集访群访事件。全面完成第一批、第二批专项借款项目原有预售资金专项审计工作，启动开发企业主要股东抽逃预售资金的追缴工作。依法查处涉房地产领域违法犯罪案件，严惩违法违规行为，重点查处拖欠农民工工资、违规预售、虚假宣传、挪用抽逃资金、搭伙倒账、扰乱市场正常秩序等问题。从严查处打击众筹资金、捐助资金用于资助群体房闹、集访群访、越级上访的违法行为，非法获利一律清退追缴。</w:t>
            </w:r>
          </w:p>
        </w:tc>
        <w:tc>
          <w:tcPr>
            <w:tcW w:w="3982"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县委宣传部</w:t>
            </w:r>
          </w:p>
          <w:p>
            <w:pPr>
              <w:snapToGrid w:val="0"/>
              <w:spacing w:line="280" w:lineRule="exact"/>
              <w:jc w:val="center"/>
              <w:rPr>
                <w:rFonts w:hint="eastAsia" w:ascii="Times New Roman" w:hAnsi="Times New Roman"/>
                <w:szCs w:val="21"/>
              </w:rPr>
            </w:pPr>
            <w:r>
              <w:rPr>
                <w:rFonts w:hint="eastAsia" w:ascii="Times New Roman" w:hAnsi="Times New Roman"/>
                <w:szCs w:val="21"/>
              </w:rPr>
              <w:t>县委政法委</w:t>
            </w:r>
          </w:p>
          <w:p>
            <w:pPr>
              <w:snapToGrid w:val="0"/>
              <w:spacing w:line="280" w:lineRule="exact"/>
              <w:jc w:val="center"/>
              <w:rPr>
                <w:rFonts w:hint="eastAsia" w:ascii="Times New Roman" w:hAnsi="Times New Roman"/>
                <w:szCs w:val="21"/>
              </w:rPr>
            </w:pPr>
            <w:r>
              <w:rPr>
                <w:rFonts w:hint="eastAsia" w:ascii="Times New Roman" w:hAnsi="Times New Roman"/>
                <w:szCs w:val="21"/>
              </w:rPr>
              <w:t>县委网信办</w:t>
            </w:r>
          </w:p>
          <w:p>
            <w:pPr>
              <w:snapToGrid w:val="0"/>
              <w:spacing w:line="280" w:lineRule="exact"/>
              <w:jc w:val="center"/>
              <w:rPr>
                <w:rFonts w:hint="eastAsia" w:ascii="Times New Roman" w:hAnsi="Times New Roman"/>
                <w:szCs w:val="21"/>
              </w:rPr>
            </w:pPr>
            <w:r>
              <w:rPr>
                <w:rFonts w:hint="eastAsia" w:ascii="Times New Roman" w:hAnsi="Times New Roman"/>
                <w:szCs w:val="21"/>
              </w:rPr>
              <w:t>县公安局</w:t>
            </w:r>
          </w:p>
          <w:p>
            <w:pPr>
              <w:snapToGrid w:val="0"/>
              <w:spacing w:line="280" w:lineRule="exact"/>
              <w:jc w:val="center"/>
              <w:rPr>
                <w:rFonts w:hint="eastAsia" w:ascii="Times New Roman" w:hAnsi="Times New Roman"/>
                <w:szCs w:val="21"/>
              </w:rPr>
            </w:pPr>
            <w:r>
              <w:rPr>
                <w:rFonts w:hint="eastAsia" w:ascii="Times New Roman" w:hAnsi="Times New Roman"/>
                <w:szCs w:val="21"/>
              </w:rPr>
              <w:t>县住房和城乡建设局</w:t>
            </w:r>
          </w:p>
          <w:p>
            <w:pPr>
              <w:snapToGrid w:val="0"/>
              <w:spacing w:line="280" w:lineRule="exact"/>
              <w:jc w:val="center"/>
              <w:rPr>
                <w:rFonts w:hint="eastAsia" w:ascii="Times New Roman" w:hAnsi="Times New Roman"/>
                <w:szCs w:val="21"/>
              </w:rPr>
            </w:pPr>
            <w:r>
              <w:rPr>
                <w:rFonts w:hint="eastAsia" w:ascii="Times New Roman" w:hAnsi="Times New Roman"/>
                <w:szCs w:val="21"/>
              </w:rPr>
              <w:t>县审计局</w:t>
            </w:r>
          </w:p>
          <w:p>
            <w:pPr>
              <w:snapToGrid w:val="0"/>
              <w:spacing w:line="280" w:lineRule="exact"/>
              <w:jc w:val="center"/>
              <w:rPr>
                <w:rFonts w:hint="eastAsia" w:ascii="Times New Roman" w:hAnsi="Times New Roman"/>
                <w:szCs w:val="21"/>
              </w:rPr>
            </w:pPr>
            <w:r>
              <w:rPr>
                <w:rFonts w:hint="eastAsia" w:ascii="Times New Roman" w:hAnsi="Times New Roman"/>
                <w:szCs w:val="21"/>
              </w:rPr>
              <w:t>县信访局</w:t>
            </w:r>
          </w:p>
          <w:p>
            <w:pPr>
              <w:snapToGrid w:val="0"/>
              <w:spacing w:line="280" w:lineRule="exact"/>
              <w:jc w:val="center"/>
              <w:rPr>
                <w:rFonts w:hint="eastAsia" w:ascii="Times New Roman" w:hAnsi="Times New Roman"/>
                <w:szCs w:val="21"/>
              </w:rPr>
            </w:pPr>
            <w:r>
              <w:rPr>
                <w:rFonts w:hint="eastAsia" w:ascii="Times New Roman" w:hAnsi="Times New Roman"/>
                <w:szCs w:val="21"/>
              </w:rPr>
              <w:t>县人力资源社会保障局</w:t>
            </w:r>
          </w:p>
          <w:p>
            <w:pPr>
              <w:snapToGrid w:val="0"/>
              <w:spacing w:line="280" w:lineRule="exact"/>
              <w:jc w:val="center"/>
              <w:rPr>
                <w:rFonts w:ascii="Times New Roman" w:hAnsi="Times New Roman"/>
                <w:szCs w:val="21"/>
              </w:rPr>
            </w:pPr>
            <w:r>
              <w:rPr>
                <w:rFonts w:hint="eastAsia" w:ascii="Times New Roman" w:hAnsi="Times New Roman"/>
                <w:szCs w:val="21"/>
              </w:rPr>
              <w:t>县市场监督管理局</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魏志坚</w:t>
            </w:r>
          </w:p>
          <w:p>
            <w:pPr>
              <w:snapToGrid w:val="0"/>
              <w:spacing w:line="280" w:lineRule="exact"/>
              <w:jc w:val="center"/>
              <w:rPr>
                <w:rFonts w:hint="eastAsia" w:ascii="Times New Roman" w:hAnsi="Times New Roman"/>
                <w:szCs w:val="21"/>
              </w:rPr>
            </w:pPr>
            <w:r>
              <w:rPr>
                <w:rFonts w:hint="eastAsia" w:ascii="Times New Roman" w:hAnsi="Times New Roman"/>
                <w:szCs w:val="21"/>
              </w:rPr>
              <w:t>杨治华</w:t>
            </w:r>
          </w:p>
          <w:p>
            <w:pPr>
              <w:snapToGrid w:val="0"/>
              <w:spacing w:line="280" w:lineRule="exact"/>
              <w:jc w:val="center"/>
              <w:rPr>
                <w:rFonts w:hint="eastAsia" w:ascii="Times New Roman" w:hAnsi="Times New Roman"/>
                <w:szCs w:val="21"/>
              </w:rPr>
            </w:pPr>
            <w:r>
              <w:rPr>
                <w:rFonts w:hint="eastAsia" w:ascii="Times New Roman" w:hAnsi="Times New Roman"/>
                <w:szCs w:val="21"/>
              </w:rPr>
              <w:t>杨力岸</w:t>
            </w:r>
          </w:p>
          <w:p>
            <w:pPr>
              <w:snapToGrid w:val="0"/>
              <w:spacing w:line="280" w:lineRule="exact"/>
              <w:jc w:val="center"/>
              <w:rPr>
                <w:rFonts w:hint="eastAsia" w:ascii="Times New Roman" w:hAnsi="Times New Roman"/>
                <w:szCs w:val="21"/>
              </w:rPr>
            </w:pPr>
            <w:r>
              <w:rPr>
                <w:rFonts w:hint="eastAsia" w:ascii="Times New Roman" w:hAnsi="Times New Roman"/>
                <w:szCs w:val="21"/>
              </w:rPr>
              <w:t>李  超</w:t>
            </w:r>
          </w:p>
          <w:p>
            <w:pPr>
              <w:snapToGrid w:val="0"/>
              <w:spacing w:line="280" w:lineRule="exact"/>
              <w:jc w:val="center"/>
              <w:rPr>
                <w:rFonts w:hint="eastAsia" w:ascii="Times New Roman" w:hAnsi="Times New Roman"/>
                <w:szCs w:val="21"/>
              </w:rPr>
            </w:pPr>
            <w:r>
              <w:rPr>
                <w:rFonts w:hint="eastAsia" w:ascii="Times New Roman" w:hAnsi="Times New Roman"/>
                <w:szCs w:val="21"/>
              </w:rPr>
              <w:t>周玉科</w:t>
            </w:r>
          </w:p>
          <w:p>
            <w:pPr>
              <w:snapToGrid w:val="0"/>
              <w:spacing w:line="280" w:lineRule="exact"/>
              <w:jc w:val="center"/>
              <w:rPr>
                <w:rFonts w:hint="eastAsia" w:ascii="Times New Roman" w:hAnsi="Times New Roman"/>
                <w:szCs w:val="21"/>
              </w:rPr>
            </w:pPr>
            <w:r>
              <w:rPr>
                <w:rFonts w:hint="eastAsia" w:ascii="Times New Roman" w:hAnsi="Times New Roman"/>
                <w:szCs w:val="21"/>
              </w:rPr>
              <w:t>邱武隆</w:t>
            </w:r>
          </w:p>
          <w:p>
            <w:pPr>
              <w:snapToGrid w:val="0"/>
              <w:spacing w:line="280" w:lineRule="exact"/>
              <w:jc w:val="center"/>
              <w:rPr>
                <w:rFonts w:hint="eastAsia" w:ascii="Times New Roman" w:hAnsi="Times New Roman"/>
                <w:szCs w:val="21"/>
              </w:rPr>
            </w:pPr>
            <w:r>
              <w:rPr>
                <w:rFonts w:hint="eastAsia" w:ascii="Times New Roman" w:hAnsi="Times New Roman"/>
                <w:szCs w:val="21"/>
              </w:rPr>
              <w:t>郑希华</w:t>
            </w:r>
          </w:p>
          <w:p>
            <w:pPr>
              <w:snapToGrid w:val="0"/>
              <w:spacing w:line="280" w:lineRule="exact"/>
              <w:jc w:val="center"/>
              <w:rPr>
                <w:rFonts w:hint="eastAsia" w:ascii="Times New Roman" w:hAnsi="Times New Roman"/>
                <w:szCs w:val="21"/>
              </w:rPr>
            </w:pPr>
            <w:r>
              <w:rPr>
                <w:rFonts w:hint="eastAsia" w:ascii="Times New Roman" w:hAnsi="Times New Roman"/>
                <w:szCs w:val="21"/>
              </w:rPr>
              <w:t>王柏玉</w:t>
            </w:r>
          </w:p>
          <w:p>
            <w:pPr>
              <w:snapToGrid w:val="0"/>
              <w:spacing w:line="280" w:lineRule="exact"/>
              <w:jc w:val="center"/>
              <w:rPr>
                <w:rFonts w:ascii="Times New Roman" w:hAnsi="Times New Roman"/>
                <w:szCs w:val="21"/>
              </w:rPr>
            </w:pPr>
            <w:r>
              <w:rPr>
                <w:rFonts w:hint="eastAsia" w:ascii="Times New Roman" w:hAnsi="Times New Roman"/>
                <w:szCs w:val="21"/>
              </w:rPr>
              <w:t>陈林习</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雷  勇</w:t>
            </w:r>
          </w:p>
          <w:p>
            <w:pPr>
              <w:snapToGrid w:val="0"/>
              <w:spacing w:line="280" w:lineRule="exact"/>
              <w:jc w:val="center"/>
              <w:rPr>
                <w:rFonts w:hint="eastAsia" w:ascii="Times New Roman" w:hAnsi="Times New Roman"/>
                <w:szCs w:val="21"/>
              </w:rPr>
            </w:pPr>
            <w:r>
              <w:rPr>
                <w:rFonts w:hint="eastAsia" w:ascii="Times New Roman" w:hAnsi="Times New Roman"/>
                <w:szCs w:val="21"/>
              </w:rPr>
              <w:t>杨  敏</w:t>
            </w:r>
          </w:p>
          <w:p>
            <w:pPr>
              <w:snapToGrid w:val="0"/>
              <w:spacing w:line="280" w:lineRule="exact"/>
              <w:jc w:val="center"/>
              <w:rPr>
                <w:rFonts w:hint="eastAsia" w:ascii="Times New Roman" w:hAnsi="Times New Roman"/>
                <w:szCs w:val="21"/>
              </w:rPr>
            </w:pPr>
            <w:r>
              <w:rPr>
                <w:rFonts w:hint="eastAsia" w:ascii="Times New Roman" w:hAnsi="Times New Roman"/>
                <w:szCs w:val="21"/>
              </w:rPr>
              <w:t>杨喜国</w:t>
            </w:r>
          </w:p>
          <w:p>
            <w:pPr>
              <w:snapToGrid w:val="0"/>
              <w:spacing w:line="280" w:lineRule="exact"/>
              <w:jc w:val="center"/>
              <w:rPr>
                <w:rFonts w:hint="eastAsia" w:ascii="Times New Roman" w:hAnsi="Times New Roman"/>
                <w:szCs w:val="21"/>
              </w:rPr>
            </w:pPr>
            <w:r>
              <w:rPr>
                <w:rFonts w:hint="eastAsia" w:ascii="Times New Roman" w:hAnsi="Times New Roman"/>
                <w:szCs w:val="21"/>
              </w:rPr>
              <w:t>王兰鹏</w:t>
            </w:r>
          </w:p>
          <w:p>
            <w:pPr>
              <w:snapToGrid w:val="0"/>
              <w:spacing w:line="280" w:lineRule="exact"/>
              <w:jc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jc w:val="center"/>
              <w:textAlignment w:val="center"/>
              <w:rPr>
                <w:rFonts w:ascii="Times New Roman" w:hAnsi="Times New Roman"/>
                <w:b/>
                <w:bCs/>
                <w:szCs w:val="21"/>
              </w:rPr>
            </w:pPr>
            <w:r>
              <w:rPr>
                <w:rFonts w:ascii="Times New Roman" w:hAnsi="Times New Roman" w:eastAsia="黑体"/>
                <w:szCs w:val="21"/>
              </w:rPr>
              <w:t>四、防范化解疫情风险（</w:t>
            </w:r>
            <w:r>
              <w:rPr>
                <w:rFonts w:hint="eastAsia" w:ascii="Times New Roman" w:hAnsi="Times New Roman" w:eastAsia="黑体"/>
                <w:szCs w:val="21"/>
              </w:rPr>
              <w:t>县卫生健康局</w:t>
            </w:r>
            <w:r>
              <w:rPr>
                <w:rFonts w:ascii="Times New Roman" w:hAnsi="Times New Roman" w:eastAsia="黑体"/>
                <w:szCs w:val="21"/>
              </w:rPr>
              <w:t>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持续提供疫苗接种服务，确保新冠病毒疫苗接种率达到国家、省标准</w:t>
            </w:r>
            <w:r>
              <w:rPr>
                <w:rFonts w:hint="eastAsia" w:ascii="Times New Roman" w:hAnsi="Times New Roman"/>
                <w:szCs w:val="21"/>
              </w:rPr>
              <w:t>，</w:t>
            </w:r>
            <w:r>
              <w:rPr>
                <w:rFonts w:hint="eastAsia" w:ascii="宋体" w:hAnsi="宋体" w:cs="宋体"/>
                <w:szCs w:val="21"/>
              </w:rPr>
              <w:t>发挥医疗机构公共卫生服务职能作用。</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县市</w:t>
            </w:r>
            <w:r>
              <w:rPr>
                <w:rFonts w:ascii="Times New Roman" w:hAnsi="Times New Roman"/>
                <w:szCs w:val="21"/>
              </w:rPr>
              <w:t>场</w:t>
            </w:r>
            <w:r>
              <w:rPr>
                <w:rFonts w:hint="eastAsia" w:ascii="Times New Roman" w:hAnsi="Times New Roman"/>
                <w:szCs w:val="21"/>
              </w:rPr>
              <w:t>监督管理</w:t>
            </w:r>
            <w:r>
              <w:rPr>
                <w:rFonts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医保局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简丽华</w:t>
            </w:r>
          </w:p>
          <w:p>
            <w:pPr>
              <w:snapToGrid w:val="0"/>
              <w:spacing w:line="280" w:lineRule="exact"/>
              <w:jc w:val="center"/>
              <w:rPr>
                <w:rFonts w:hint="eastAsia" w:ascii="Times New Roman" w:hAnsi="Times New Roman"/>
                <w:szCs w:val="21"/>
              </w:rPr>
            </w:pPr>
            <w:r>
              <w:rPr>
                <w:rFonts w:hint="eastAsia" w:ascii="Times New Roman" w:hAnsi="Times New Roman"/>
                <w:szCs w:val="21"/>
              </w:rPr>
              <w:t>陈林习</w:t>
            </w:r>
          </w:p>
          <w:p>
            <w:pPr>
              <w:snapToGrid w:val="0"/>
              <w:spacing w:line="280" w:lineRule="exact"/>
              <w:jc w:val="center"/>
              <w:rPr>
                <w:rFonts w:hint="eastAsia" w:ascii="Times New Roman" w:hAnsi="Times New Roman"/>
                <w:szCs w:val="21"/>
              </w:rPr>
            </w:pPr>
            <w:r>
              <w:rPr>
                <w:rFonts w:hint="eastAsia" w:ascii="Times New Roman" w:hAnsi="Times New Roman"/>
                <w:szCs w:val="21"/>
              </w:rPr>
              <w:t>胡国胜</w:t>
            </w:r>
          </w:p>
          <w:p>
            <w:pPr>
              <w:snapToGrid w:val="0"/>
              <w:spacing w:line="280" w:lineRule="exact"/>
              <w:jc w:val="center"/>
              <w:rPr>
                <w:rFonts w:hint="eastAsia" w:ascii="Times New Roman" w:hAnsi="Times New Roman"/>
                <w:szCs w:val="21"/>
              </w:rPr>
            </w:pPr>
            <w:r>
              <w:rPr>
                <w:rFonts w:hint="eastAsia" w:ascii="Times New Roman" w:hAnsi="Times New Roman"/>
                <w:szCs w:val="21"/>
              </w:rPr>
              <w:t>范志海</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刘  琴</w:t>
            </w:r>
          </w:p>
          <w:p>
            <w:pPr>
              <w:snapToGrid w:val="0"/>
              <w:spacing w:line="280" w:lineRule="exact"/>
              <w:jc w:val="center"/>
              <w:rPr>
                <w:rFonts w:hint="eastAsia" w:ascii="Times New Roman" w:hAnsi="Times New Roman"/>
                <w:szCs w:val="21"/>
              </w:rPr>
            </w:pPr>
            <w:r>
              <w:rPr>
                <w:rFonts w:hint="eastAsia" w:ascii="Times New Roman" w:hAnsi="Times New Roman"/>
                <w:szCs w:val="21"/>
              </w:rPr>
              <w:t>蒋  吉</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2</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保障药品和检测试剂需求。县级以上医疗机构按照三个月的日常使用量动态准备新型冠状病毒感染相关药物、解热和止咳等对症治疗药物。基层医疗卫生机构按照服务人口数的15%-20%动态准备相关中药、对症治疗药物，人口稠密地区酌情增加。</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县市</w:t>
            </w:r>
            <w:r>
              <w:rPr>
                <w:rFonts w:ascii="Times New Roman" w:hAnsi="Times New Roman"/>
                <w:szCs w:val="21"/>
              </w:rPr>
              <w:t>场</w:t>
            </w:r>
            <w:r>
              <w:rPr>
                <w:rFonts w:hint="eastAsia" w:ascii="Times New Roman" w:hAnsi="Times New Roman"/>
                <w:szCs w:val="21"/>
              </w:rPr>
              <w:t>监督管理</w:t>
            </w:r>
            <w:r>
              <w:rPr>
                <w:rFonts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医保局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工业和信息化局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简丽华</w:t>
            </w:r>
          </w:p>
          <w:p>
            <w:pPr>
              <w:snapToGrid w:val="0"/>
              <w:spacing w:line="280" w:lineRule="exact"/>
              <w:jc w:val="center"/>
              <w:rPr>
                <w:rFonts w:hint="eastAsia" w:ascii="Times New Roman" w:hAnsi="Times New Roman"/>
                <w:szCs w:val="21"/>
              </w:rPr>
            </w:pPr>
            <w:r>
              <w:rPr>
                <w:rFonts w:hint="eastAsia" w:ascii="Times New Roman" w:hAnsi="Times New Roman"/>
                <w:szCs w:val="21"/>
              </w:rPr>
              <w:t>陈林习</w:t>
            </w:r>
          </w:p>
          <w:p>
            <w:pPr>
              <w:snapToGrid w:val="0"/>
              <w:spacing w:line="280" w:lineRule="exact"/>
              <w:jc w:val="center"/>
              <w:rPr>
                <w:rFonts w:hint="eastAsia" w:ascii="Times New Roman" w:hAnsi="Times New Roman"/>
                <w:szCs w:val="21"/>
              </w:rPr>
            </w:pPr>
            <w:r>
              <w:rPr>
                <w:rFonts w:hint="eastAsia" w:ascii="Times New Roman" w:hAnsi="Times New Roman"/>
                <w:szCs w:val="21"/>
              </w:rPr>
              <w:t>胡国胜</w:t>
            </w:r>
          </w:p>
          <w:p>
            <w:pPr>
              <w:snapToGrid w:val="0"/>
              <w:spacing w:line="280" w:lineRule="exact"/>
              <w:jc w:val="center"/>
              <w:rPr>
                <w:rFonts w:hint="eastAsia" w:ascii="Times New Roman" w:hAnsi="Times New Roman"/>
                <w:szCs w:val="21"/>
              </w:rPr>
            </w:pPr>
            <w:r>
              <w:rPr>
                <w:rFonts w:hint="eastAsia" w:ascii="Times New Roman" w:hAnsi="Times New Roman"/>
                <w:szCs w:val="21"/>
              </w:rPr>
              <w:t>戴  飞</w:t>
            </w:r>
          </w:p>
          <w:p>
            <w:pPr>
              <w:snapToGrid w:val="0"/>
              <w:spacing w:line="280" w:lineRule="exact"/>
              <w:jc w:val="center"/>
              <w:rPr>
                <w:rFonts w:hint="eastAsia" w:ascii="Times New Roman" w:hAnsi="Times New Roman"/>
                <w:szCs w:val="21"/>
              </w:rPr>
            </w:pPr>
            <w:r>
              <w:rPr>
                <w:rFonts w:hint="eastAsia" w:ascii="Times New Roman" w:hAnsi="Times New Roman"/>
                <w:szCs w:val="21"/>
              </w:rPr>
              <w:t>范志海</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刘  琴</w:t>
            </w:r>
          </w:p>
          <w:p>
            <w:pPr>
              <w:snapToGrid w:val="0"/>
              <w:spacing w:line="280" w:lineRule="exact"/>
              <w:jc w:val="center"/>
              <w:rPr>
                <w:rFonts w:hint="eastAsia" w:ascii="Times New Roman" w:hAnsi="Times New Roman"/>
                <w:szCs w:val="21"/>
              </w:rPr>
            </w:pPr>
            <w:r>
              <w:rPr>
                <w:rFonts w:hint="eastAsia" w:ascii="Times New Roman" w:hAnsi="Times New Roman"/>
                <w:szCs w:val="21"/>
              </w:rPr>
              <w:t>蒋  吉</w:t>
            </w:r>
          </w:p>
          <w:p>
            <w:pPr>
              <w:snapToGrid w:val="0"/>
              <w:spacing w:line="280" w:lineRule="exact"/>
              <w:jc w:val="center"/>
              <w:rPr>
                <w:rFonts w:hint="eastAsia" w:ascii="Times New Roman" w:hAnsi="Times New Roman"/>
                <w:szCs w:val="21"/>
              </w:rPr>
            </w:pPr>
            <w:r>
              <w:rPr>
                <w:rFonts w:hint="eastAsia" w:ascii="Times New Roman" w:hAnsi="Times New Roman"/>
                <w:szCs w:val="21"/>
              </w:rPr>
              <w:t>刘咏波</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3</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提高医疗应急机构救治能力。重点做好住院、重症床位准备，</w:t>
            </w:r>
            <w:r>
              <w:rPr>
                <w:rFonts w:hint="eastAsia" w:ascii="Times New Roman" w:hAnsi="Times New Roman"/>
                <w:szCs w:val="21"/>
              </w:rPr>
              <w:t>县人民医院、县中医医院</w:t>
            </w:r>
            <w:r>
              <w:rPr>
                <w:rFonts w:ascii="Times New Roman" w:hAnsi="Times New Roman"/>
                <w:szCs w:val="21"/>
              </w:rPr>
              <w:t>强化重症医疗资源准备及医护力量配备。</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发改</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财政局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简丽华</w:t>
            </w:r>
          </w:p>
          <w:p>
            <w:pPr>
              <w:snapToGrid w:val="0"/>
              <w:spacing w:line="280" w:lineRule="exact"/>
              <w:jc w:val="center"/>
              <w:rPr>
                <w:rFonts w:hint="eastAsia" w:ascii="Times New Roman" w:hAnsi="Times New Roman"/>
                <w:szCs w:val="21"/>
              </w:rPr>
            </w:pPr>
            <w:r>
              <w:rPr>
                <w:rFonts w:hint="eastAsia" w:ascii="Times New Roman" w:hAnsi="Times New Roman"/>
                <w:szCs w:val="21"/>
              </w:rPr>
              <w:t>彭文波</w:t>
            </w:r>
          </w:p>
          <w:p>
            <w:pPr>
              <w:snapToGrid w:val="0"/>
              <w:spacing w:line="280" w:lineRule="exact"/>
              <w:jc w:val="center"/>
              <w:rPr>
                <w:rFonts w:hint="eastAsia" w:ascii="Times New Roman" w:hAnsi="Times New Roman"/>
                <w:szCs w:val="21"/>
              </w:rPr>
            </w:pPr>
            <w:r>
              <w:rPr>
                <w:rFonts w:hint="eastAsia" w:ascii="Times New Roman" w:hAnsi="Times New Roman"/>
                <w:szCs w:val="21"/>
              </w:rPr>
              <w:t>范志海</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刘  琴</w:t>
            </w:r>
          </w:p>
          <w:p>
            <w:pPr>
              <w:snapToGrid w:val="0"/>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4</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hint="eastAsia" w:ascii="宋体" w:hAnsi="宋体" w:cs="宋体"/>
                <w:szCs w:val="21"/>
              </w:rPr>
              <w:t>优化人群检测策略。对医疗机构收治的符合条件患者、有症状医务人员开展抗原或核酸检测。疫情期间对脆弱人群集中场所工作人员和被照护人员开展抗原或核酸  检测。在县城区开设足够的便民核酸点，保证居民“愿检尽检”。</w:t>
            </w:r>
          </w:p>
        </w:tc>
        <w:tc>
          <w:tcPr>
            <w:tcW w:w="3982" w:type="dxa"/>
            <w:noWrap w:val="0"/>
            <w:vAlign w:val="center"/>
          </w:tcPr>
          <w:p>
            <w:pPr>
              <w:snapToGrid w:val="0"/>
              <w:spacing w:line="280" w:lineRule="exact"/>
              <w:jc w:val="center"/>
            </w:pPr>
            <w:r>
              <w:rPr>
                <w:rFonts w:hint="eastAsia"/>
              </w:rPr>
              <w:t>县</w:t>
            </w:r>
            <w:r>
              <w:t>卫生健康</w:t>
            </w:r>
            <w:r>
              <w:rPr>
                <w:rFonts w:hint="eastAsia"/>
              </w:rPr>
              <w:t>局</w:t>
            </w:r>
          </w:p>
          <w:p>
            <w:pPr>
              <w:snapToGrid w:val="0"/>
              <w:spacing w:line="280" w:lineRule="exact"/>
              <w:jc w:val="center"/>
            </w:pPr>
            <w:r>
              <w:rPr>
                <w:rFonts w:hint="eastAsia"/>
              </w:rPr>
              <w:t>县</w:t>
            </w:r>
            <w:r>
              <w:t>民政局</w:t>
            </w:r>
          </w:p>
          <w:p>
            <w:pPr>
              <w:snapToGrid w:val="0"/>
              <w:spacing w:line="280" w:lineRule="exact"/>
              <w:jc w:val="center"/>
              <w:rPr>
                <w:rFonts w:ascii="Times New Roman" w:hAnsi="Times New Roman"/>
                <w:szCs w:val="21"/>
              </w:rPr>
            </w:pPr>
            <w:r>
              <w:rPr>
                <w:rFonts w:hint="eastAsia" w:ascii="Times New Roman" w:hAnsi="Times New Roman"/>
                <w:szCs w:val="21"/>
              </w:rPr>
              <w:t>县市</w:t>
            </w:r>
            <w:r>
              <w:rPr>
                <w:rFonts w:ascii="Times New Roman" w:hAnsi="Times New Roman"/>
                <w:szCs w:val="21"/>
              </w:rPr>
              <w:t>场</w:t>
            </w:r>
            <w:r>
              <w:rPr>
                <w:rFonts w:hint="eastAsia" w:ascii="Times New Roman" w:hAnsi="Times New Roman"/>
                <w:szCs w:val="21"/>
              </w:rPr>
              <w:t>监督管理</w:t>
            </w:r>
            <w:r>
              <w:rPr>
                <w:rFonts w:ascii="Times New Roman" w:hAnsi="Times New Roman"/>
                <w:szCs w:val="21"/>
              </w:rPr>
              <w:t>局</w:t>
            </w:r>
          </w:p>
          <w:p>
            <w:pPr>
              <w:snapToGrid w:val="0"/>
              <w:spacing w:line="280" w:lineRule="exact"/>
              <w:jc w:val="center"/>
              <w:rPr>
                <w:rFonts w:hint="eastAsia" w:ascii="Times New Roman" w:hAnsi="Times New Roman"/>
                <w:szCs w:val="21"/>
              </w:rPr>
            </w:pPr>
            <w:r>
              <w:rPr>
                <w:rFonts w:hint="eastAsia" w:ascii="Times New Roman" w:hAnsi="Times New Roman"/>
                <w:szCs w:val="21"/>
              </w:rPr>
              <w:t>各乡镇（街道）</w:t>
            </w:r>
          </w:p>
          <w:p>
            <w:pPr>
              <w:pStyle w:val="5"/>
              <w:jc w:val="center"/>
              <w:rPr>
                <w:rFonts w:ascii="Times New Roman" w:hAnsi="Times New Roman"/>
                <w:szCs w:val="21"/>
              </w:rPr>
            </w:pPr>
            <w:r>
              <w:rPr>
                <w:rFonts w:hint="eastAsia" w:ascii="Times New Roman" w:hAnsi="Times New Roman"/>
                <w:szCs w:val="21"/>
              </w:rPr>
              <w:t>各医疗机构</w:t>
            </w:r>
          </w:p>
        </w:tc>
        <w:tc>
          <w:tcPr>
            <w:tcW w:w="2740" w:type="dxa"/>
            <w:noWrap w:val="0"/>
            <w:vAlign w:val="center"/>
          </w:tcPr>
          <w:p>
            <w:pPr>
              <w:snapToGrid w:val="0"/>
              <w:jc w:val="center"/>
              <w:rPr>
                <w:rFonts w:hint="eastAsia"/>
              </w:rPr>
            </w:pPr>
            <w:r>
              <w:rPr>
                <w:rFonts w:hint="eastAsia"/>
              </w:rPr>
              <w:t>简丽华</w:t>
            </w:r>
          </w:p>
          <w:p>
            <w:pPr>
              <w:pStyle w:val="5"/>
              <w:spacing w:after="0"/>
              <w:jc w:val="center"/>
              <w:rPr>
                <w:rFonts w:hint="eastAsia"/>
              </w:rPr>
            </w:pPr>
            <w:r>
              <w:rPr>
                <w:rFonts w:hint="eastAsia"/>
              </w:rPr>
              <w:t>张  诚</w:t>
            </w:r>
          </w:p>
          <w:p>
            <w:pPr>
              <w:snapToGrid w:val="0"/>
              <w:jc w:val="center"/>
              <w:rPr>
                <w:rFonts w:hint="eastAsia"/>
              </w:rPr>
            </w:pPr>
            <w:r>
              <w:rPr>
                <w:rFonts w:hint="eastAsia"/>
              </w:rPr>
              <w:t>陈林习</w:t>
            </w:r>
          </w:p>
          <w:p>
            <w:pPr>
              <w:pStyle w:val="5"/>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乡镇（街道）主要负责人各医疗机构负责人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刘  琴</w:t>
            </w:r>
          </w:p>
          <w:p>
            <w:pPr>
              <w:snapToGrid w:val="0"/>
              <w:spacing w:line="280" w:lineRule="exact"/>
              <w:jc w:val="center"/>
              <w:rPr>
                <w:rFonts w:hint="eastAsia" w:ascii="Times New Roman" w:hAnsi="Times New Roman"/>
                <w:szCs w:val="21"/>
              </w:rPr>
            </w:pPr>
            <w:r>
              <w:rPr>
                <w:rFonts w:hint="eastAsia" w:ascii="Times New Roman" w:hAnsi="Times New Roman"/>
                <w:szCs w:val="21"/>
              </w:rPr>
              <w:t>张  胤</w:t>
            </w:r>
          </w:p>
          <w:p>
            <w:pPr>
              <w:snapToGrid w:val="0"/>
              <w:spacing w:line="280" w:lineRule="exact"/>
              <w:jc w:val="center"/>
              <w:rPr>
                <w:rFonts w:ascii="Times New Roman" w:hAnsi="Times New Roman"/>
                <w:szCs w:val="21"/>
              </w:rPr>
            </w:pPr>
            <w:r>
              <w:rPr>
                <w:rFonts w:hint="eastAsia" w:ascii="Times New Roman" w:hAnsi="Times New Roman"/>
                <w:szCs w:val="21"/>
              </w:rPr>
              <w:t>蒋  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5</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hint="eastAsia" w:ascii="宋体" w:hAnsi="宋体" w:cs="宋体"/>
                <w:szCs w:val="21"/>
              </w:rPr>
              <w:t>分级分类救治患者。全面实行发热等患者基层首诊负责制，做好分级诊疗，完善医疗救治资源区域协同机制，在医疗力量出现较大缺口、医疗服务体系受到较大冲击时，及时进行县级统筹、申报市级支援。</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hint="eastAsia" w:ascii="Times New Roman" w:hAnsi="Times New Roman"/>
                <w:szCs w:val="21"/>
              </w:rPr>
            </w:pPr>
            <w:r>
              <w:rPr>
                <w:rFonts w:hint="eastAsia" w:ascii="Times New Roman" w:hAnsi="Times New Roman"/>
                <w:szCs w:val="21"/>
              </w:rPr>
              <w:t>各乡镇（街道）</w:t>
            </w:r>
          </w:p>
          <w:p>
            <w:pPr>
              <w:snapToGrid w:val="0"/>
              <w:spacing w:line="280" w:lineRule="exact"/>
              <w:jc w:val="center"/>
              <w:rPr>
                <w:rFonts w:ascii="Times New Roman" w:hAnsi="Times New Roman"/>
                <w:szCs w:val="21"/>
              </w:rPr>
            </w:pPr>
            <w:r>
              <w:rPr>
                <w:rFonts w:hint="eastAsia" w:ascii="Times New Roman" w:hAnsi="Times New Roman"/>
                <w:szCs w:val="21"/>
              </w:rPr>
              <w:t>各医疗机构</w:t>
            </w:r>
          </w:p>
        </w:tc>
        <w:tc>
          <w:tcPr>
            <w:tcW w:w="2740" w:type="dxa"/>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简丽华</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乡镇（街道）主要负责人各医疗机构负责人</w:t>
            </w:r>
          </w:p>
        </w:tc>
        <w:tc>
          <w:tcPr>
            <w:tcW w:w="971" w:type="pct"/>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6</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做好重点人群健康服务。摸清65岁及以上老年人合并基础疾病及其新冠病毒疫苗接种情况，提供健康咨询、用药指导、协助转诊等分类分级健康服务。</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民政局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简丽华</w:t>
            </w:r>
          </w:p>
          <w:p>
            <w:pPr>
              <w:pStyle w:val="5"/>
              <w:spacing w:after="0"/>
              <w:jc w:val="center"/>
              <w:rPr>
                <w:rFonts w:hint="eastAsia"/>
              </w:rPr>
            </w:pPr>
            <w:r>
              <w:rPr>
                <w:rFonts w:hint="eastAsia" w:ascii="Times New Roman" w:hAnsi="Times New Roman"/>
                <w:szCs w:val="21"/>
              </w:rPr>
              <w:t>张  诚</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刘  琴</w:t>
            </w:r>
          </w:p>
          <w:p>
            <w:pPr>
              <w:snapToGrid w:val="0"/>
              <w:spacing w:line="280" w:lineRule="exact"/>
              <w:jc w:val="center"/>
              <w:rPr>
                <w:rFonts w:ascii="Times New Roman" w:hAnsi="Times New Roman"/>
                <w:szCs w:val="21"/>
              </w:rPr>
            </w:pPr>
            <w:r>
              <w:rPr>
                <w:rFonts w:hint="eastAsia" w:ascii="Times New Roman" w:hAnsi="Times New Roman"/>
                <w:szCs w:val="21"/>
              </w:rPr>
              <w:t>张  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7</w:t>
            </w:r>
          </w:p>
        </w:tc>
        <w:tc>
          <w:tcPr>
            <w:tcW w:w="4016" w:type="dxa"/>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强化重点机构感染防控。对养老机构、社会福利机构、军休所等人群集中场所建立医疗救治绿色通道，疫情严重时经评估可适当采取封闭管理。强化医疗机构日常消毒和通风，做好学校、大型企业等人员聚集重点机构人员健康监测，发生疫情采取减少人际接触措施。</w:t>
            </w:r>
          </w:p>
        </w:tc>
        <w:tc>
          <w:tcPr>
            <w:tcW w:w="3982" w:type="dxa"/>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民政局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退役军人事务局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教育局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公安局</w:t>
            </w:r>
          </w:p>
          <w:p>
            <w:pPr>
              <w:snapToGrid w:val="0"/>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8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pStyle w:val="5"/>
              <w:spacing w:after="0"/>
              <w:jc w:val="center"/>
              <w:rPr>
                <w:rFonts w:hint="eastAsia"/>
              </w:rPr>
            </w:pPr>
            <w:r>
              <w:rPr>
                <w:rFonts w:hint="eastAsia" w:ascii="Times New Roman" w:hAnsi="Times New Roman"/>
                <w:szCs w:val="21"/>
              </w:rPr>
              <w:t>张  诚</w:t>
            </w:r>
          </w:p>
          <w:p>
            <w:pPr>
              <w:snapToGrid w:val="0"/>
              <w:spacing w:line="280" w:lineRule="exact"/>
              <w:jc w:val="center"/>
              <w:rPr>
                <w:rFonts w:hint="eastAsia" w:ascii="Times New Roman" w:hAnsi="Times New Roman"/>
                <w:szCs w:val="21"/>
              </w:rPr>
            </w:pPr>
            <w:r>
              <w:rPr>
                <w:rFonts w:hint="eastAsia" w:ascii="Times New Roman" w:hAnsi="Times New Roman"/>
                <w:szCs w:val="21"/>
              </w:rPr>
              <w:t>马  仪</w:t>
            </w:r>
          </w:p>
          <w:p>
            <w:pPr>
              <w:snapToGrid w:val="0"/>
              <w:spacing w:line="280" w:lineRule="exact"/>
              <w:jc w:val="center"/>
              <w:rPr>
                <w:rFonts w:hint="eastAsia" w:ascii="Times New Roman" w:hAnsi="Times New Roman"/>
                <w:szCs w:val="21"/>
              </w:rPr>
            </w:pPr>
            <w:r>
              <w:rPr>
                <w:rFonts w:hint="eastAsia" w:ascii="Times New Roman" w:hAnsi="Times New Roman"/>
                <w:szCs w:val="21"/>
              </w:rPr>
              <w:t>李  良</w:t>
            </w:r>
          </w:p>
          <w:p>
            <w:pPr>
              <w:snapToGrid w:val="0"/>
              <w:spacing w:line="280" w:lineRule="exact"/>
              <w:jc w:val="center"/>
              <w:rPr>
                <w:rFonts w:hint="eastAsia" w:ascii="Times New Roman" w:hAnsi="Times New Roman"/>
                <w:szCs w:val="21"/>
              </w:rPr>
            </w:pPr>
            <w:r>
              <w:rPr>
                <w:rFonts w:hint="eastAsia" w:ascii="Times New Roman" w:hAnsi="Times New Roman"/>
                <w:szCs w:val="21"/>
              </w:rPr>
              <w:t>李  超</w:t>
            </w:r>
          </w:p>
          <w:p>
            <w:pPr>
              <w:snapToGrid w:val="0"/>
              <w:spacing w:line="280" w:lineRule="exact"/>
              <w:jc w:val="center"/>
              <w:rPr>
                <w:rFonts w:ascii="Times New Roman" w:hAnsi="Times New Roman"/>
                <w:szCs w:val="21"/>
              </w:rPr>
            </w:pPr>
            <w:r>
              <w:rPr>
                <w:rFonts w:hint="eastAsia" w:ascii="Times New Roman" w:hAnsi="Times New Roman"/>
                <w:szCs w:val="21"/>
              </w:rPr>
              <w:t>简丽华</w:t>
            </w:r>
          </w:p>
          <w:p>
            <w:pPr>
              <w:snapToGrid w:val="0"/>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80" w:lineRule="exact"/>
              <w:jc w:val="center"/>
              <w:rPr>
                <w:rFonts w:hint="eastAsia" w:ascii="Times New Roman" w:hAnsi="Times New Roman"/>
                <w:szCs w:val="21"/>
              </w:rPr>
            </w:pPr>
            <w:r>
              <w:rPr>
                <w:rFonts w:hint="eastAsia" w:ascii="Times New Roman" w:hAnsi="Times New Roman"/>
                <w:szCs w:val="21"/>
              </w:rPr>
              <w:t>张  胤</w:t>
            </w:r>
          </w:p>
          <w:p>
            <w:pPr>
              <w:snapToGrid w:val="0"/>
              <w:spacing w:line="28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6"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8</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加强农村地区疫情防控。发挥县、乡、村三级医疗卫生网作用，配足相关治疗药物和辅助治疗设备。建立健全县级医院对口帮扶和转诊集中，建立村、乡、县重症患者就医转介便捷渠道，适当控制农村集</w:t>
            </w:r>
            <w:r>
              <w:rPr>
                <w:rFonts w:hint="eastAsia" w:ascii="Times New Roman" w:hAnsi="Times New Roman"/>
                <w:szCs w:val="21"/>
              </w:rPr>
              <w:t>市</w:t>
            </w:r>
            <w:r>
              <w:rPr>
                <w:rFonts w:ascii="Times New Roman" w:hAnsi="Times New Roman"/>
                <w:szCs w:val="21"/>
              </w:rPr>
              <w:t>等聚集性活动规模和频次。</w:t>
            </w:r>
          </w:p>
        </w:tc>
        <w:tc>
          <w:tcPr>
            <w:tcW w:w="3982"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农业农村局</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卫健</w:t>
            </w:r>
            <w:r>
              <w:rPr>
                <w:rFonts w:hint="eastAsia" w:ascii="Times New Roman" w:hAnsi="Times New Roman"/>
                <w:szCs w:val="21"/>
              </w:rPr>
              <w:t>局</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委宣传部</w:t>
            </w:r>
          </w:p>
          <w:p>
            <w:pPr>
              <w:snapToGrid w:val="0"/>
              <w:spacing w:line="26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丁正华</w:t>
            </w:r>
          </w:p>
          <w:p>
            <w:pPr>
              <w:snapToGrid w:val="0"/>
              <w:spacing w:line="260" w:lineRule="exact"/>
              <w:jc w:val="center"/>
              <w:rPr>
                <w:rFonts w:ascii="Times New Roman" w:hAnsi="Times New Roman"/>
                <w:szCs w:val="21"/>
              </w:rPr>
            </w:pPr>
            <w:r>
              <w:rPr>
                <w:rFonts w:hint="eastAsia" w:ascii="Times New Roman" w:hAnsi="Times New Roman"/>
                <w:szCs w:val="21"/>
              </w:rPr>
              <w:t>简丽华</w:t>
            </w:r>
          </w:p>
          <w:p>
            <w:pPr>
              <w:snapToGrid w:val="0"/>
              <w:spacing w:line="260" w:lineRule="exact"/>
              <w:jc w:val="center"/>
              <w:rPr>
                <w:rFonts w:hint="eastAsia" w:ascii="Times New Roman" w:hAnsi="Times New Roman"/>
                <w:szCs w:val="21"/>
              </w:rPr>
            </w:pPr>
            <w:r>
              <w:rPr>
                <w:rFonts w:hint="eastAsia" w:ascii="Times New Roman" w:hAnsi="Times New Roman"/>
                <w:szCs w:val="21"/>
              </w:rPr>
              <w:t>魏志坚</w:t>
            </w:r>
          </w:p>
          <w:p>
            <w:pPr>
              <w:snapToGrid w:val="0"/>
              <w:spacing w:line="26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贺海飞</w:t>
            </w:r>
          </w:p>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9</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强化疫情监测研判。畅通检测渠道，落实监测责任，及时研判疫情发展态势。</w:t>
            </w:r>
          </w:p>
        </w:tc>
        <w:tc>
          <w:tcPr>
            <w:tcW w:w="3982"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疾控中心</w:t>
            </w:r>
          </w:p>
          <w:p>
            <w:pPr>
              <w:snapToGrid w:val="0"/>
              <w:spacing w:line="26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简丽华</w:t>
            </w:r>
          </w:p>
          <w:p>
            <w:pPr>
              <w:snapToGrid w:val="0"/>
              <w:spacing w:line="260" w:lineRule="exact"/>
              <w:jc w:val="center"/>
              <w:rPr>
                <w:rFonts w:hint="eastAsia" w:ascii="Times New Roman" w:hAnsi="Times New Roman"/>
                <w:szCs w:val="21"/>
              </w:rPr>
            </w:pPr>
            <w:r>
              <w:rPr>
                <w:rFonts w:hint="eastAsia" w:ascii="Times New Roman" w:hAnsi="Times New Roman"/>
                <w:szCs w:val="21"/>
              </w:rPr>
              <w:t>陈立国</w:t>
            </w:r>
          </w:p>
          <w:p>
            <w:pPr>
              <w:snapToGrid w:val="0"/>
              <w:spacing w:line="26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10</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加强宣传教育。广泛宣传疫苗接种、分级分类诊疗等措施，树立</w:t>
            </w:r>
            <w:r>
              <w:rPr>
                <w:rFonts w:hint="eastAsia" w:ascii="Times New Roman" w:hAnsi="Times New Roman"/>
                <w:szCs w:val="21"/>
              </w:rPr>
              <w:t>“</w:t>
            </w:r>
            <w:r>
              <w:rPr>
                <w:rFonts w:ascii="Times New Roman" w:hAnsi="Times New Roman"/>
                <w:szCs w:val="21"/>
              </w:rPr>
              <w:t>健康第一责任人</w:t>
            </w:r>
            <w:r>
              <w:rPr>
                <w:rFonts w:hint="eastAsia" w:ascii="Times New Roman" w:hAnsi="Times New Roman"/>
                <w:szCs w:val="21"/>
              </w:rPr>
              <w:t>”</w:t>
            </w:r>
            <w:r>
              <w:rPr>
                <w:rFonts w:ascii="Times New Roman" w:hAnsi="Times New Roman"/>
                <w:szCs w:val="21"/>
              </w:rPr>
              <w:t>理念，鼓励做好防护，保持良好卫生习惯。</w:t>
            </w:r>
          </w:p>
        </w:tc>
        <w:tc>
          <w:tcPr>
            <w:tcW w:w="3982"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委宣传部</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6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魏志坚</w:t>
            </w:r>
          </w:p>
          <w:p>
            <w:pPr>
              <w:snapToGrid w:val="0"/>
              <w:spacing w:line="260" w:lineRule="exact"/>
              <w:jc w:val="center"/>
              <w:rPr>
                <w:rFonts w:ascii="Times New Roman" w:hAnsi="Times New Roman"/>
                <w:szCs w:val="21"/>
              </w:rPr>
            </w:pPr>
            <w:r>
              <w:rPr>
                <w:rFonts w:hint="eastAsia" w:ascii="Times New Roman" w:hAnsi="Times New Roman"/>
                <w:szCs w:val="21"/>
              </w:rPr>
              <w:t>简丽华</w:t>
            </w:r>
          </w:p>
          <w:p>
            <w:pPr>
              <w:snapToGrid w:val="0"/>
              <w:spacing w:line="26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雷  勇</w:t>
            </w:r>
          </w:p>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11</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做好信息发布。定期发布我</w:t>
            </w:r>
            <w:r>
              <w:rPr>
                <w:rFonts w:hint="eastAsia" w:ascii="Times New Roman" w:hAnsi="Times New Roman"/>
                <w:szCs w:val="21"/>
              </w:rPr>
              <w:t>县</w:t>
            </w:r>
            <w:r>
              <w:rPr>
                <w:rFonts w:ascii="Times New Roman" w:hAnsi="Times New Roman"/>
                <w:szCs w:val="21"/>
              </w:rPr>
              <w:t>新冠疫情和突发公共卫生事件</w:t>
            </w:r>
            <w:r>
              <w:rPr>
                <w:rFonts w:hint="eastAsia" w:ascii="Times New Roman" w:hAnsi="Times New Roman"/>
                <w:szCs w:val="21"/>
              </w:rPr>
              <w:t>动态</w:t>
            </w:r>
            <w:r>
              <w:rPr>
                <w:rFonts w:ascii="Times New Roman" w:hAnsi="Times New Roman"/>
                <w:szCs w:val="21"/>
              </w:rPr>
              <w:t>信息。</w:t>
            </w:r>
          </w:p>
        </w:tc>
        <w:tc>
          <w:tcPr>
            <w:tcW w:w="3982"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委宣传部</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委网信办</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p>
            <w:pPr>
              <w:snapToGrid w:val="0"/>
              <w:spacing w:line="260" w:lineRule="exact"/>
              <w:jc w:val="center"/>
              <w:rPr>
                <w:rFonts w:ascii="Times New Roman" w:hAnsi="Times New Roman"/>
                <w:szCs w:val="21"/>
              </w:rPr>
            </w:pPr>
            <w:r>
              <w:rPr>
                <w:rFonts w:hint="eastAsia" w:ascii="Times New Roman" w:hAnsi="Times New Roman"/>
                <w:szCs w:val="21"/>
              </w:rPr>
              <w:t>各乡镇（街道）</w:t>
            </w:r>
          </w:p>
        </w:tc>
        <w:tc>
          <w:tcPr>
            <w:tcW w:w="2740" w:type="dxa"/>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魏志坚</w:t>
            </w:r>
          </w:p>
          <w:p>
            <w:pPr>
              <w:snapToGrid w:val="0"/>
              <w:spacing w:line="260" w:lineRule="exact"/>
              <w:jc w:val="center"/>
              <w:rPr>
                <w:rFonts w:hint="eastAsia" w:ascii="Times New Roman" w:hAnsi="Times New Roman"/>
                <w:szCs w:val="21"/>
              </w:rPr>
            </w:pPr>
            <w:r>
              <w:rPr>
                <w:rFonts w:hint="eastAsia" w:ascii="Times New Roman" w:hAnsi="Times New Roman"/>
                <w:szCs w:val="21"/>
              </w:rPr>
              <w:t>杨力岸</w:t>
            </w:r>
          </w:p>
          <w:p>
            <w:pPr>
              <w:snapToGrid w:val="0"/>
              <w:spacing w:line="260" w:lineRule="exact"/>
              <w:jc w:val="center"/>
              <w:rPr>
                <w:rFonts w:ascii="Times New Roman" w:hAnsi="Times New Roman"/>
                <w:szCs w:val="21"/>
              </w:rPr>
            </w:pPr>
            <w:r>
              <w:rPr>
                <w:rFonts w:hint="eastAsia" w:ascii="Times New Roman" w:hAnsi="Times New Roman"/>
                <w:szCs w:val="21"/>
              </w:rPr>
              <w:t>简丽华</w:t>
            </w:r>
          </w:p>
          <w:p>
            <w:pPr>
              <w:snapToGrid w:val="0"/>
              <w:spacing w:line="26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雷  勇</w:t>
            </w:r>
          </w:p>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3"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12</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优化入返</w:t>
            </w:r>
            <w:r>
              <w:rPr>
                <w:rFonts w:hint="eastAsia" w:ascii="Times New Roman" w:hAnsi="Times New Roman"/>
                <w:szCs w:val="21"/>
              </w:rPr>
              <w:t>隆</w:t>
            </w:r>
            <w:r>
              <w:rPr>
                <w:rFonts w:ascii="Times New Roman" w:hAnsi="Times New Roman"/>
                <w:szCs w:val="21"/>
              </w:rPr>
              <w:t>人员管理。取消入境后全员核酸检测和集中隔离，健康申报正常可放行进入社会面。</w:t>
            </w:r>
          </w:p>
        </w:tc>
        <w:tc>
          <w:tcPr>
            <w:tcW w:w="3982" w:type="dxa"/>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委外事办</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交通运输局</w:t>
            </w:r>
          </w:p>
          <w:p>
            <w:pPr>
              <w:snapToGrid w:val="0"/>
              <w:spacing w:line="26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卫生健康</w:t>
            </w:r>
            <w:r>
              <w:rPr>
                <w:rFonts w:hint="eastAsia" w:ascii="Times New Roman" w:hAnsi="Times New Roman"/>
                <w:szCs w:val="21"/>
              </w:rPr>
              <w:t>局</w:t>
            </w:r>
          </w:p>
        </w:tc>
        <w:tc>
          <w:tcPr>
            <w:tcW w:w="2740" w:type="dxa"/>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邓华艳</w:t>
            </w:r>
          </w:p>
          <w:p>
            <w:pPr>
              <w:snapToGrid w:val="0"/>
              <w:spacing w:line="260" w:lineRule="exact"/>
              <w:jc w:val="center"/>
              <w:rPr>
                <w:rFonts w:hint="eastAsia" w:ascii="Times New Roman" w:hAnsi="Times New Roman"/>
                <w:szCs w:val="21"/>
              </w:rPr>
            </w:pPr>
            <w:r>
              <w:rPr>
                <w:rFonts w:hint="eastAsia" w:ascii="Times New Roman" w:hAnsi="Times New Roman"/>
                <w:szCs w:val="21"/>
              </w:rPr>
              <w:t>周文锋</w:t>
            </w:r>
          </w:p>
          <w:p>
            <w:pPr>
              <w:snapToGrid w:val="0"/>
              <w:spacing w:line="260" w:lineRule="exact"/>
              <w:jc w:val="center"/>
              <w:rPr>
                <w:rFonts w:ascii="Times New Roman" w:hAnsi="Times New Roman"/>
                <w:szCs w:val="21"/>
              </w:rPr>
            </w:pPr>
            <w:r>
              <w:rPr>
                <w:rFonts w:hint="eastAsia" w:ascii="Times New Roman" w:hAnsi="Times New Roman"/>
                <w:szCs w:val="21"/>
              </w:rPr>
              <w:t>简丽华</w:t>
            </w:r>
          </w:p>
        </w:tc>
        <w:tc>
          <w:tcPr>
            <w:tcW w:w="971" w:type="pct"/>
            <w:noWrap w:val="0"/>
            <w:vAlign w:val="center"/>
          </w:tcPr>
          <w:p>
            <w:pPr>
              <w:snapToGrid w:val="0"/>
              <w:spacing w:line="260" w:lineRule="exact"/>
              <w:jc w:val="center"/>
              <w:rPr>
                <w:rFonts w:hint="eastAsia" w:ascii="Times New Roman" w:hAnsi="Times New Roman"/>
                <w:szCs w:val="21"/>
              </w:rPr>
            </w:pPr>
            <w:r>
              <w:rPr>
                <w:rFonts w:hint="eastAsia" w:ascii="Times New Roman" w:hAnsi="Times New Roman"/>
                <w:szCs w:val="21"/>
              </w:rPr>
              <w:t>杨方且</w:t>
            </w:r>
          </w:p>
          <w:p>
            <w:pPr>
              <w:snapToGrid w:val="0"/>
              <w:spacing w:line="260" w:lineRule="exact"/>
              <w:jc w:val="center"/>
              <w:rPr>
                <w:rFonts w:hint="eastAsia" w:ascii="Times New Roman" w:hAnsi="Times New Roman"/>
                <w:szCs w:val="21"/>
              </w:rPr>
            </w:pPr>
            <w:r>
              <w:rPr>
                <w:rFonts w:hint="eastAsia" w:ascii="Times New Roman" w:hAnsi="Times New Roman"/>
                <w:szCs w:val="21"/>
              </w:rPr>
              <w:t>刘咏波</w:t>
            </w:r>
          </w:p>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9" w:hRule="atLeast"/>
          <w:jc w:val="center"/>
        </w:trPr>
        <w:tc>
          <w:tcPr>
            <w:tcW w:w="708" w:type="dxa"/>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13</w:t>
            </w:r>
          </w:p>
        </w:tc>
        <w:tc>
          <w:tcPr>
            <w:tcW w:w="4016" w:type="dxa"/>
            <w:tcBorders>
              <w:left w:val="single" w:color="auto" w:sz="4" w:space="0"/>
            </w:tcBorders>
            <w:noWrap w:val="0"/>
            <w:vAlign w:val="center"/>
          </w:tcPr>
          <w:p>
            <w:pPr>
              <w:snapToGrid w:val="0"/>
              <w:spacing w:line="260" w:lineRule="exact"/>
              <w:rPr>
                <w:rFonts w:ascii="Times New Roman" w:hAnsi="Times New Roman"/>
                <w:szCs w:val="21"/>
              </w:rPr>
            </w:pPr>
            <w:r>
              <w:rPr>
                <w:rFonts w:ascii="Times New Roman" w:hAnsi="Times New Roman"/>
                <w:szCs w:val="21"/>
              </w:rPr>
              <w:t>做好心理援助工作。依托现有</w:t>
            </w:r>
            <w:r>
              <w:rPr>
                <w:rFonts w:hint="eastAsia" w:ascii="Times New Roman" w:hAnsi="Times New Roman"/>
                <w:szCs w:val="21"/>
              </w:rPr>
              <w:t>便</w:t>
            </w:r>
            <w:r>
              <w:rPr>
                <w:rFonts w:ascii="Times New Roman" w:hAnsi="Times New Roman"/>
                <w:szCs w:val="21"/>
              </w:rPr>
              <w:t>民服务热线，建立疫情防控心理援助热线。已开设互联网医院的二、三级医院在互联网医院功能板块常规设置便民咨询通道，通过线上答疑方式，及时解答群众关于新冠病毒感染就医、用药等疑问，设有精神心理门诊的医疗机构同步在互联网医院设置心理咨询通道，为患者提供专业心理咨询。同时，针对医务人员开展心理疏导工作。</w:t>
            </w:r>
          </w:p>
        </w:tc>
        <w:tc>
          <w:tcPr>
            <w:tcW w:w="3982" w:type="dxa"/>
            <w:noWrap w:val="0"/>
            <w:vAlign w:val="center"/>
          </w:tcPr>
          <w:p>
            <w:pPr>
              <w:snapToGrid w:val="0"/>
              <w:spacing w:line="260" w:lineRule="exact"/>
              <w:jc w:val="center"/>
            </w:pPr>
            <w:r>
              <w:rPr>
                <w:rFonts w:hint="eastAsia"/>
              </w:rPr>
              <w:t>县</w:t>
            </w:r>
            <w:r>
              <w:t>卫生健康</w:t>
            </w:r>
            <w:r>
              <w:rPr>
                <w:rFonts w:hint="eastAsia"/>
              </w:rPr>
              <w:t>局</w:t>
            </w:r>
          </w:p>
          <w:p>
            <w:pPr>
              <w:snapToGrid w:val="0"/>
              <w:spacing w:line="260" w:lineRule="exact"/>
              <w:jc w:val="center"/>
              <w:rPr>
                <w:rFonts w:hint="eastAsia" w:ascii="Times New Roman" w:hAnsi="Times New Roman"/>
                <w:szCs w:val="21"/>
              </w:rPr>
            </w:pPr>
            <w:r>
              <w:rPr>
                <w:rFonts w:hint="eastAsia" w:ascii="Times New Roman" w:hAnsi="Times New Roman"/>
                <w:szCs w:val="21"/>
              </w:rPr>
              <w:t>各乡镇（街道）</w:t>
            </w:r>
          </w:p>
          <w:p>
            <w:pPr>
              <w:pStyle w:val="5"/>
              <w:spacing w:after="0" w:line="260" w:lineRule="exact"/>
              <w:jc w:val="center"/>
              <w:rPr>
                <w:rFonts w:ascii="Times New Roman" w:hAnsi="Times New Roman"/>
                <w:szCs w:val="21"/>
              </w:rPr>
            </w:pPr>
            <w:r>
              <w:rPr>
                <w:rFonts w:hint="eastAsia" w:ascii="Times New Roman" w:hAnsi="Times New Roman"/>
                <w:szCs w:val="21"/>
              </w:rPr>
              <w:t>各医疗机构</w:t>
            </w:r>
          </w:p>
        </w:tc>
        <w:tc>
          <w:tcPr>
            <w:tcW w:w="2740" w:type="dxa"/>
            <w:noWrap w:val="0"/>
            <w:vAlign w:val="center"/>
          </w:tcPr>
          <w:p>
            <w:pPr>
              <w:snapToGrid w:val="0"/>
              <w:spacing w:line="260" w:lineRule="exact"/>
              <w:jc w:val="center"/>
            </w:pPr>
            <w:r>
              <w:rPr>
                <w:rFonts w:hint="eastAsia"/>
              </w:rPr>
              <w:t>简丽华</w:t>
            </w:r>
          </w:p>
          <w:p>
            <w:pPr>
              <w:pStyle w:val="5"/>
              <w:spacing w:after="0" w:line="26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乡镇（街道）主要负责人各医疗机构负责人</w:t>
            </w:r>
          </w:p>
        </w:tc>
        <w:tc>
          <w:tcPr>
            <w:tcW w:w="971" w:type="pct"/>
            <w:noWrap w:val="0"/>
            <w:vAlign w:val="center"/>
          </w:tcPr>
          <w:p>
            <w:pPr>
              <w:snapToGrid w:val="0"/>
              <w:spacing w:line="260" w:lineRule="exact"/>
              <w:jc w:val="center"/>
              <w:rPr>
                <w:rFonts w:ascii="Times New Roman" w:hAnsi="Times New Roman"/>
                <w:szCs w:val="21"/>
              </w:rPr>
            </w:pPr>
            <w:r>
              <w:rPr>
                <w:rFonts w:hint="eastAsia" w:ascii="Times New Roman" w:hAnsi="Times New Roman"/>
                <w:szCs w:val="21"/>
              </w:rPr>
              <w:t>刘  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jc w:val="center"/>
              <w:textAlignment w:val="center"/>
              <w:rPr>
                <w:rFonts w:ascii="Times New Roman" w:hAnsi="Times New Roman"/>
                <w:b/>
                <w:bCs/>
                <w:szCs w:val="21"/>
              </w:rPr>
            </w:pPr>
            <w:r>
              <w:rPr>
                <w:rFonts w:ascii="Times New Roman" w:hAnsi="Times New Roman" w:eastAsia="黑体"/>
                <w:szCs w:val="21"/>
              </w:rPr>
              <w:t>五、防范化解极端天气带来的风险（</w:t>
            </w:r>
            <w:r>
              <w:rPr>
                <w:rFonts w:hint="eastAsia" w:ascii="Times New Roman" w:hAnsi="Times New Roman" w:eastAsia="黑体"/>
                <w:szCs w:val="21"/>
              </w:rPr>
              <w:t>县</w:t>
            </w:r>
            <w:r>
              <w:rPr>
                <w:rFonts w:ascii="Times New Roman" w:hAnsi="Times New Roman" w:eastAsia="黑体"/>
                <w:szCs w:val="21"/>
              </w:rPr>
              <w:t>应急管理局牵头）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jc w:val="center"/>
        </w:trPr>
        <w:tc>
          <w:tcPr>
            <w:tcW w:w="249" w:type="pct"/>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1</w:t>
            </w:r>
          </w:p>
        </w:tc>
        <w:tc>
          <w:tcPr>
            <w:tcW w:w="1413" w:type="pct"/>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加强风险隐患排查和修订完善预案方案。做好极端天气条件下本行业内的重大自然灾害、事故灾难的危险源、危险区域调查、登记、风险评估，及时化解安全风险隐患，及时修订完善应急预案方案，并定期开展应急演练。</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 xml:space="preserve">应急管理局 </w:t>
            </w:r>
          </w:p>
          <w:p>
            <w:pPr>
              <w:spacing w:line="280" w:lineRule="exact"/>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县</w:t>
            </w:r>
            <w:r>
              <w:rPr>
                <w:rFonts w:ascii="Times New Roman" w:hAnsi="Times New Roman"/>
                <w:szCs w:val="21"/>
              </w:rPr>
              <w:t>安委会相关成员单位</w:t>
            </w:r>
          </w:p>
          <w:p>
            <w:pPr>
              <w:spacing w:line="280" w:lineRule="exact"/>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县</w:t>
            </w:r>
            <w:r>
              <w:rPr>
                <w:rFonts w:ascii="Times New Roman" w:hAnsi="Times New Roman"/>
                <w:szCs w:val="21"/>
              </w:rPr>
              <w:t>减灾委相关成员单位</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 xml:space="preserve">曾庆湘 </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w:t>
            </w:r>
            <w:r>
              <w:rPr>
                <w:rFonts w:hint="eastAsia" w:ascii="Times New Roman" w:hAnsi="Times New Roman"/>
                <w:szCs w:val="21"/>
              </w:rPr>
              <w:t>县</w:t>
            </w:r>
            <w:r>
              <w:rPr>
                <w:rFonts w:ascii="Times New Roman" w:hAnsi="Times New Roman"/>
                <w:szCs w:val="21"/>
              </w:rPr>
              <w:t>减灾委相关成员单位主要负责人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249" w:type="pct"/>
            <w:tcBorders>
              <w:right w:val="single" w:color="auto" w:sz="4" w:space="0"/>
            </w:tcBorders>
            <w:noWrap w:val="0"/>
            <w:vAlign w:val="center"/>
          </w:tcPr>
          <w:p>
            <w:pPr>
              <w:snapToGrid w:val="0"/>
              <w:spacing w:line="280" w:lineRule="exact"/>
              <w:jc w:val="center"/>
              <w:rPr>
                <w:rFonts w:ascii="Times New Roman" w:hAnsi="Times New Roman"/>
                <w:szCs w:val="21"/>
              </w:rPr>
            </w:pPr>
            <w:r>
              <w:rPr>
                <w:rFonts w:ascii="Times New Roman" w:hAnsi="Times New Roman"/>
                <w:szCs w:val="21"/>
              </w:rPr>
              <w:t>2</w:t>
            </w:r>
          </w:p>
        </w:tc>
        <w:tc>
          <w:tcPr>
            <w:tcW w:w="1413" w:type="pct"/>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szCs w:val="21"/>
              </w:rPr>
              <w:t>加强监测预警和信息发布。建立健全气象灾害监测、信息收集评估及预警系统。及时向党委政府提出应对建议，并及时向</w:t>
            </w:r>
            <w:r>
              <w:rPr>
                <w:rFonts w:hint="eastAsia" w:ascii="Times New Roman" w:hAnsi="Times New Roman"/>
                <w:szCs w:val="21"/>
              </w:rPr>
              <w:t>乡镇</w:t>
            </w:r>
            <w:r>
              <w:rPr>
                <w:rFonts w:hint="eastAsia" w:ascii="Times New Roman" w:hAnsi="Times New Roman"/>
                <w:spacing w:val="-6"/>
                <w:szCs w:val="21"/>
              </w:rPr>
              <w:t>（街道）</w:t>
            </w:r>
            <w:r>
              <w:rPr>
                <w:rFonts w:ascii="Times New Roman" w:hAnsi="Times New Roman"/>
                <w:spacing w:val="-6"/>
                <w:szCs w:val="21"/>
              </w:rPr>
              <w:t>发出预报预警和工作建议，确保第一时间传达到一线岗位和受威胁人群。</w:t>
            </w:r>
          </w:p>
        </w:tc>
        <w:tc>
          <w:tcPr>
            <w:tcW w:w="1401" w:type="pct"/>
            <w:noWrap w:val="0"/>
            <w:vAlign w:val="center"/>
          </w:tcPr>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应急管理局</w:t>
            </w:r>
          </w:p>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安委会相关成员单位</w:t>
            </w:r>
          </w:p>
          <w:p>
            <w:pPr>
              <w:spacing w:line="240" w:lineRule="exact"/>
              <w:jc w:val="center"/>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县</w:t>
            </w:r>
            <w:r>
              <w:rPr>
                <w:rFonts w:ascii="Times New Roman" w:hAnsi="Times New Roman"/>
                <w:szCs w:val="21"/>
              </w:rPr>
              <w:t>减灾委相关成员单位</w:t>
            </w:r>
          </w:p>
          <w:p>
            <w:pPr>
              <w:spacing w:line="240" w:lineRule="exact"/>
              <w:jc w:val="center"/>
              <w:rPr>
                <w:rFonts w:ascii="Times New Roman" w:hAnsi="Times New Roman"/>
                <w:szCs w:val="21"/>
              </w:rPr>
            </w:pPr>
            <w:r>
              <w:rPr>
                <w:rFonts w:hint="eastAsia" w:ascii="Times New Roman" w:hAnsi="Times New Roman"/>
                <w:szCs w:val="21"/>
              </w:rPr>
              <w:t>各乡镇（街道）</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曾庆湘</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w:t>
            </w:r>
            <w:r>
              <w:rPr>
                <w:rFonts w:hint="eastAsia" w:ascii="Times New Roman" w:hAnsi="Times New Roman"/>
                <w:szCs w:val="21"/>
              </w:rPr>
              <w:t>县</w:t>
            </w:r>
            <w:r>
              <w:rPr>
                <w:rFonts w:ascii="Times New Roman" w:hAnsi="Times New Roman"/>
                <w:szCs w:val="21"/>
              </w:rPr>
              <w:t>减灾委相关成员单位主要负责人</w:t>
            </w:r>
          </w:p>
          <w:p>
            <w:pPr>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jc w:val="center"/>
        </w:trPr>
        <w:tc>
          <w:tcPr>
            <w:tcW w:w="249" w:type="pct"/>
            <w:tcBorders>
              <w:right w:val="single" w:color="auto" w:sz="4" w:space="0"/>
            </w:tcBorders>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3</w:t>
            </w:r>
          </w:p>
        </w:tc>
        <w:tc>
          <w:tcPr>
            <w:tcW w:w="1413" w:type="pct"/>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bCs/>
                <w:szCs w:val="21"/>
              </w:rPr>
              <w:t>防范应对极端天气自然灾害和安全生产事故。落实企业主体责任，落实隐患排查和整改工作。督促合理安排生产经营活动，防范极端天气自然灾害和安全生产事故。</w:t>
            </w:r>
          </w:p>
        </w:tc>
        <w:tc>
          <w:tcPr>
            <w:tcW w:w="1401" w:type="pct"/>
            <w:noWrap w:val="0"/>
            <w:vAlign w:val="center"/>
          </w:tcPr>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应急管理局</w:t>
            </w:r>
          </w:p>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安委会相关成员单位</w:t>
            </w:r>
          </w:p>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减灾委相关成员单位</w:t>
            </w:r>
          </w:p>
          <w:p>
            <w:pPr>
              <w:spacing w:line="240" w:lineRule="exact"/>
              <w:jc w:val="center"/>
              <w:rPr>
                <w:rFonts w:ascii="Times New Roman" w:hAnsi="Times New Roman"/>
                <w:szCs w:val="21"/>
              </w:rPr>
            </w:pPr>
            <w:r>
              <w:rPr>
                <w:rFonts w:hint="eastAsia" w:ascii="Times New Roman" w:hAnsi="Times New Roman"/>
                <w:szCs w:val="21"/>
              </w:rPr>
              <w:t>各乡镇（街道）</w:t>
            </w:r>
          </w:p>
        </w:tc>
        <w:tc>
          <w:tcPr>
            <w:tcW w:w="964" w:type="pct"/>
            <w:noWrap w:val="0"/>
            <w:vAlign w:val="center"/>
          </w:tcPr>
          <w:p>
            <w:pPr>
              <w:spacing w:line="280" w:lineRule="exact"/>
              <w:jc w:val="center"/>
              <w:rPr>
                <w:rFonts w:hint="eastAsia" w:ascii="Times New Roman" w:hAnsi="Times New Roman"/>
                <w:szCs w:val="21"/>
              </w:rPr>
            </w:pPr>
            <w:r>
              <w:rPr>
                <w:rFonts w:hint="eastAsia" w:ascii="Times New Roman" w:hAnsi="Times New Roman"/>
                <w:szCs w:val="21"/>
              </w:rPr>
              <w:t>曾庆湘</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w:t>
            </w:r>
            <w:r>
              <w:rPr>
                <w:rFonts w:hint="eastAsia" w:ascii="Times New Roman" w:hAnsi="Times New Roman"/>
                <w:szCs w:val="21"/>
              </w:rPr>
              <w:t>县</w:t>
            </w:r>
            <w:r>
              <w:rPr>
                <w:rFonts w:ascii="Times New Roman" w:hAnsi="Times New Roman"/>
                <w:szCs w:val="21"/>
              </w:rPr>
              <w:t>减灾委相关成员单位主要负责人</w:t>
            </w:r>
          </w:p>
          <w:p>
            <w:pPr>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jc w:val="center"/>
        </w:trPr>
        <w:tc>
          <w:tcPr>
            <w:tcW w:w="249" w:type="pct"/>
            <w:tcBorders>
              <w:right w:val="single" w:color="auto" w:sz="4" w:space="0"/>
            </w:tcBorders>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4</w:t>
            </w:r>
          </w:p>
        </w:tc>
        <w:tc>
          <w:tcPr>
            <w:tcW w:w="1413" w:type="pct"/>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bCs/>
                <w:szCs w:val="21"/>
              </w:rPr>
              <w:t>做好应急救援准备保障。加强专业队伍建设，加强专用物料、器材、装备、工具储备，加强生活生产必需品储备，提前做好受伤人员医疗救护准备。</w:t>
            </w:r>
          </w:p>
        </w:tc>
        <w:tc>
          <w:tcPr>
            <w:tcW w:w="1401" w:type="pct"/>
            <w:noWrap w:val="0"/>
            <w:vAlign w:val="center"/>
          </w:tcPr>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应急管理局</w:t>
            </w:r>
          </w:p>
          <w:p>
            <w:pPr>
              <w:spacing w:line="240" w:lineRule="exact"/>
              <w:jc w:val="center"/>
              <w:rPr>
                <w:rFonts w:hint="eastAsia" w:ascii="Times New Roman" w:hAnsi="Times New Roman"/>
                <w:szCs w:val="21"/>
              </w:rPr>
            </w:pPr>
            <w:r>
              <w:rPr>
                <w:rFonts w:hint="eastAsia" w:ascii="Times New Roman" w:hAnsi="Times New Roman"/>
                <w:szCs w:val="21"/>
              </w:rPr>
              <w:t>县财政局</w:t>
            </w:r>
          </w:p>
          <w:p>
            <w:pPr>
              <w:spacing w:line="240" w:lineRule="exact"/>
              <w:jc w:val="center"/>
              <w:rPr>
                <w:rFonts w:hint="eastAsia" w:ascii="Times New Roman" w:hAnsi="Times New Roman"/>
                <w:szCs w:val="21"/>
              </w:rPr>
            </w:pPr>
            <w:r>
              <w:rPr>
                <w:rFonts w:hint="eastAsia" w:ascii="Times New Roman" w:hAnsi="Times New Roman"/>
                <w:szCs w:val="21"/>
              </w:rPr>
              <w:t>县卫生健康局</w:t>
            </w:r>
          </w:p>
          <w:p>
            <w:pPr>
              <w:spacing w:line="240" w:lineRule="exact"/>
              <w:jc w:val="center"/>
              <w:rPr>
                <w:rFonts w:hint="eastAsia" w:ascii="Times New Roman" w:hAnsi="Times New Roman"/>
                <w:szCs w:val="21"/>
              </w:rPr>
            </w:pPr>
            <w:r>
              <w:rPr>
                <w:rFonts w:hint="eastAsia" w:ascii="Times New Roman" w:hAnsi="Times New Roman"/>
                <w:szCs w:val="21"/>
              </w:rPr>
              <w:t>县商务局</w:t>
            </w:r>
          </w:p>
          <w:p>
            <w:pPr>
              <w:spacing w:line="240" w:lineRule="exact"/>
              <w:jc w:val="center"/>
              <w:rPr>
                <w:rFonts w:ascii="Times New Roman" w:hAnsi="Times New Roman"/>
                <w:szCs w:val="21"/>
              </w:rPr>
            </w:pPr>
            <w:r>
              <w:rPr>
                <w:rFonts w:hint="eastAsia" w:ascii="Times New Roman" w:hAnsi="Times New Roman"/>
                <w:szCs w:val="21"/>
              </w:rPr>
              <w:t>县发改局</w:t>
            </w:r>
          </w:p>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消防救援</w:t>
            </w:r>
            <w:r>
              <w:rPr>
                <w:rFonts w:hint="eastAsia" w:ascii="Times New Roman" w:hAnsi="Times New Roman"/>
                <w:szCs w:val="21"/>
              </w:rPr>
              <w:t>大</w:t>
            </w:r>
            <w:r>
              <w:rPr>
                <w:rFonts w:ascii="Times New Roman" w:hAnsi="Times New Roman"/>
                <w:szCs w:val="21"/>
              </w:rPr>
              <w:t>队</w:t>
            </w:r>
          </w:p>
        </w:tc>
        <w:tc>
          <w:tcPr>
            <w:tcW w:w="964" w:type="pct"/>
            <w:noWrap w:val="0"/>
            <w:vAlign w:val="center"/>
          </w:tcPr>
          <w:p>
            <w:pPr>
              <w:spacing w:line="240" w:lineRule="exact"/>
              <w:jc w:val="center"/>
              <w:rPr>
                <w:rFonts w:hint="eastAsia" w:ascii="Times New Roman" w:hAnsi="Times New Roman"/>
                <w:szCs w:val="21"/>
              </w:rPr>
            </w:pPr>
            <w:r>
              <w:rPr>
                <w:rFonts w:hint="eastAsia" w:ascii="Times New Roman" w:hAnsi="Times New Roman"/>
                <w:szCs w:val="21"/>
              </w:rPr>
              <w:t>曾庆湘</w:t>
            </w:r>
          </w:p>
          <w:p>
            <w:pPr>
              <w:spacing w:line="240" w:lineRule="exact"/>
              <w:jc w:val="center"/>
              <w:rPr>
                <w:rFonts w:hint="eastAsia" w:ascii="Times New Roman" w:hAnsi="Times New Roman"/>
                <w:szCs w:val="21"/>
              </w:rPr>
            </w:pPr>
            <w:r>
              <w:rPr>
                <w:rFonts w:hint="eastAsia" w:ascii="Times New Roman" w:hAnsi="Times New Roman"/>
                <w:szCs w:val="21"/>
              </w:rPr>
              <w:t>范志海</w:t>
            </w:r>
          </w:p>
          <w:p>
            <w:pPr>
              <w:spacing w:line="240" w:lineRule="exact"/>
              <w:jc w:val="center"/>
              <w:rPr>
                <w:rFonts w:hint="eastAsia" w:ascii="Times New Roman" w:hAnsi="Times New Roman"/>
                <w:szCs w:val="21"/>
              </w:rPr>
            </w:pPr>
            <w:r>
              <w:rPr>
                <w:rFonts w:hint="eastAsia" w:ascii="Times New Roman" w:hAnsi="Times New Roman"/>
                <w:szCs w:val="21"/>
              </w:rPr>
              <w:t>简丽华</w:t>
            </w:r>
          </w:p>
          <w:p>
            <w:pPr>
              <w:spacing w:line="240" w:lineRule="exact"/>
              <w:jc w:val="center"/>
              <w:rPr>
                <w:rFonts w:hint="eastAsia" w:ascii="Times New Roman" w:hAnsi="Times New Roman"/>
                <w:szCs w:val="21"/>
              </w:rPr>
            </w:pPr>
            <w:r>
              <w:rPr>
                <w:rFonts w:hint="eastAsia" w:ascii="Times New Roman" w:hAnsi="Times New Roman"/>
                <w:szCs w:val="21"/>
              </w:rPr>
              <w:t>刘朝晖</w:t>
            </w:r>
          </w:p>
          <w:p>
            <w:pPr>
              <w:spacing w:line="240" w:lineRule="exact"/>
              <w:jc w:val="center"/>
              <w:rPr>
                <w:rFonts w:ascii="Times New Roman" w:hAnsi="Times New Roman"/>
                <w:szCs w:val="21"/>
              </w:rPr>
            </w:pPr>
            <w:r>
              <w:rPr>
                <w:rFonts w:hint="eastAsia" w:ascii="Times New Roman" w:hAnsi="Times New Roman"/>
                <w:szCs w:val="21"/>
              </w:rPr>
              <w:t>彭文波</w:t>
            </w:r>
          </w:p>
          <w:p>
            <w:pPr>
              <w:spacing w:line="240" w:lineRule="exact"/>
              <w:jc w:val="center"/>
              <w:rPr>
                <w:rFonts w:ascii="Times New Roman" w:hAnsi="Times New Roman"/>
                <w:szCs w:val="21"/>
              </w:rPr>
            </w:pPr>
            <w:r>
              <w:rPr>
                <w:rFonts w:hint="eastAsia" w:ascii="Times New Roman" w:hAnsi="Times New Roman"/>
                <w:szCs w:val="21"/>
              </w:rPr>
              <w:t>曾跃祥</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tcBorders>
              <w:right w:val="single" w:color="auto" w:sz="4" w:space="0"/>
            </w:tcBorders>
            <w:noWrap w:val="0"/>
            <w:vAlign w:val="center"/>
          </w:tcPr>
          <w:p>
            <w:pPr>
              <w:snapToGrid w:val="0"/>
              <w:spacing w:line="280" w:lineRule="exact"/>
              <w:jc w:val="center"/>
              <w:rPr>
                <w:rFonts w:ascii="Times New Roman" w:hAnsi="Times New Roman"/>
                <w:szCs w:val="21"/>
              </w:rPr>
            </w:pPr>
            <w:r>
              <w:rPr>
                <w:rFonts w:hint="eastAsia" w:ascii="Times New Roman" w:hAnsi="Times New Roman"/>
                <w:szCs w:val="21"/>
              </w:rPr>
              <w:t>5</w:t>
            </w:r>
          </w:p>
        </w:tc>
        <w:tc>
          <w:tcPr>
            <w:tcW w:w="1413" w:type="pct"/>
            <w:tcBorders>
              <w:left w:val="single" w:color="auto" w:sz="4" w:space="0"/>
            </w:tcBorders>
            <w:noWrap w:val="0"/>
            <w:vAlign w:val="center"/>
          </w:tcPr>
          <w:p>
            <w:pPr>
              <w:snapToGrid w:val="0"/>
              <w:spacing w:line="280" w:lineRule="exact"/>
              <w:rPr>
                <w:rFonts w:ascii="Times New Roman" w:hAnsi="Times New Roman"/>
                <w:szCs w:val="21"/>
              </w:rPr>
            </w:pPr>
            <w:r>
              <w:rPr>
                <w:rFonts w:ascii="Times New Roman" w:hAnsi="Times New Roman"/>
                <w:bCs/>
                <w:szCs w:val="21"/>
              </w:rPr>
              <w:t>做好应急救援救灾工作。建立综合救灾救援指挥机制，完善部门间军地协调联动机制，第一时间启动应急响应并开展应急处置，千方百计保障受灾群众基本生活。</w:t>
            </w:r>
          </w:p>
        </w:tc>
        <w:tc>
          <w:tcPr>
            <w:tcW w:w="140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应急管理局</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安委会相关成员单位</w:t>
            </w:r>
          </w:p>
          <w:p>
            <w:pPr>
              <w:spacing w:line="28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减灾委相关成员单位</w:t>
            </w:r>
          </w:p>
          <w:p>
            <w:pPr>
              <w:spacing w:line="28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w:t>
            </w:r>
            <w:r>
              <w:rPr>
                <w:rFonts w:ascii="Times New Roman" w:hAnsi="Times New Roman"/>
                <w:szCs w:val="21"/>
              </w:rPr>
              <w:t>政府</w:t>
            </w:r>
          </w:p>
        </w:tc>
        <w:tc>
          <w:tcPr>
            <w:tcW w:w="964" w:type="pct"/>
            <w:noWrap w:val="0"/>
            <w:vAlign w:val="center"/>
          </w:tcPr>
          <w:p>
            <w:pPr>
              <w:spacing w:line="240" w:lineRule="exact"/>
              <w:jc w:val="center"/>
              <w:rPr>
                <w:rFonts w:hint="eastAsia" w:ascii="Times New Roman" w:hAnsi="Times New Roman"/>
                <w:szCs w:val="21"/>
              </w:rPr>
            </w:pPr>
            <w:r>
              <w:rPr>
                <w:rFonts w:hint="eastAsia" w:ascii="Times New Roman" w:hAnsi="Times New Roman"/>
                <w:szCs w:val="21"/>
              </w:rPr>
              <w:t>曾庆湘</w:t>
            </w:r>
          </w:p>
          <w:p>
            <w:pPr>
              <w:spacing w:line="240" w:lineRule="exact"/>
              <w:jc w:val="center"/>
              <w:rPr>
                <w:rFonts w:ascii="Times New Roman" w:hAnsi="Times New Roman"/>
                <w:szCs w:val="21"/>
              </w:rPr>
            </w:pPr>
            <w:r>
              <w:rPr>
                <w:rFonts w:hint="eastAsia" w:ascii="Times New Roman" w:hAnsi="Times New Roman"/>
                <w:szCs w:val="21"/>
              </w:rPr>
              <w:t>县</w:t>
            </w:r>
            <w:r>
              <w:rPr>
                <w:rFonts w:ascii="Times New Roman" w:hAnsi="Times New Roman"/>
                <w:szCs w:val="21"/>
              </w:rPr>
              <w:t>安委会、</w:t>
            </w:r>
            <w:r>
              <w:rPr>
                <w:rFonts w:hint="eastAsia" w:ascii="Times New Roman" w:hAnsi="Times New Roman"/>
                <w:szCs w:val="21"/>
              </w:rPr>
              <w:t>县</w:t>
            </w:r>
            <w:r>
              <w:rPr>
                <w:rFonts w:ascii="Times New Roman" w:hAnsi="Times New Roman"/>
                <w:szCs w:val="21"/>
              </w:rPr>
              <w:t>减灾委相关成员单位主要负责人</w:t>
            </w:r>
          </w:p>
          <w:p>
            <w:pPr>
              <w:spacing w:line="240" w:lineRule="exact"/>
              <w:jc w:val="center"/>
              <w:rPr>
                <w:rFonts w:ascii="Times New Roman" w:hAnsi="Times New Roman"/>
                <w:szCs w:val="21"/>
              </w:rPr>
            </w:pPr>
            <w:r>
              <w:rPr>
                <w:rFonts w:ascii="Times New Roman" w:hAnsi="Times New Roman"/>
                <w:szCs w:val="21"/>
              </w:rPr>
              <w:t>各</w:t>
            </w:r>
            <w:r>
              <w:rPr>
                <w:rFonts w:hint="eastAsia" w:ascii="Times New Roman" w:hAnsi="Times New Roman"/>
                <w:szCs w:val="21"/>
              </w:rPr>
              <w:t>乡镇（街道）主要负责人</w:t>
            </w:r>
          </w:p>
        </w:tc>
        <w:tc>
          <w:tcPr>
            <w:tcW w:w="971" w:type="pct"/>
            <w:noWrap w:val="0"/>
            <w:vAlign w:val="center"/>
          </w:tcPr>
          <w:p>
            <w:pPr>
              <w:spacing w:line="280" w:lineRule="exact"/>
              <w:jc w:val="center"/>
              <w:rPr>
                <w:rFonts w:ascii="Times New Roman" w:hAnsi="Times New Roman"/>
                <w:szCs w:val="21"/>
              </w:rPr>
            </w:pPr>
            <w:r>
              <w:rPr>
                <w:rFonts w:hint="eastAsia" w:ascii="Times New Roman" w:hAnsi="Times New Roman"/>
                <w:szCs w:val="21"/>
              </w:rPr>
              <w:t>王兰鹏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5000" w:type="pct"/>
            <w:gridSpan w:val="5"/>
            <w:noWrap w:val="0"/>
            <w:vAlign w:val="center"/>
          </w:tcPr>
          <w:p>
            <w:pPr>
              <w:rPr>
                <w:rFonts w:ascii="Times New Roman" w:hAnsi="Times New Roman"/>
                <w:szCs w:val="21"/>
              </w:rPr>
            </w:pPr>
            <w:r>
              <w:rPr>
                <w:rFonts w:ascii="Times New Roman" w:hAnsi="Times New Roman"/>
                <w:szCs w:val="21"/>
              </w:rPr>
              <w:t>备注：1.主要责任单位中排第一的为牵头责任单位；</w:t>
            </w:r>
          </w:p>
          <w:p>
            <w:pPr>
              <w:rPr>
                <w:rFonts w:ascii="Times New Roman" w:hAnsi="Times New Roman"/>
                <w:szCs w:val="21"/>
              </w:rPr>
            </w:pPr>
            <w:r>
              <w:rPr>
                <w:rFonts w:ascii="Times New Roman" w:hAnsi="Times New Roman"/>
                <w:szCs w:val="21"/>
              </w:rPr>
              <w:t xml:space="preserve">      2.</w:t>
            </w:r>
            <w:r>
              <w:rPr>
                <w:rFonts w:hint="eastAsia" w:ascii="Times New Roman" w:hAnsi="Times New Roman"/>
                <w:szCs w:val="21"/>
              </w:rPr>
              <w:t>县</w:t>
            </w:r>
            <w:r>
              <w:rPr>
                <w:rFonts w:ascii="Times New Roman" w:hAnsi="Times New Roman"/>
                <w:szCs w:val="21"/>
              </w:rPr>
              <w:t>直单位主要负责人设双线的，统一明确党组（党委）书记为主要责任人。</w:t>
            </w:r>
          </w:p>
        </w:tc>
      </w:tr>
    </w:tbl>
    <w:p>
      <w:pPr>
        <w:rPr>
          <w:rFonts w:ascii="Times New Roman" w:hAnsi="Times New Roman"/>
        </w:rPr>
        <w:sectPr>
          <w:pgSz w:w="16838" w:h="11906" w:orient="landscape"/>
          <w:pgMar w:top="1417" w:right="1417" w:bottom="1417" w:left="1417" w:header="851" w:footer="1134" w:gutter="0"/>
          <w:cols w:space="720" w:num="1"/>
          <w:docGrid w:type="lines" w:linePitch="31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87A6B1E"/>
    <w:rsid w:val="387A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2023-04-28T02:03:00Z</dcterms:created>
  <dc:creator>旧时光·不见旧人</dc:creator>
  <cp:lastModifiedBy>旧时光·不见旧人</cp:lastModifiedBy>
  <dcterms:modified xsi:type="dcterms:W3CDTF">2023-04-28T02:03:55Z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98BF7E3D417E4975A3FD72437D2B0644_11</vt:lpwstr>
  </property>
</Properties>
</file>