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3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765"/>
        <w:gridCol w:w="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0" w:type="dxa"/>
          <w:trHeight w:val="480" w:hRule="atLeast"/>
        </w:trPr>
        <w:tc>
          <w:tcPr>
            <w:tcW w:w="907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rPr>
              <w:t>2</w:t>
            </w:r>
            <w:r>
              <w:rPr>
                <w:rFonts w:hint="eastAsia" w:ascii="黑体" w:hAnsi="黑体" w:eastAsia="黑体" w:cs="黑体"/>
                <w:sz w:val="24"/>
                <w:lang w:val="en-US" w:eastAsia="zh-CN"/>
              </w:rPr>
              <w:t>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257"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655" w:type="dxa"/>
            <w:gridSpan w:val="10"/>
            <w:vAlign w:val="center"/>
          </w:tcPr>
          <w:p>
            <w:pPr>
              <w:spacing w:line="540" w:lineRule="exact"/>
              <w:jc w:val="center"/>
              <w:rPr>
                <w:rFonts w:hint="eastAsia" w:ascii="楷体" w:hAnsi="楷体" w:eastAsia="楷体" w:cs="楷体"/>
                <w:szCs w:val="21"/>
                <w:lang w:eastAsia="zh-CN"/>
              </w:rPr>
            </w:pPr>
            <w:r>
              <w:rPr>
                <w:rFonts w:hint="eastAsia" w:ascii="楷体" w:hAnsi="楷体" w:eastAsia="楷体" w:cs="楷体"/>
                <w:szCs w:val="21"/>
              </w:rPr>
              <w:t>隆回县</w:t>
            </w:r>
            <w:r>
              <w:rPr>
                <w:rFonts w:hint="eastAsia" w:ascii="楷体" w:hAnsi="楷体" w:eastAsia="楷体" w:cs="楷体"/>
                <w:szCs w:val="21"/>
                <w:lang w:eastAsia="zh-CN"/>
              </w:rPr>
              <w:t>政协办公室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257" w:hRule="exact"/>
        </w:trPr>
        <w:tc>
          <w:tcPr>
            <w:tcW w:w="533" w:type="dxa"/>
            <w:vMerge w:val="continue"/>
            <w:vAlign w:val="center"/>
          </w:tcPr>
          <w:p>
            <w:pPr>
              <w:spacing w:line="560" w:lineRule="exact"/>
              <w:jc w:val="center"/>
              <w:rPr>
                <w:rFonts w:hint="eastAsia" w:ascii="楷体" w:hAnsi="楷体" w:eastAsia="楷体" w:cs="楷体"/>
                <w:szCs w:val="21"/>
              </w:rPr>
            </w:pPr>
          </w:p>
        </w:tc>
        <w:tc>
          <w:tcPr>
            <w:tcW w:w="1168" w:type="dxa"/>
            <w:vAlign w:val="center"/>
          </w:tcPr>
          <w:p>
            <w:pPr>
              <w:jc w:val="center"/>
              <w:rPr>
                <w:rFonts w:hint="eastAsia" w:ascii="楷体" w:hAnsi="楷体" w:eastAsia="楷体" w:cs="楷体"/>
                <w:szCs w:val="21"/>
              </w:rPr>
            </w:pPr>
          </w:p>
        </w:tc>
        <w:tc>
          <w:tcPr>
            <w:tcW w:w="7655" w:type="dxa"/>
            <w:gridSpan w:val="10"/>
            <w:vAlign w:val="center"/>
          </w:tcPr>
          <w:p>
            <w:pPr>
              <w:spacing w:line="540" w:lineRule="exact"/>
              <w:jc w:val="center"/>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466"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vAlign w:val="center"/>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24</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3119" w:type="dxa"/>
            <w:gridSpan w:val="6"/>
            <w:vAlign w:val="center"/>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4496"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655" w:type="dxa"/>
            <w:gridSpan w:val="10"/>
            <w:vAlign w:val="center"/>
          </w:tcPr>
          <w:p>
            <w:pPr>
              <w:spacing w:line="340" w:lineRule="exact"/>
              <w:jc w:val="center"/>
              <w:rPr>
                <w:rFonts w:hint="eastAsia" w:ascii="楷体" w:hAnsi="楷体" w:eastAsia="楷体" w:cs="楷体"/>
                <w:szCs w:val="21"/>
                <w:lang w:eastAsia="zh-CN"/>
              </w:rPr>
            </w:pPr>
            <w:r>
              <w:rPr>
                <w:rFonts w:hint="eastAsia" w:ascii="楷体" w:hAnsi="楷体" w:eastAsia="楷体" w:cs="楷体"/>
              </w:rPr>
              <w:t>负责县政协全体会议、常务委员会会议、主席会议、专门委员会及其他临时性会议的会务工作，负责上述会议所形成的决议、决定、建议案的组织实施</w:t>
            </w:r>
            <w:r>
              <w:rPr>
                <w:rFonts w:hint="eastAsia" w:ascii="楷体" w:hAnsi="楷体" w:eastAsia="楷体" w:cs="楷体"/>
                <w:lang w:eastAsia="zh-CN"/>
              </w:rPr>
              <w:t>；协调县政协各专门委员会的工作，充分发挥县政协委员的作用，履行好政治协商、民主监督、参政议政的基本职能；负责县政协委员进行视察、参观、调查、座谈、学习、研讨等日常活动的服务和具体组织工作；受省、市政协办公厅（室）的委托，组织在隆省、市政协委员进行视察活动；研究人民政协和统一战线的理论、政策、调查研究地方政协的共同性问题及其解决办法，供领导参考；宣传人民政协的方针政策、工作业绩和经验以及政协委员的先进事迹，收集和反映县政协委员和各界人士的意见与建议，综合、反映社情民意；联系和指导全新啊各级政协组织的工作，联系工商联、各人民团体和无党派认识，联系县直有关部门，互通信息，协调工作，加强合作；负责县政协开展各项活动的有关后勤服务管理工作和县政协机关行政事务管理工作；负责权限范围内的人事任免；负责接待来隆访问的海内外有关友好人士和对外联谊工作；承办县政协主席会、常委会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72" w:hRule="exact"/>
        </w:trPr>
        <w:tc>
          <w:tcPr>
            <w:tcW w:w="533" w:type="dxa"/>
            <w:vMerge w:val="continue"/>
            <w:vAlign w:val="center"/>
          </w:tcPr>
          <w:p>
            <w:pPr>
              <w:widowControl/>
              <w:jc w:val="center"/>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885.97</w:t>
            </w:r>
          </w:p>
        </w:tc>
        <w:tc>
          <w:tcPr>
            <w:tcW w:w="1552"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48.53</w:t>
            </w:r>
          </w:p>
        </w:tc>
        <w:tc>
          <w:tcPr>
            <w:tcW w:w="494"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5" w:type="dxa"/>
            <w:gridSpan w:val="2"/>
            <w:vMerge w:val="restart"/>
            <w:vAlign w:val="center"/>
          </w:tcPr>
          <w:p>
            <w:pPr>
              <w:pStyle w:val="2"/>
              <w:ind w:left="0" w:leftChars="0" w:firstLine="0" w:firstLineChars="0"/>
              <w:jc w:val="center"/>
              <w:rPr>
                <w:rFonts w:hint="default" w:eastAsia="宋体"/>
                <w:lang w:val="en-US" w:eastAsia="zh-CN"/>
              </w:rPr>
            </w:pPr>
            <w:r>
              <w:rPr>
                <w:rFonts w:hint="eastAsia" w:ascii="楷体" w:hAnsi="楷体" w:eastAsia="楷体" w:cs="楷体"/>
                <w:sz w:val="21"/>
                <w:szCs w:val="21"/>
                <w:lang w:val="en-US" w:eastAsia="zh-CN"/>
              </w:rPr>
              <w:t>885.97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55" w:hRule="exact"/>
        </w:trPr>
        <w:tc>
          <w:tcPr>
            <w:tcW w:w="533" w:type="dxa"/>
            <w:vMerge w:val="continue"/>
            <w:vAlign w:val="center"/>
          </w:tcPr>
          <w:p>
            <w:pPr>
              <w:widowControl/>
              <w:jc w:val="center"/>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p>
        </w:tc>
        <w:tc>
          <w:tcPr>
            <w:tcW w:w="1552" w:type="dxa"/>
            <w:gridSpan w:val="2"/>
            <w:vAlign w:val="center"/>
          </w:tcPr>
          <w:p>
            <w:pPr>
              <w:spacing w:line="560" w:lineRule="exact"/>
              <w:ind w:firstLine="315" w:firstLineChars="150"/>
              <w:jc w:val="center"/>
              <w:rPr>
                <w:rFonts w:ascii="楷体" w:hAnsi="楷体" w:eastAsia="楷体" w:cs="楷体"/>
                <w:szCs w:val="21"/>
              </w:rPr>
            </w:pPr>
            <w:r>
              <w:rPr>
                <w:rFonts w:hint="eastAsia" w:ascii="楷体" w:hAnsi="楷体" w:eastAsia="楷体" w:cs="楷体"/>
                <w:szCs w:val="21"/>
              </w:rPr>
              <w:t>其他收入</w:t>
            </w:r>
          </w:p>
        </w:tc>
        <w:tc>
          <w:tcPr>
            <w:tcW w:w="1000" w:type="dxa"/>
            <w:gridSpan w:val="2"/>
            <w:vAlign w:val="center"/>
          </w:tcPr>
          <w:p>
            <w:pPr>
              <w:spacing w:line="560" w:lineRule="exact"/>
              <w:jc w:val="center"/>
              <w:rPr>
                <w:rFonts w:ascii="楷体" w:hAnsi="楷体" w:eastAsia="楷体" w:cs="楷体"/>
                <w:szCs w:val="21"/>
              </w:rPr>
            </w:pPr>
          </w:p>
        </w:tc>
        <w:tc>
          <w:tcPr>
            <w:tcW w:w="494" w:type="dxa"/>
            <w:vMerge w:val="continue"/>
            <w:vAlign w:val="center"/>
          </w:tcPr>
          <w:p>
            <w:pPr>
              <w:spacing w:line="560" w:lineRule="exact"/>
              <w:jc w:val="center"/>
              <w:rPr>
                <w:rFonts w:ascii="楷体" w:hAnsi="楷体" w:eastAsia="楷体" w:cs="楷体"/>
                <w:szCs w:val="21"/>
              </w:rPr>
            </w:pPr>
          </w:p>
        </w:tc>
        <w:tc>
          <w:tcPr>
            <w:tcW w:w="1065" w:type="dxa"/>
            <w:gridSpan w:val="2"/>
            <w:vMerge w:val="continue"/>
            <w:vAlign w:val="center"/>
          </w:tcPr>
          <w:p>
            <w:pPr>
              <w:spacing w:line="56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60" w:hRule="exact"/>
        </w:trPr>
        <w:tc>
          <w:tcPr>
            <w:tcW w:w="533" w:type="dxa"/>
            <w:vMerge w:val="continue"/>
            <w:vAlign w:val="center"/>
          </w:tcPr>
          <w:p>
            <w:pPr>
              <w:widowControl/>
              <w:jc w:val="center"/>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858.55</w:t>
            </w:r>
          </w:p>
        </w:tc>
        <w:tc>
          <w:tcPr>
            <w:tcW w:w="1559"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vAlign w:val="center"/>
          </w:tcPr>
          <w:p>
            <w:pPr>
              <w:jc w:val="center"/>
              <w:rPr>
                <w:rFonts w:hint="default" w:ascii="楷体" w:hAnsi="楷体" w:eastAsia="楷体" w:cs="楷体"/>
                <w:szCs w:val="21"/>
                <w:lang w:val="en-US" w:eastAsia="zh-CN"/>
              </w:rPr>
            </w:pPr>
          </w:p>
        </w:tc>
        <w:tc>
          <w:tcPr>
            <w:tcW w:w="494"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5" w:type="dxa"/>
            <w:gridSpan w:val="2"/>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708" w:hRule="exact"/>
        </w:trPr>
        <w:tc>
          <w:tcPr>
            <w:tcW w:w="533" w:type="dxa"/>
            <w:vMerge w:val="continue"/>
            <w:vAlign w:val="center"/>
          </w:tcPr>
          <w:p>
            <w:pPr>
              <w:widowControl/>
              <w:jc w:val="center"/>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pStyle w:val="2"/>
              <w:ind w:left="0" w:leftChars="0" w:firstLine="0" w:firstLineChars="0"/>
              <w:jc w:val="center"/>
              <w:rPr>
                <w:rFonts w:hint="default" w:eastAsia="宋体"/>
                <w:lang w:val="en-US" w:eastAsia="zh-CN"/>
              </w:rPr>
            </w:pPr>
            <w:r>
              <w:rPr>
                <w:rFonts w:hint="eastAsia" w:ascii="楷体" w:hAnsi="楷体" w:eastAsia="楷体" w:cs="楷体"/>
                <w:sz w:val="21"/>
                <w:szCs w:val="21"/>
                <w:lang w:val="en-US" w:eastAsia="zh-CN"/>
              </w:rPr>
              <w:t>2.7</w:t>
            </w:r>
          </w:p>
        </w:tc>
        <w:tc>
          <w:tcPr>
            <w:tcW w:w="1559" w:type="dxa"/>
            <w:gridSpan w:val="3"/>
            <w:vMerge w:val="continue"/>
            <w:vAlign w:val="center"/>
          </w:tcPr>
          <w:p>
            <w:pPr>
              <w:jc w:val="center"/>
              <w:rPr>
                <w:rFonts w:ascii="楷体" w:hAnsi="楷体" w:eastAsia="楷体" w:cs="楷体"/>
                <w:szCs w:val="21"/>
              </w:rPr>
            </w:pPr>
          </w:p>
        </w:tc>
        <w:tc>
          <w:tcPr>
            <w:tcW w:w="993" w:type="dxa"/>
            <w:vMerge w:val="continue"/>
            <w:vAlign w:val="center"/>
          </w:tcPr>
          <w:p>
            <w:pPr>
              <w:jc w:val="center"/>
              <w:rPr>
                <w:rFonts w:ascii="楷体" w:hAnsi="楷体" w:eastAsia="楷体" w:cs="楷体"/>
                <w:szCs w:val="21"/>
              </w:rPr>
            </w:pPr>
          </w:p>
        </w:tc>
        <w:tc>
          <w:tcPr>
            <w:tcW w:w="494" w:type="dxa"/>
            <w:vMerge w:val="continue"/>
            <w:vAlign w:val="center"/>
          </w:tcPr>
          <w:p>
            <w:pPr>
              <w:jc w:val="center"/>
              <w:rPr>
                <w:rFonts w:ascii="楷体" w:hAnsi="楷体" w:eastAsia="楷体" w:cs="楷体"/>
                <w:szCs w:val="21"/>
              </w:rPr>
            </w:pPr>
          </w:p>
        </w:tc>
        <w:tc>
          <w:tcPr>
            <w:tcW w:w="1065" w:type="dxa"/>
            <w:gridSpan w:val="2"/>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613"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273"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是否制定“三公”经费管理办法：是√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招待费用是否明确招待标准和招待人数：是√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25"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655" w:type="dxa"/>
            <w:gridSpan w:val="10"/>
            <w:vAlign w:val="center"/>
          </w:tcPr>
          <w:p>
            <w:pPr>
              <w:jc w:val="center"/>
              <w:rPr>
                <w:rFonts w:hint="eastAsia" w:ascii="楷体" w:hAnsi="楷体" w:eastAsia="楷体" w:cs="楷体"/>
                <w:szCs w:val="21"/>
                <w:lang w:eastAsia="zh-CN"/>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p>
            <w:pPr>
              <w:jc w:val="center"/>
              <w:rPr>
                <w:rFonts w:ascii="楷体" w:hAnsi="楷体" w:eastAsia="楷体" w:cs="楷体"/>
                <w:szCs w:val="21"/>
              </w:rPr>
            </w:pPr>
            <w:r>
              <w:rPr>
                <w:rFonts w:hint="eastAsia" w:ascii="楷体" w:hAnsi="楷体" w:eastAsia="楷体" w:cs="楷体"/>
                <w:szCs w:val="21"/>
              </w:rPr>
              <w:t>是否实行收支两条线管理：是√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814"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655" w:type="dxa"/>
            <w:gridSpan w:val="10"/>
            <w:vAlign w:val="center"/>
          </w:tcPr>
          <w:p>
            <w:pPr>
              <w:spacing w:line="360" w:lineRule="exact"/>
              <w:jc w:val="center"/>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740"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120</w:t>
            </w:r>
            <w:r>
              <w:rPr>
                <w:rFonts w:hint="eastAsia" w:ascii="楷体" w:hAnsi="楷体" w:eastAsia="楷体" w:cs="楷体"/>
                <w:szCs w:val="21"/>
              </w:rPr>
              <w:t>万元</w:t>
            </w:r>
          </w:p>
          <w:p>
            <w:pPr>
              <w:jc w:val="cente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216.11</w:t>
            </w:r>
            <w:r>
              <w:rPr>
                <w:rFonts w:hint="eastAsia" w:ascii="楷体" w:hAnsi="楷体" w:eastAsia="楷体" w:cs="楷体"/>
                <w:szCs w:val="21"/>
              </w:rPr>
              <w:t>元</w:t>
            </w:r>
          </w:p>
          <w:p>
            <w:pPr>
              <w:jc w:val="center"/>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日</w:t>
            </w:r>
          </w:p>
          <w:p>
            <w:pPr>
              <w:jc w:val="center"/>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855"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财务管理</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是□否□</w:t>
            </w:r>
          </w:p>
          <w:p>
            <w:pPr>
              <w:jc w:val="cente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82"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资金管理</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jc w:val="center"/>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68"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655" w:type="dxa"/>
            <w:gridSpan w:val="10"/>
            <w:vAlign w:val="center"/>
          </w:tcPr>
          <w:p>
            <w:pPr>
              <w:jc w:val="cente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t xml:space="preserve">   </w:t>
            </w:r>
            <w:r>
              <w:rPr>
                <w:rFonts w:hint="eastAsia" w:ascii="楷体" w:hAnsi="楷体" w:eastAsia="楷体" w:cs="楷体"/>
                <w:szCs w:val="21"/>
              </w:rPr>
              <w:t>否□</w:t>
            </w:r>
          </w:p>
          <w:p>
            <w:pPr>
              <w:jc w:val="cente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61" w:hRule="exact"/>
        </w:trPr>
        <w:tc>
          <w:tcPr>
            <w:tcW w:w="533" w:type="dxa"/>
            <w:vMerge w:val="continue"/>
            <w:vAlign w:val="center"/>
          </w:tcPr>
          <w:p>
            <w:pPr>
              <w:widowControl/>
              <w:jc w:val="center"/>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655" w:type="dxa"/>
            <w:gridSpan w:val="10"/>
            <w:vAlign w:val="center"/>
          </w:tcPr>
          <w:p>
            <w:pPr>
              <w:spacing w:line="560" w:lineRule="exact"/>
              <w:jc w:val="center"/>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823" w:type="dxa"/>
            <w:gridSpan w:val="11"/>
            <w:vAlign w:val="center"/>
          </w:tcPr>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召开县政协</w:t>
            </w:r>
            <w:r>
              <w:rPr>
                <w:rFonts w:hint="eastAsia" w:ascii="楷体" w:hAnsi="楷体" w:eastAsia="楷体" w:cs="楷体"/>
                <w:szCs w:val="21"/>
                <w:lang w:val="en-US" w:eastAsia="zh-CN"/>
              </w:rPr>
              <w:t>十</w:t>
            </w:r>
            <w:r>
              <w:rPr>
                <w:rFonts w:hint="eastAsia" w:ascii="楷体" w:hAnsi="楷体" w:eastAsia="楷体" w:cs="楷体"/>
                <w:szCs w:val="21"/>
              </w:rPr>
              <w:t>届</w:t>
            </w:r>
            <w:r>
              <w:rPr>
                <w:rFonts w:hint="eastAsia" w:ascii="楷体" w:hAnsi="楷体" w:eastAsia="楷体" w:cs="楷体"/>
                <w:szCs w:val="21"/>
                <w:lang w:val="en-US" w:eastAsia="zh-CN"/>
              </w:rPr>
              <w:t>一</w:t>
            </w:r>
            <w:r>
              <w:rPr>
                <w:rFonts w:hint="eastAsia" w:ascii="楷体" w:hAnsi="楷体" w:eastAsia="楷体" w:cs="楷体"/>
                <w:szCs w:val="21"/>
              </w:rPr>
              <w:t>次全体会议，对全县工作进行全面协商</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召开县政协常委会议6次，对全县工作进行重点协商；召开县政协主席会议若干次，对全县重点工作进行重点协商；召开专题协商会议5次，进行专题协商。</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对相关单位继续开展委派民主监督。</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开展提案办理监督。</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开展调研视察。反映社情民意。</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hint="eastAsia" w:ascii="楷体" w:hAnsi="楷体" w:eastAsia="楷体" w:cs="楷体"/>
                <w:szCs w:val="21"/>
              </w:rPr>
            </w:pPr>
            <w:r>
              <w:rPr>
                <w:rFonts w:hint="eastAsia" w:ascii="楷体" w:hAnsi="楷体" w:eastAsia="楷体" w:cs="楷体"/>
                <w:szCs w:val="21"/>
              </w:rPr>
              <w:t>征编文史资料，编纂《隆回扶贫纪事》，传承隆回大事；编辑出版隆回文史第十九辑《隆回民间传说》。</w:t>
            </w:r>
            <w:r>
              <w:rPr>
                <w:rFonts w:hint="eastAsia" w:ascii="楷体" w:hAnsi="楷体" w:eastAsia="楷体" w:cs="楷体"/>
                <w:szCs w:val="21"/>
              </w:rPr>
              <w:tab/>
            </w:r>
            <w:r>
              <w:rPr>
                <w:rFonts w:hint="eastAsia" w:ascii="楷体" w:hAnsi="楷体" w:eastAsia="楷体" w:cs="楷体"/>
                <w:szCs w:val="21"/>
              </w:rPr>
              <w:tab/>
            </w:r>
          </w:p>
          <w:p>
            <w:pPr>
              <w:pStyle w:val="11"/>
              <w:numPr>
                <w:ilvl w:val="0"/>
                <w:numId w:val="1"/>
              </w:numPr>
              <w:ind w:firstLineChars="0"/>
              <w:rPr>
                <w:rFonts w:ascii="楷体" w:hAnsi="楷体" w:eastAsia="楷体" w:cs="楷体"/>
                <w:szCs w:val="21"/>
              </w:rPr>
            </w:pPr>
            <w:r>
              <w:rPr>
                <w:rFonts w:hint="eastAsia" w:ascii="楷体" w:hAnsi="楷体" w:eastAsia="楷体" w:cs="楷体"/>
                <w:szCs w:val="21"/>
              </w:rPr>
              <w:t>分期分批开展委员培训。</w:t>
            </w:r>
            <w:r>
              <w:rPr>
                <w:rFonts w:hint="eastAsia" w:ascii="楷体" w:hAnsi="楷体" w:eastAsia="楷体" w:cs="楷体"/>
                <w:szCs w:val="21"/>
              </w:rPr>
              <w:tab/>
            </w:r>
            <w:r>
              <w:rPr>
                <w:rFonts w:hint="eastAsia" w:ascii="楷体" w:hAnsi="楷体" w:eastAsia="楷体" w:cs="楷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387"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823" w:type="dxa"/>
            <w:gridSpan w:val="11"/>
            <w:vAlign w:val="center"/>
          </w:tcPr>
          <w:p>
            <w:pPr>
              <w:jc w:val="center"/>
              <w:rPr>
                <w:rFonts w:ascii="楷体" w:hAnsi="楷体" w:eastAsia="楷体" w:cs="楷体"/>
                <w:szCs w:val="21"/>
              </w:rPr>
            </w:pPr>
            <w:r>
              <w:rPr>
                <w:rFonts w:hint="eastAsia" w:ascii="楷体" w:hAnsi="楷体" w:eastAsia="楷体" w:cs="楷体"/>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534"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823" w:type="dxa"/>
            <w:gridSpan w:val="11"/>
            <w:vAlign w:val="center"/>
          </w:tcPr>
          <w:p>
            <w:pPr>
              <w:jc w:val="left"/>
              <w:rPr>
                <w:rFonts w:hint="eastAsia" w:ascii="楷体" w:hAnsi="楷体" w:eastAsia="楷体" w:cs="楷体"/>
                <w:szCs w:val="21"/>
                <w:lang w:eastAsia="zh-CN"/>
              </w:rPr>
            </w:pPr>
            <w:r>
              <w:rPr>
                <w:rFonts w:hint="eastAsia" w:ascii="楷体" w:hAnsi="楷体" w:eastAsia="楷体" w:cs="楷体"/>
                <w:szCs w:val="21"/>
              </w:rPr>
              <w:t>1</w:t>
            </w:r>
            <w:r>
              <w:rPr>
                <w:rFonts w:hint="eastAsia" w:ascii="楷体" w:hAnsi="楷体" w:eastAsia="楷体" w:cs="楷体"/>
                <w:szCs w:val="21"/>
                <w:lang w:eastAsia="zh-CN"/>
              </w:rPr>
              <w:t>、预算编制与实际支出项目有的存在差异，预算编制有待更科学更合理。</w:t>
            </w:r>
          </w:p>
          <w:p>
            <w:pPr>
              <w:jc w:val="left"/>
              <w:rPr>
                <w:rFonts w:hint="eastAsia" w:ascii="楷体" w:hAnsi="楷体" w:eastAsia="楷体" w:cs="楷体"/>
                <w:szCs w:val="21"/>
              </w:rPr>
            </w:pPr>
            <w:r>
              <w:rPr>
                <w:rFonts w:hint="eastAsia" w:ascii="楷体" w:hAnsi="楷体" w:eastAsia="楷体" w:cs="楷体"/>
                <w:szCs w:val="21"/>
                <w:lang w:val="en-US" w:eastAsia="zh-CN"/>
              </w:rPr>
              <w:t>2</w:t>
            </w:r>
            <w:r>
              <w:rPr>
                <w:rFonts w:hint="eastAsia" w:ascii="楷体" w:hAnsi="楷体" w:eastAsia="楷体" w:cs="楷体"/>
                <w:szCs w:val="21"/>
              </w:rPr>
              <w:t>、分析细化程度不足。提高决算分析水平，发挥决算对加强预算管理的促进作用。</w:t>
            </w:r>
          </w:p>
          <w:p>
            <w:pPr>
              <w:jc w:val="left"/>
              <w:rPr>
                <w:rFonts w:hint="eastAsia" w:ascii="楷体" w:hAnsi="楷体" w:eastAsia="楷体" w:cs="楷体"/>
                <w:szCs w:val="21"/>
              </w:rPr>
            </w:pPr>
            <w:r>
              <w:rPr>
                <w:rFonts w:hint="eastAsia" w:ascii="楷体" w:hAnsi="楷体" w:eastAsia="楷体" w:cs="楷体"/>
                <w:szCs w:val="21"/>
                <w:lang w:val="en-US" w:eastAsia="zh-CN"/>
              </w:rPr>
              <w:t>3</w:t>
            </w:r>
            <w:r>
              <w:rPr>
                <w:rFonts w:hint="eastAsia" w:ascii="楷体" w:hAnsi="楷体" w:eastAsia="楷体" w:cs="楷体"/>
                <w:szCs w:val="21"/>
              </w:rPr>
              <w:t>、财务管理有待创新。加强财务管理，严格财务审核。</w:t>
            </w:r>
          </w:p>
          <w:p>
            <w:pPr>
              <w:rPr>
                <w:rFonts w:ascii="楷体" w:hAnsi="楷体" w:eastAsia="楷体" w:cs="楷体"/>
                <w:szCs w:val="21"/>
              </w:rPr>
            </w:pPr>
            <w:r>
              <w:rPr>
                <w:rFonts w:hint="eastAsia" w:ascii="楷体" w:hAnsi="楷体" w:eastAsia="楷体" w:cs="楷体"/>
                <w:szCs w:val="21"/>
                <w:lang w:val="en-US" w:eastAsia="zh-CN"/>
              </w:rPr>
              <w:t>4</w:t>
            </w:r>
            <w:r>
              <w:rPr>
                <w:rFonts w:hint="eastAsia" w:ascii="楷体" w:hAnsi="楷体" w:eastAsia="楷体" w:cs="楷体"/>
                <w:szCs w:val="21"/>
              </w:rPr>
              <w:t>、资产管理有待加强。强化监督部门的职责意识，对财务管理机制进行调整与规范，确保各单位能够严格按照财务管理机制开展业务。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2054"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823" w:type="dxa"/>
            <w:gridSpan w:val="11"/>
            <w:vAlign w:val="center"/>
          </w:tcPr>
          <w:p>
            <w:pPr>
              <w:rPr>
                <w:rFonts w:ascii="楷体" w:hAnsi="楷体" w:eastAsia="楷体" w:cs="楷体"/>
                <w:szCs w:val="21"/>
              </w:rPr>
            </w:pPr>
          </w:p>
          <w:p>
            <w:pPr>
              <w:ind w:firstLine="3360" w:firstLineChars="1600"/>
              <w:jc w:val="center"/>
              <w:rPr>
                <w:rFonts w:ascii="楷体" w:hAnsi="楷体" w:eastAsia="楷体" w:cs="楷体"/>
                <w:szCs w:val="21"/>
              </w:rPr>
            </w:pPr>
            <w:r>
              <w:rPr>
                <w:rFonts w:hint="eastAsia" w:ascii="楷体" w:hAnsi="楷体" w:eastAsia="楷体" w:cs="楷体"/>
                <w:szCs w:val="21"/>
              </w:rPr>
              <w:t>主管部门（盖章）：</w:t>
            </w:r>
          </w:p>
        </w:tc>
      </w:tr>
    </w:tbl>
    <w:p>
      <w:pPr>
        <w:rPr>
          <w:rFonts w:hint="eastAsia" w:ascii="宋体" w:hAnsi="宋体"/>
          <w:szCs w:val="21"/>
        </w:rPr>
      </w:pPr>
      <w:r>
        <w:rPr>
          <w:rFonts w:hint="eastAsia" w:ascii="宋体" w:hAnsi="宋体"/>
          <w:szCs w:val="21"/>
        </w:rPr>
        <w:t>填报人：</w:t>
      </w:r>
      <w:r>
        <w:rPr>
          <w:rFonts w:hint="eastAsia" w:ascii="宋体" w:hAnsi="宋体"/>
          <w:szCs w:val="21"/>
          <w:lang w:eastAsia="zh-CN"/>
        </w:rPr>
        <w:t>郑笑波</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18173916188</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年4月2</w:t>
      </w:r>
      <w:r>
        <w:rPr>
          <w:rFonts w:hint="eastAsia" w:ascii="宋体" w:hAnsi="宋体"/>
          <w:szCs w:val="21"/>
          <w:lang w:val="en-US" w:eastAsia="zh-CN"/>
        </w:rPr>
        <w:t>2</w:t>
      </w:r>
      <w:r>
        <w:rPr>
          <w:rFonts w:hint="eastAsia" w:ascii="宋体" w:hAnsi="宋体"/>
          <w:szCs w:val="21"/>
        </w:rPr>
        <w:t>日</w:t>
      </w:r>
    </w:p>
    <w:p>
      <w:pPr>
        <w:rPr>
          <w:szCs w:val="21"/>
        </w:rPr>
      </w:pPr>
      <w:r>
        <w:rPr>
          <w:rFonts w:hint="eastAsia" w:eastAsia="黑体"/>
          <w:kern w:val="0"/>
        </w:rPr>
        <w:t>注：自评结论填“优、良、中、差”。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楷体" w:eastAsia="方正小标宋简体" w:cs="楷体"/>
          <w:bCs/>
          <w:sz w:val="36"/>
          <w:szCs w:val="36"/>
          <w:shd w:val="clear" w:color="auto" w:fill="FFFFFF"/>
        </w:rPr>
      </w:pPr>
    </w:p>
    <w:p>
      <w:pPr>
        <w:pStyle w:val="2"/>
        <w:rPr>
          <w:rFonts w:hint="eastAsia" w:ascii="方正小标宋简体" w:hAnsi="楷体" w:eastAsia="方正小标宋简体" w:cs="楷体"/>
          <w:bCs/>
          <w:sz w:val="36"/>
          <w:szCs w:val="36"/>
          <w:shd w:val="clear" w:color="auto" w:fill="FFFFFF"/>
        </w:rPr>
      </w:pPr>
    </w:p>
    <w:p>
      <w:pPr>
        <w:pStyle w:val="2"/>
        <w:rPr>
          <w:rFonts w:hint="eastAsia" w:ascii="方正小标宋简体" w:hAnsi="楷体" w:eastAsia="方正小标宋简体" w:cs="楷体"/>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楷体" w:eastAsia="方正小标宋简体" w:cs="楷体"/>
          <w:bCs/>
          <w:sz w:val="36"/>
          <w:szCs w:val="36"/>
          <w:shd w:val="clear" w:color="auto" w:fill="FFFFFF"/>
          <w:lang w:eastAsia="zh-CN"/>
        </w:rPr>
      </w:pPr>
      <w:r>
        <w:rPr>
          <w:rFonts w:hint="eastAsia" w:ascii="方正小标宋简体" w:hAnsi="楷体" w:eastAsia="方正小标宋简体" w:cs="楷体"/>
          <w:bCs/>
          <w:sz w:val="36"/>
          <w:szCs w:val="36"/>
          <w:shd w:val="clear" w:color="auto" w:fill="FFFFFF"/>
        </w:rPr>
        <w:t>隆回县</w:t>
      </w:r>
      <w:r>
        <w:rPr>
          <w:rFonts w:hint="eastAsia" w:ascii="方正小标宋简体" w:hAnsi="楷体" w:eastAsia="方正小标宋简体" w:cs="楷体"/>
          <w:bCs/>
          <w:sz w:val="36"/>
          <w:szCs w:val="36"/>
          <w:shd w:val="clear" w:color="auto" w:fill="FFFFFF"/>
          <w:lang w:eastAsia="zh-CN"/>
        </w:rPr>
        <w:t>政协办公室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6"/>
          <w:szCs w:val="36"/>
        </w:rPr>
      </w:pPr>
      <w:r>
        <w:rPr>
          <w:rFonts w:hint="eastAsia" w:ascii="方正小标宋简体" w:hAnsi="楷体" w:eastAsia="方正小标宋简体" w:cs="楷体"/>
          <w:bCs/>
          <w:sz w:val="36"/>
          <w:szCs w:val="36"/>
          <w:shd w:val="clear" w:color="auto" w:fill="FFFFFF"/>
        </w:rPr>
        <w:t>202</w:t>
      </w:r>
      <w:r>
        <w:rPr>
          <w:rFonts w:hint="eastAsia" w:ascii="方正小标宋简体" w:hAnsi="楷体" w:eastAsia="方正小标宋简体" w:cs="楷体"/>
          <w:bCs/>
          <w:sz w:val="36"/>
          <w:szCs w:val="36"/>
          <w:shd w:val="clear" w:color="auto" w:fill="FFFFFF"/>
          <w:lang w:val="en-US" w:eastAsia="zh-CN"/>
        </w:rPr>
        <w:t>1</w:t>
      </w:r>
      <w:r>
        <w:rPr>
          <w:rFonts w:hint="eastAsia" w:ascii="方正小标宋简体" w:hAnsi="楷体" w:eastAsia="方正小标宋简体" w:cs="楷体"/>
          <w:bCs/>
          <w:sz w:val="36"/>
          <w:szCs w:val="36"/>
          <w:shd w:val="clear" w:color="auto" w:fill="FFFFFF"/>
        </w:rPr>
        <w:t>年</w:t>
      </w:r>
      <w:r>
        <w:rPr>
          <w:rFonts w:hint="eastAsia" w:ascii="方正小标宋简体" w:eastAsia="方正小标宋简体"/>
          <w:bCs/>
          <w:kern w:val="0"/>
          <w:sz w:val="36"/>
          <w:szCs w:val="36"/>
        </w:rPr>
        <w:t>部门整体支出绩效自评报告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sz w:val="32"/>
          <w:szCs w:val="32"/>
        </w:rPr>
      </w:pPr>
      <w:r>
        <w:rPr>
          <w:rFonts w:hint="eastAsia" w:ascii="仿宋_GB2312" w:hAnsi="仿宋_GB2312" w:eastAsia="仿宋_GB2312" w:cs="仿宋_GB2312"/>
          <w:sz w:val="32"/>
          <w:szCs w:val="32"/>
        </w:rPr>
        <w:t>为确实做好20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年度部门整体支出绩效自评工作，提高财政资金使用效益，根据县财政局《关于开展20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年部门整体支出和县级财政资金支出绩效评价工作的通知》结合实际，现将我单位整体支出绩效自评结果报告如下：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目前我单位内设五个委员会，一个办公室。单位编制人数为24人，实际人数62人，其中在职41人，退休21人。公车改革后，按照县统一安排，本单位没有保留公务车辆。遗属补助人数3人。房屋面积580平方米。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（二）2021年的重点工作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根据我办年内工作要点和重点工作，围绕县委、县政府的中心工作开展本年度重点工作。1、召开县政协十届一次全体会议，对全县工作进行全面协商。2、召开县政协常委会议6次，对全县工作进行重点协商。3、召开县政协主席会议若干次，对全县重点工作进行重点协商。4、召开专题协商会议5次，进行专题协商。5、对相关单位继续开展委派民主监督。6、开展提案办理监督。7、开展调研视察。反映社情民意。8、征编文史资料，编纂《隆回扶贫纪事》，传承隆回大事；编辑出版隆回文史第十九辑《隆回民间传说》。9、分期分批开展委员培训。</w:t>
      </w:r>
      <w:r>
        <w:rPr>
          <w:rFonts w:hint="eastAsia" w:ascii="仿宋_GB2312" w:hAnsi="仿宋_GB2312" w:eastAsia="仿宋_GB2312" w:cs="仿宋_GB2312"/>
          <w:sz w:val="32"/>
          <w:szCs w:val="32"/>
          <w:lang w:val="en-US" w:eastAsia="zh-CN"/>
        </w:rPr>
        <w:tab/>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w:t>
      </w:r>
      <w:r>
        <w:rPr>
          <w:rFonts w:hint="eastAsia" w:ascii="仿宋_GB2312" w:hAnsi="仿宋_GB2312" w:eastAsia="仿宋_GB2312" w:cs="仿宋_GB2312"/>
          <w:sz w:val="32"/>
          <w:szCs w:val="32"/>
          <w:lang w:val="en-US" w:eastAsia="zh-CN"/>
        </w:rPr>
        <w:t>2021年度财政拨款总收入885.97万元，比上年递减11.69%；一般公共预算财政拨款收入885.97万元。财政拨款总支出858.55万元，比上年增长9%，一般公共预算财政拨款支出834.55元，比上年递增9%；社会保障和就业支出15.93万元；医疗卫生和计划生育支出4.97万元；农林水支出3.09万元。</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年我单位“三公”经费 </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（三）固定资产管理情况分析：</w:t>
      </w:r>
      <w:r>
        <w:rPr>
          <w:rFonts w:hint="eastAsia" w:ascii="仿宋_GB2312" w:hAnsi="仿宋_GB2312" w:eastAsia="仿宋_GB2312" w:cs="仿宋_GB2312"/>
          <w:sz w:val="32"/>
          <w:szCs w:val="32"/>
          <w:lang w:val="en-US" w:eastAsia="zh-CN"/>
        </w:rPr>
        <w:t>按照厉行节约、物尽其用的原则，对资产管理采取统一建账、统一核算管理，对每件固定资产使用明确职责,闲置的资产，由办公室统一调整、合理流动，发挥其效益，2021年末固定资产为190.95万元。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年，根据我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要点</w:t>
      </w:r>
      <w:r>
        <w:rPr>
          <w:rFonts w:hint="eastAsia" w:ascii="仿宋_GB2312" w:hAnsi="仿宋_GB2312" w:eastAsia="仿宋_GB2312" w:cs="仿宋_GB2312"/>
          <w:sz w:val="32"/>
          <w:szCs w:val="32"/>
        </w:rPr>
        <w:t>和重点工作，围绕县委、县政府的</w:t>
      </w:r>
      <w:r>
        <w:rPr>
          <w:rFonts w:hint="eastAsia" w:ascii="仿宋_GB2312" w:hAnsi="仿宋_GB2312" w:eastAsia="仿宋_GB2312" w:cs="仿宋_GB2312"/>
          <w:sz w:val="32"/>
          <w:szCs w:val="32"/>
          <w:lang w:eastAsia="zh-CN"/>
        </w:rPr>
        <w:t>中心工作</w:t>
      </w:r>
      <w:r>
        <w:rPr>
          <w:rFonts w:hint="eastAsia" w:ascii="仿宋_GB2312" w:hAnsi="仿宋_GB2312" w:eastAsia="仿宋_GB2312" w:cs="仿宋_GB2312"/>
          <w:sz w:val="32"/>
          <w:szCs w:val="32"/>
        </w:rPr>
        <w:t>，积极履行职责，强化管理，较好地完成了工作目标，同时加强预算收支的管理，建立健全内部管理制度，严格内部管理流程，部门整体支出管理得到了提升。20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年度本部门整体支出绩效情况如下：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1、本年预算配置控制较好，</w:t>
      </w:r>
      <w:r>
        <w:rPr>
          <w:rFonts w:hint="eastAsia" w:ascii="仿宋_GB2312" w:hAnsi="仿宋_GB2312" w:eastAsia="仿宋_GB2312" w:cs="仿宋_GB2312"/>
          <w:sz w:val="32"/>
          <w:szCs w:val="32"/>
          <w:lang w:eastAsia="zh-CN"/>
        </w:rPr>
        <w:t>严格控制财政供养人员，“</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经费支出总额较上年</w:t>
      </w:r>
      <w:r>
        <w:rPr>
          <w:rFonts w:hint="eastAsia" w:ascii="仿宋_GB2312" w:hAnsi="仿宋_GB2312" w:eastAsia="仿宋_GB2312" w:cs="仿宋_GB2312"/>
          <w:sz w:val="32"/>
          <w:szCs w:val="32"/>
          <w:lang w:eastAsia="zh-CN"/>
        </w:rPr>
        <w:t>大幅减少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2、预算管理方面，制订了切实有效的内部财务、资产管理制度，执行总体较为有效。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一方面，</w:t>
      </w:r>
      <w:r>
        <w:rPr>
          <w:rFonts w:hint="eastAsia" w:ascii="仿宋_GB2312" w:hAnsi="仿宋_GB2312" w:eastAsia="仿宋_GB2312" w:cs="仿宋_GB2312"/>
          <w:sz w:val="32"/>
          <w:szCs w:val="32"/>
        </w:rPr>
        <w:t>严格预算支出管理。在支出预算编制上，人员经费按照配置定额，</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用经费分类分档，</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定额编制，根据“总量控制，计划管理”的要求从严控制行政经费，压缩公务开支，严格控制“三公经费”，资产的配置严格政府采购，按照预算科目和项目资金的规定使用财政资金，保障部门整体支出的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另一方面，</w:t>
      </w:r>
      <w:r>
        <w:rPr>
          <w:rFonts w:hint="eastAsia" w:ascii="仿宋_GB2312" w:hAnsi="仿宋_GB2312" w:eastAsia="仿宋_GB2312" w:cs="仿宋_GB2312"/>
          <w:sz w:val="32"/>
          <w:szCs w:val="32"/>
        </w:rPr>
        <w:t>财务管理上，按照国家相关法律法规，制定了机关财务、</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购置使用、接待会务等管理制度，并严格按照制度管理和执行，防范风险，保证财政资金的安全和高效运行。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、预算编制与实际支出项目有的存在差异，预算编制有待更科学更合理。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、分析细化程度不足。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、财务管理有待创新。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、资产管理有待加强。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1、年初预算编制应更加精准和细化，尽量预算和支出项目一一对应。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2、进一步</w:t>
      </w:r>
      <w:r>
        <w:rPr>
          <w:rFonts w:hint="eastAsia" w:ascii="仿宋_GB2312" w:hAnsi="仿宋_GB2312" w:eastAsia="仿宋_GB2312" w:cs="仿宋_GB2312"/>
          <w:sz w:val="32"/>
          <w:szCs w:val="32"/>
        </w:rPr>
        <w:t>加强新</w:t>
      </w:r>
      <w:r>
        <w:rPr>
          <w:rFonts w:hint="eastAsia" w:ascii="仿宋_GB2312" w:hAnsi="仿宋_GB2312" w:eastAsia="仿宋_GB2312" w:cs="仿宋_GB2312"/>
          <w:sz w:val="32"/>
          <w:szCs w:val="32"/>
          <w:lang w:eastAsia="zh-CN"/>
        </w:rPr>
        <w:t>的政府会计制度的集中</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、提高决算分析水平，发挥决算对加强预算管理的促进作用。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加强财务管理，严格财务审核。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强化监督部门的职责意识，对财务管理机制进行调整与规范，确保各单位能够严格按照财务管理机制开展业务。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sz w:val="32"/>
          <w:szCs w:val="32"/>
          <w:lang w:eastAsia="zh-CN"/>
        </w:rPr>
      </w:pPr>
      <w:r>
        <w:rPr>
          <w:rFonts w:hint="eastAsia" w:ascii="仿宋" w:hAnsi="仿宋" w:eastAsia="仿宋"/>
          <w:sz w:val="32"/>
          <w:szCs w:val="32"/>
        </w:rPr>
        <w:t>隆回县</w:t>
      </w:r>
      <w:r>
        <w:rPr>
          <w:rFonts w:hint="eastAsia" w:ascii="仿宋" w:hAnsi="仿宋" w:eastAsia="仿宋"/>
          <w:sz w:val="32"/>
          <w:szCs w:val="32"/>
          <w:lang w:eastAsia="zh-CN"/>
        </w:rPr>
        <w:t>政协办公室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s="宋体"/>
          <w:kern w:val="0"/>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bookmarkStart w:id="0" w:name="_GoBack"/>
      <w:bookmarkEnd w:id="0"/>
      <w:r>
        <w:rPr>
          <w:rFonts w:hint="eastAsia" w:ascii="仿宋" w:hAnsi="仿宋" w:eastAsia="仿宋"/>
          <w:sz w:val="32"/>
          <w:szCs w:val="32"/>
        </w:rPr>
        <w:t>年4月22日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spacing w:line="360" w:lineRule="auto"/>
        <w:ind w:firstLine="640" w:firstLineChars="200"/>
        <w:rPr>
          <w:rFonts w:ascii="楷体_GB2312" w:eastAsia="楷体_GB2312"/>
          <w:sz w:val="32"/>
          <w:szCs w:val="32"/>
        </w:rPr>
      </w:pPr>
    </w:p>
    <w:p>
      <w:pPr>
        <w:pStyle w:val="2"/>
        <w:ind w:firstLine="4960" w:firstLineChars="1550"/>
      </w:pPr>
    </w:p>
    <w:sectPr>
      <w:headerReference r:id="rId3" w:type="default"/>
      <w:footerReference r:id="rId4" w:type="default"/>
      <w:footerReference r:id="rId5"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hint="eastAsia" w:cs="宋体"/>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6</w:t>
    </w:r>
    <w:r>
      <w:rPr>
        <w:sz w:val="28"/>
        <w:szCs w:val="28"/>
      </w:rPr>
      <w:fldChar w:fldCharType="end"/>
    </w:r>
    <w:r>
      <w:rPr>
        <w:rStyle w:val="10"/>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D411E"/>
    <w:multiLevelType w:val="multilevel"/>
    <w:tmpl w:val="416D411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mZjRkMDk1MjA5MzZmNzE5NWRiMzlmN2I2NDY2ZDQifQ=="/>
  </w:docVars>
  <w:rsids>
    <w:rsidRoot w:val="18D538B0"/>
    <w:rsid w:val="000C4A3F"/>
    <w:rsid w:val="000F0AE5"/>
    <w:rsid w:val="001D3107"/>
    <w:rsid w:val="00370E0B"/>
    <w:rsid w:val="0046379A"/>
    <w:rsid w:val="004B7C71"/>
    <w:rsid w:val="007631F6"/>
    <w:rsid w:val="009244C2"/>
    <w:rsid w:val="00A45208"/>
    <w:rsid w:val="00A8660F"/>
    <w:rsid w:val="00B358E6"/>
    <w:rsid w:val="00B94974"/>
    <w:rsid w:val="00C40F6E"/>
    <w:rsid w:val="00CC287E"/>
    <w:rsid w:val="00D45D4B"/>
    <w:rsid w:val="00E125FC"/>
    <w:rsid w:val="00EC0E48"/>
    <w:rsid w:val="00EE4E76"/>
    <w:rsid w:val="00FD7609"/>
    <w:rsid w:val="13113C31"/>
    <w:rsid w:val="18D538B0"/>
    <w:rsid w:val="2483632E"/>
    <w:rsid w:val="3C01101D"/>
    <w:rsid w:val="49201968"/>
    <w:rsid w:val="4FCE1743"/>
    <w:rsid w:val="635B32B1"/>
    <w:rsid w:val="68640CF7"/>
    <w:rsid w:val="78853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宋体"/>
      <w:kern w:val="0"/>
      <w:sz w:val="24"/>
    </w:r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 w:type="paragraph" w:customStyle="1" w:styleId="12">
    <w:name w:val="Normal (Web)"/>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2965</Words>
  <Characters>3113</Characters>
  <Lines>17</Lines>
  <Paragraphs>4</Paragraphs>
  <TotalTime>48</TotalTime>
  <ScaleCrop>false</ScaleCrop>
  <LinksUpToDate>false</LinksUpToDate>
  <CharactersWithSpaces>3290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2021-04-23T02:43:00Z</cp:lastPrinted>
  <dcterms:modified xsi:type="dcterms:W3CDTF">2022-05-26T09:45:03Z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FC4AD5B48165493FADE0A0374E14E380</vt:lpwstr>
  </property>
</Properties>
</file>