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
          <w:bCs/>
          <w:kern w:val="0"/>
          <w:sz w:val="36"/>
          <w:szCs w:val="36"/>
        </w:rPr>
      </w:pPr>
      <w:r>
        <w:rPr>
          <w:rFonts w:hint="eastAsia" w:ascii="方正小标宋简体" w:eastAsia="方正小标宋简体"/>
          <w:b/>
          <w:bCs/>
          <w:kern w:val="0"/>
          <w:sz w:val="36"/>
          <w:szCs w:val="36"/>
        </w:rPr>
        <w:t>部门整体支出绩效自评基础数据表</w:t>
      </w:r>
    </w:p>
    <w:tbl>
      <w:tblPr>
        <w:tblStyle w:val="7"/>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284"/>
        <w:gridCol w:w="283"/>
        <w:gridCol w:w="675"/>
        <w:gridCol w:w="459"/>
        <w:gridCol w:w="106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vAlign w:val="center"/>
          </w:tcPr>
          <w:p>
            <w:pPr>
              <w:spacing w:line="600" w:lineRule="exact"/>
              <w:jc w:val="center"/>
              <w:rPr>
                <w:rFonts w:ascii="黑体" w:hAnsi="黑体" w:eastAsia="黑体" w:cs="黑体"/>
                <w:b/>
              </w:rPr>
            </w:pPr>
            <w:r>
              <w:rPr>
                <w:rFonts w:hint="eastAsia" w:ascii="黑体" w:hAnsi="黑体" w:eastAsia="黑体" w:cs="黑体"/>
                <w:b/>
                <w:sz w:val="24"/>
              </w:rPr>
              <w:t>（</w:t>
            </w:r>
            <w:r>
              <w:rPr>
                <w:rFonts w:ascii="黑体" w:hAnsi="黑体" w:eastAsia="黑体" w:cs="黑体"/>
                <w:b/>
                <w:sz w:val="24"/>
              </w:rPr>
              <w:t>20</w:t>
            </w:r>
            <w:r>
              <w:rPr>
                <w:rFonts w:hint="eastAsia" w:ascii="黑体" w:hAnsi="黑体" w:eastAsia="黑体" w:cs="黑体"/>
                <w:b/>
                <w:sz w:val="24"/>
              </w:rPr>
              <w:t>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tcPr>
          <w:p>
            <w:pPr>
              <w:spacing w:line="540" w:lineRule="exact"/>
              <w:jc w:val="left"/>
              <w:rPr>
                <w:rFonts w:ascii="楷体" w:hAnsi="楷体" w:eastAsia="楷体" w:cs="楷体"/>
                <w:szCs w:val="21"/>
              </w:rPr>
            </w:pPr>
            <w:r>
              <w:rPr>
                <w:rFonts w:hint="eastAsia" w:ascii="楷体" w:hAnsi="楷体" w:eastAsia="楷体" w:cs="楷体"/>
                <w:szCs w:val="21"/>
              </w:rPr>
              <w:t>隆回县第六中学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135人</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101人（含代课2人）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56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tcPr>
          <w:p>
            <w:pPr>
              <w:spacing w:line="340" w:lineRule="exact"/>
              <w:jc w:val="left"/>
              <w:rPr>
                <w:rFonts w:ascii="楷体" w:hAnsi="楷体" w:eastAsia="楷体" w:cs="楷体"/>
              </w:rPr>
            </w:pPr>
          </w:p>
          <w:p>
            <w:pPr>
              <w:spacing w:line="340" w:lineRule="exact"/>
              <w:jc w:val="left"/>
              <w:rPr>
                <w:rFonts w:ascii="楷体" w:hAnsi="楷体" w:eastAsia="楷体" w:cs="楷体"/>
                <w:szCs w:val="21"/>
              </w:rPr>
            </w:pPr>
            <w:r>
              <w:rPr>
                <w:rFonts w:hint="eastAsia" w:ascii="楷体" w:hAnsi="楷体" w:eastAsia="楷体" w:cs="楷体"/>
              </w:rPr>
              <w:t>研究拟定学校教育发展策略，贯彻和执行党和国家的教育方针、政策、法规。管理和指导学校基础教育工作，确保高中教育工作成果，管理学校教育经费，执行财务管理制度，负责和指导学校教职工的思想政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1706．98</w:t>
            </w:r>
          </w:p>
        </w:tc>
        <w:tc>
          <w:tcPr>
            <w:tcW w:w="1276"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58" w:type="dxa"/>
            <w:gridSpan w:val="2"/>
          </w:tcPr>
          <w:p>
            <w:pPr>
              <w:rPr>
                <w:rFonts w:ascii="楷体" w:hAnsi="楷体" w:eastAsia="楷体" w:cs="楷体"/>
                <w:szCs w:val="21"/>
              </w:rPr>
            </w:pPr>
          </w:p>
          <w:p>
            <w:pPr>
              <w:rPr>
                <w:rFonts w:ascii="楷体" w:hAnsi="楷体" w:eastAsia="楷体" w:cs="楷体"/>
                <w:szCs w:val="21"/>
              </w:rPr>
            </w:pPr>
            <w:r>
              <w:rPr>
                <w:rFonts w:hint="eastAsia" w:ascii="楷体" w:hAnsi="楷体" w:eastAsia="楷体" w:cs="楷体"/>
                <w:szCs w:val="21"/>
              </w:rPr>
              <w:t xml:space="preserve">401．32  </w:t>
            </w:r>
          </w:p>
        </w:tc>
        <w:tc>
          <w:tcPr>
            <w:tcW w:w="459"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2" w:type="dxa"/>
            <w:vMerge w:val="restart"/>
          </w:tcPr>
          <w:p>
            <w:pPr>
              <w:spacing w:line="560" w:lineRule="exact"/>
              <w:rPr>
                <w:rFonts w:ascii="楷体" w:hAnsi="楷体" w:eastAsia="楷体" w:cs="楷体"/>
                <w:szCs w:val="21"/>
              </w:rPr>
            </w:pPr>
            <w:r>
              <w:rPr>
                <w:rFonts w:hint="eastAsia" w:ascii="楷体" w:hAnsi="楷体" w:eastAsia="楷体" w:cs="楷体"/>
                <w:szCs w:val="21"/>
              </w:rPr>
              <w:t>2138．30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0</w:t>
            </w:r>
          </w:p>
        </w:tc>
        <w:tc>
          <w:tcPr>
            <w:tcW w:w="1276" w:type="dxa"/>
            <w:gridSpan w:val="2"/>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958" w:type="dxa"/>
            <w:gridSpan w:val="2"/>
          </w:tcPr>
          <w:p>
            <w:pPr>
              <w:spacing w:line="560" w:lineRule="exact"/>
              <w:jc w:val="left"/>
              <w:rPr>
                <w:rFonts w:ascii="楷体" w:hAnsi="楷体" w:eastAsia="楷体" w:cs="楷体"/>
                <w:szCs w:val="21"/>
              </w:rPr>
            </w:pPr>
            <w:r>
              <w:rPr>
                <w:rFonts w:hint="eastAsia" w:ascii="楷体" w:hAnsi="楷体" w:eastAsia="楷体" w:cs="楷体"/>
                <w:szCs w:val="21"/>
              </w:rPr>
              <w:t>30．00</w:t>
            </w:r>
          </w:p>
        </w:tc>
        <w:tc>
          <w:tcPr>
            <w:tcW w:w="459" w:type="dxa"/>
            <w:vMerge w:val="continue"/>
            <w:vAlign w:val="center"/>
          </w:tcPr>
          <w:p>
            <w:pPr>
              <w:spacing w:line="560" w:lineRule="exact"/>
              <w:jc w:val="center"/>
              <w:rPr>
                <w:rFonts w:ascii="楷体" w:hAnsi="楷体" w:eastAsia="楷体" w:cs="楷体"/>
                <w:szCs w:val="21"/>
              </w:rPr>
            </w:pPr>
          </w:p>
        </w:tc>
        <w:tc>
          <w:tcPr>
            <w:tcW w:w="1062" w:type="dxa"/>
            <w:vMerge w:val="continue"/>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2138．30</w:t>
            </w:r>
          </w:p>
        </w:tc>
        <w:tc>
          <w:tcPr>
            <w:tcW w:w="1559"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675" w:type="dxa"/>
            <w:vMerge w:val="restart"/>
            <w:vAlign w:val="center"/>
          </w:tcPr>
          <w:p>
            <w:pPr>
              <w:jc w:val="center"/>
              <w:rPr>
                <w:rFonts w:ascii="楷体" w:hAnsi="楷体" w:eastAsia="楷体" w:cs="楷体"/>
                <w:szCs w:val="21"/>
              </w:rPr>
            </w:pPr>
            <w:r>
              <w:rPr>
                <w:rFonts w:hint="eastAsia" w:ascii="楷体" w:hAnsi="楷体" w:eastAsia="楷体" w:cs="楷体"/>
                <w:szCs w:val="21"/>
              </w:rPr>
              <w:t>0</w:t>
            </w:r>
          </w:p>
        </w:tc>
        <w:tc>
          <w:tcPr>
            <w:tcW w:w="459"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62" w:type="dxa"/>
            <w:vMerge w:val="restart"/>
            <w:vAlign w:val="center"/>
          </w:tcPr>
          <w:p>
            <w:pPr>
              <w:jc w:val="center"/>
              <w:rPr>
                <w:rFonts w:ascii="楷体" w:hAnsi="楷体" w:eastAsia="楷体" w:cs="楷体"/>
                <w:szCs w:val="21"/>
              </w:rPr>
            </w:pPr>
            <w:r>
              <w:rPr>
                <w:rFonts w:hint="eastAsia" w:ascii="楷体" w:hAnsi="楷体" w:eastAsia="楷体" w:cs="楷体"/>
                <w:szCs w:val="21"/>
              </w:rPr>
              <w:t>2138．30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0</w:t>
            </w:r>
          </w:p>
        </w:tc>
        <w:tc>
          <w:tcPr>
            <w:tcW w:w="1559" w:type="dxa"/>
            <w:gridSpan w:val="3"/>
            <w:vMerge w:val="continue"/>
          </w:tcPr>
          <w:p>
            <w:pPr>
              <w:jc w:val="center"/>
              <w:rPr>
                <w:rFonts w:ascii="楷体" w:hAnsi="楷体" w:eastAsia="楷体" w:cs="楷体"/>
                <w:szCs w:val="21"/>
              </w:rPr>
            </w:pPr>
          </w:p>
        </w:tc>
        <w:tc>
          <w:tcPr>
            <w:tcW w:w="675" w:type="dxa"/>
            <w:vMerge w:val="continue"/>
          </w:tcPr>
          <w:p>
            <w:pPr>
              <w:jc w:val="center"/>
              <w:rPr>
                <w:rFonts w:ascii="楷体" w:hAnsi="楷体" w:eastAsia="楷体" w:cs="楷体"/>
                <w:szCs w:val="21"/>
              </w:rPr>
            </w:pPr>
          </w:p>
        </w:tc>
        <w:tc>
          <w:tcPr>
            <w:tcW w:w="459" w:type="dxa"/>
            <w:vMerge w:val="continue"/>
            <w:vAlign w:val="center"/>
          </w:tcPr>
          <w:p>
            <w:pPr>
              <w:jc w:val="center"/>
              <w:rPr>
                <w:rFonts w:ascii="楷体" w:hAnsi="楷体" w:eastAsia="楷体" w:cs="楷体"/>
                <w:szCs w:val="21"/>
              </w:rPr>
            </w:pPr>
          </w:p>
        </w:tc>
        <w:tc>
          <w:tcPr>
            <w:tcW w:w="1062"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三公经费是否比上年度下降：是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bdr w:val="single" w:color="auto" w:sz="4" w:space="0"/>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应采购金额30　万元，实际采购金额　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sym w:font="Wingdings" w:char="F0FC"/>
            </w:r>
            <w:r>
              <w:rPr>
                <w:rFonts w:ascii="楷体" w:hAnsi="楷体" w:eastAsia="楷体" w:cs="楷体"/>
                <w:szCs w:val="21"/>
              </w:rPr>
              <w:t>,</w:t>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sym w:font="Wingdings" w:char="F0FC"/>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2022年4月</w:t>
            </w:r>
            <w:r>
              <w:rPr>
                <w:rFonts w:ascii="楷体" w:hAnsi="楷体" w:eastAsia="楷体" w:cs="楷体"/>
                <w:szCs w:val="21"/>
              </w:rPr>
              <w:t xml:space="preserve"> </w:t>
            </w:r>
            <w:r>
              <w:rPr>
                <w:rFonts w:hint="eastAsia" w:ascii="楷体" w:hAnsi="楷体" w:eastAsia="楷体" w:cs="楷体"/>
                <w:szCs w:val="21"/>
              </w:rPr>
              <w:t>21</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bdr w:val="single" w:color="auto" w:sz="4" w:space="0"/>
              </w:rPr>
              <w:sym w:font="Wingdings" w:char="F0FC"/>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bdr w:val="single" w:color="auto" w:sz="4" w:space="0"/>
              </w:rPr>
              <w:sym w:font="Wingdings" w:char="F0FC"/>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hint="eastAsia" w:ascii="楷体" w:hAnsi="楷体" w:eastAsia="楷体" w:cs="楷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sym w:font="Wingdings" w:char="F0FC"/>
            </w:r>
            <w:r>
              <w:rPr>
                <w:rFonts w:hint="eastAsia" w:ascii="楷体" w:hAnsi="楷体" w:eastAsia="楷体" w:cs="楷体"/>
                <w:szCs w:val="21"/>
              </w:rPr>
              <w:t xml:space="preserve">    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vAlign w:val="center"/>
          </w:tcPr>
          <w:p>
            <w:pPr>
              <w:ind w:firstLine="105" w:firstLineChars="50"/>
              <w:rPr>
                <w:rFonts w:ascii="楷体" w:hAnsi="楷体" w:eastAsia="楷体" w:cs="楷体"/>
                <w:szCs w:val="21"/>
              </w:rPr>
            </w:pPr>
            <w:r>
              <w:rPr>
                <w:rFonts w:hint="eastAsia" w:ascii="楷体" w:hAnsi="楷体" w:eastAsia="楷体" w:cs="楷体"/>
              </w:rPr>
              <w:t>贯彻和执行党和国家的教育方针、政策、法规。学校基础教育工作有序进行，圆满完成高中教育，工作成果突出。执行财务管理制度，严控三公经费，学校教育经费管理规范。学校教职工的政治思想纯洁高尚，学校资产管理规范，使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697"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vAlign w:val="center"/>
          </w:tcPr>
          <w:p>
            <w:pPr>
              <w:jc w:val="center"/>
              <w:rPr>
                <w:rFonts w:ascii="楷体" w:hAnsi="楷体" w:eastAsia="楷体" w:cs="楷体"/>
                <w:szCs w:val="21"/>
              </w:rPr>
            </w:pPr>
            <w:r>
              <w:rPr>
                <w:rFonts w:hint="eastAsia" w:ascii="楷体" w:hAnsi="楷体" w:eastAsia="楷体" w:cs="楷体"/>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vAlign w:val="center"/>
          </w:tcPr>
          <w:p>
            <w:pPr>
              <w:rPr>
                <w:rFonts w:ascii="楷体" w:hAnsi="楷体" w:eastAsia="楷体" w:cs="楷体"/>
              </w:rPr>
            </w:pPr>
            <w:r>
              <w:rPr>
                <w:rFonts w:hint="eastAsia" w:ascii="楷体" w:hAnsi="楷体" w:eastAsia="楷体" w:cs="楷体"/>
              </w:rPr>
              <w:t>问题与建议</w:t>
            </w:r>
          </w:p>
        </w:tc>
        <w:tc>
          <w:tcPr>
            <w:tcW w:w="8467" w:type="dxa"/>
            <w:gridSpan w:val="10"/>
            <w:vAlign w:val="center"/>
          </w:tcPr>
          <w:p>
            <w:pPr>
              <w:rPr>
                <w:rFonts w:ascii="楷体" w:hAnsi="楷体" w:eastAsia="楷体" w:cs="楷体"/>
              </w:rPr>
            </w:pPr>
            <w:r>
              <w:rPr>
                <w:rFonts w:ascii="楷体" w:hAnsi="楷体" w:eastAsia="楷体" w:cs="楷体"/>
              </w:rPr>
              <w:t>1</w:t>
            </w:r>
            <w:r>
              <w:rPr>
                <w:rFonts w:hint="eastAsia" w:ascii="楷体" w:hAnsi="楷体" w:eastAsia="楷体" w:cs="楷体"/>
              </w:rPr>
              <w:t>、完善资产管理制度，加强提高资产的使用率;</w:t>
            </w:r>
          </w:p>
          <w:p>
            <w:pP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rPr>
          <w:szCs w:val="21"/>
        </w:rPr>
      </w:pPr>
      <w:r>
        <w:rPr>
          <w:rFonts w:hint="eastAsia" w:ascii="宋体" w:hAnsi="宋体"/>
          <w:szCs w:val="21"/>
        </w:rPr>
        <w:t>填报人：李世用</w:t>
      </w:r>
      <w:r>
        <w:rPr>
          <w:rFonts w:ascii="宋体" w:hAnsi="宋体"/>
          <w:szCs w:val="21"/>
        </w:rPr>
        <w:t xml:space="preserve">           </w:t>
      </w:r>
      <w:r>
        <w:rPr>
          <w:rFonts w:hint="eastAsia" w:ascii="宋体" w:hAnsi="宋体"/>
          <w:szCs w:val="21"/>
        </w:rPr>
        <w:t>联系电话：15873983798</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rPr>
        <w:t>2023</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27日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ascii="方正小标宋简体" w:eastAsia="方正小标宋简体"/>
          <w:b/>
          <w:bCs/>
          <w:kern w:val="0"/>
          <w:sz w:val="36"/>
          <w:szCs w:val="36"/>
        </w:rPr>
      </w:pPr>
      <w:r>
        <w:rPr>
          <w:rFonts w:hint="eastAsia" w:ascii="方正小标宋简体" w:eastAsia="方正小标宋简体"/>
          <w:b/>
          <w:bCs/>
          <w:kern w:val="0"/>
          <w:sz w:val="36"/>
          <w:szCs w:val="36"/>
        </w:rPr>
        <w:t>部门整体支出绩效自评报告</w:t>
      </w:r>
    </w:p>
    <w:p>
      <w:pPr>
        <w:jc w:val="center"/>
        <w:rPr>
          <w:rFonts w:eastAsia="仿宋_GB2312"/>
          <w:b/>
          <w:sz w:val="32"/>
          <w:szCs w:val="32"/>
        </w:rPr>
      </w:pPr>
    </w:p>
    <w:p>
      <w:pPr>
        <w:ind w:firstLine="420" w:firstLineChars="200"/>
      </w:pP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一、部门概况</w:t>
      </w:r>
    </w:p>
    <w:p>
      <w:pPr>
        <w:spacing w:line="600" w:lineRule="exact"/>
        <w:ind w:firstLine="482" w:firstLineChars="150"/>
        <w:rPr>
          <w:rFonts w:eastAsia="仿宋_GB2312"/>
          <w:b/>
          <w:sz w:val="32"/>
          <w:szCs w:val="32"/>
        </w:rPr>
      </w:pPr>
      <w:r>
        <w:rPr>
          <w:rFonts w:hint="eastAsia" w:eastAsia="仿宋_GB2312"/>
          <w:b/>
          <w:sz w:val="32"/>
          <w:szCs w:val="32"/>
        </w:rPr>
        <w:t>（一）部门基本情况</w:t>
      </w:r>
    </w:p>
    <w:p>
      <w:pPr>
        <w:snapToGrid w:val="0"/>
        <w:spacing w:line="520" w:lineRule="exact"/>
        <w:ind w:firstLine="700" w:firstLineChars="250"/>
        <w:rPr>
          <w:rFonts w:ascii="楷体" w:hAnsi="楷体" w:eastAsia="楷体" w:cs="楷体"/>
          <w:sz w:val="28"/>
          <w:szCs w:val="28"/>
        </w:rPr>
      </w:pPr>
      <w:r>
        <w:rPr>
          <w:rFonts w:hint="eastAsia" w:ascii="楷体" w:hAnsi="楷体" w:eastAsia="楷体" w:cs="楷体"/>
          <w:sz w:val="28"/>
          <w:szCs w:val="28"/>
        </w:rPr>
        <w:t>单位基本情况：</w:t>
      </w:r>
    </w:p>
    <w:p>
      <w:pPr>
        <w:snapToGrid w:val="0"/>
        <w:spacing w:line="520" w:lineRule="exact"/>
        <w:ind w:firstLine="700" w:firstLineChars="250"/>
        <w:rPr>
          <w:rFonts w:ascii="楷体" w:hAnsi="楷体" w:eastAsia="楷体" w:cs="楷体"/>
          <w:sz w:val="28"/>
          <w:szCs w:val="28"/>
        </w:rPr>
      </w:pPr>
      <w:r>
        <w:rPr>
          <w:rFonts w:hint="eastAsia" w:ascii="楷体" w:hAnsi="楷体" w:eastAsia="楷体" w:cs="楷体"/>
          <w:sz w:val="28"/>
          <w:szCs w:val="28"/>
        </w:rPr>
        <w:t>隆回县第六中学2022年12月编制人数为135人，实际在职人数101人（其中在职在编教师99人，代课教师2人），退休教师2</w:t>
      </w:r>
      <w:r>
        <w:rPr>
          <w:rFonts w:hint="default" w:ascii="楷体" w:hAnsi="楷体" w:eastAsia="楷体" w:cs="楷体"/>
          <w:sz w:val="28"/>
          <w:szCs w:val="28"/>
          <w:lang w:val="en-US"/>
        </w:rPr>
        <w:t>2</w:t>
      </w:r>
      <w:r>
        <w:rPr>
          <w:rFonts w:hint="eastAsia" w:ascii="楷体" w:hAnsi="楷体" w:eastAsia="楷体" w:cs="楷体"/>
          <w:sz w:val="28"/>
          <w:szCs w:val="28"/>
        </w:rPr>
        <w:t>人。学生总人数为2176人，高中生人数为2176人。</w:t>
      </w:r>
    </w:p>
    <w:p>
      <w:pPr>
        <w:snapToGrid w:val="0"/>
        <w:spacing w:line="520" w:lineRule="exact"/>
        <w:ind w:firstLine="560" w:firstLineChars="200"/>
        <w:rPr>
          <w:rFonts w:ascii="楷体" w:hAnsi="楷体" w:eastAsia="楷体" w:cs="楷体"/>
          <w:color w:val="333333"/>
          <w:sz w:val="28"/>
          <w:szCs w:val="28"/>
          <w:shd w:val="clear" w:color="auto" w:fill="FFFFFF"/>
        </w:rPr>
      </w:pPr>
    </w:p>
    <w:p>
      <w:pPr>
        <w:spacing w:line="600" w:lineRule="exact"/>
        <w:ind w:firstLine="643" w:firstLineChars="200"/>
        <w:rPr>
          <w:rFonts w:eastAsia="仿宋_GB2312"/>
          <w:b/>
          <w:sz w:val="32"/>
          <w:szCs w:val="32"/>
        </w:rPr>
      </w:pPr>
      <w:r>
        <w:rPr>
          <w:rFonts w:hint="eastAsia" w:eastAsia="仿宋_GB2312"/>
          <w:b/>
          <w:sz w:val="32"/>
          <w:szCs w:val="32"/>
        </w:rPr>
        <w:t>（二）</w:t>
      </w:r>
      <w:r>
        <w:rPr>
          <w:rFonts w:eastAsia="仿宋_GB2312"/>
          <w:b/>
          <w:sz w:val="32"/>
          <w:szCs w:val="32"/>
        </w:rPr>
        <w:t>20</w:t>
      </w:r>
      <w:r>
        <w:rPr>
          <w:rFonts w:hint="eastAsia" w:eastAsia="仿宋_GB2312"/>
          <w:b/>
          <w:sz w:val="32"/>
          <w:szCs w:val="32"/>
        </w:rPr>
        <w:t>22年的重点工作</w:t>
      </w:r>
    </w:p>
    <w:p>
      <w:pPr>
        <w:snapToGrid w:val="0"/>
        <w:spacing w:line="520" w:lineRule="exact"/>
        <w:ind w:firstLine="700" w:firstLineChars="250"/>
        <w:rPr>
          <w:rFonts w:ascii="仿宋_GB2312" w:eastAsia="仿宋_GB2312"/>
          <w:sz w:val="28"/>
          <w:szCs w:val="28"/>
        </w:rPr>
      </w:pPr>
      <w:r>
        <w:rPr>
          <w:rFonts w:hint="eastAsia" w:ascii="仿宋_GB2312" w:eastAsia="仿宋_GB2312"/>
          <w:sz w:val="28"/>
          <w:szCs w:val="28"/>
        </w:rPr>
        <w:t>研究拟定学校教育发展策略，贯彻和执行党和国家的教育方针、政策、法规。管理和指导学校基础教育工作，确保高中教育工作成果，管理学校教育经费，执行财务管理制度，负责和指导学校教职工的思想政治工作。</w:t>
      </w:r>
    </w:p>
    <w:p>
      <w:pPr>
        <w:spacing w:line="600" w:lineRule="exact"/>
        <w:ind w:firstLine="643" w:firstLineChars="200"/>
        <w:rPr>
          <w:rFonts w:eastAsia="仿宋_GB2312"/>
          <w:b/>
          <w:sz w:val="32"/>
          <w:szCs w:val="32"/>
        </w:rPr>
      </w:pPr>
      <w:r>
        <w:rPr>
          <w:rFonts w:hint="eastAsia" w:eastAsia="仿宋_GB2312"/>
          <w:b/>
          <w:sz w:val="32"/>
          <w:szCs w:val="32"/>
        </w:rPr>
        <w:t>（三）部门整体支出情况</w:t>
      </w:r>
    </w:p>
    <w:p>
      <w:pPr>
        <w:snapToGrid w:val="0"/>
        <w:spacing w:line="520" w:lineRule="exact"/>
        <w:ind w:firstLine="700" w:firstLineChars="250"/>
        <w:rPr>
          <w:rFonts w:ascii="仿宋_GB2312" w:eastAsia="仿宋_GB2312"/>
          <w:sz w:val="28"/>
          <w:szCs w:val="28"/>
        </w:rPr>
      </w:pPr>
      <w:r>
        <w:rPr>
          <w:rFonts w:hint="eastAsia" w:ascii="仿宋_GB2312" w:eastAsia="仿宋_GB2312"/>
          <w:sz w:val="28"/>
          <w:szCs w:val="28"/>
        </w:rPr>
        <w:t>2022年度决算支出为2138．30万元。</w:t>
      </w:r>
    </w:p>
    <w:p>
      <w:pPr>
        <w:snapToGrid w:val="0"/>
        <w:spacing w:line="520" w:lineRule="exact"/>
        <w:ind w:firstLine="700" w:firstLineChars="250"/>
        <w:rPr>
          <w:rFonts w:ascii="仿宋_GB2312" w:eastAsia="仿宋_GB2312"/>
          <w:sz w:val="28"/>
          <w:szCs w:val="28"/>
        </w:rPr>
      </w:pP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二、部门整体支出管理及使用情况</w:t>
      </w:r>
    </w:p>
    <w:p>
      <w:pPr>
        <w:spacing w:line="600" w:lineRule="exact"/>
        <w:ind w:firstLine="643" w:firstLineChars="200"/>
        <w:rPr>
          <w:rFonts w:eastAsia="仿宋_GB2312"/>
          <w:b/>
          <w:sz w:val="32"/>
          <w:szCs w:val="32"/>
        </w:rPr>
      </w:pPr>
      <w:r>
        <w:rPr>
          <w:rFonts w:hint="eastAsia" w:eastAsia="仿宋_GB2312"/>
          <w:b/>
          <w:sz w:val="32"/>
          <w:szCs w:val="32"/>
        </w:rPr>
        <w:t>（一）基本支出情况</w:t>
      </w:r>
    </w:p>
    <w:p>
      <w:pPr>
        <w:pStyle w:val="2"/>
        <w:ind w:firstLine="700" w:firstLineChars="250"/>
      </w:pPr>
      <w:r>
        <w:rPr>
          <w:rFonts w:hint="eastAsia" w:ascii="楷体" w:hAnsi="楷体" w:eastAsia="楷体" w:cs="楷体"/>
          <w:color w:val="333333"/>
          <w:sz w:val="28"/>
          <w:szCs w:val="28"/>
          <w:shd w:val="clear" w:color="auto" w:fill="FFFFFF"/>
        </w:rPr>
        <w:t>2022年度决算数为2138．30万元，是指为保障单位机构正常运转、完成日常工作任务而发生的各项支出，包括用于基本工资、津贴补贴等人员经费以及办公费、印刷费、水电费及办公设备购置等日常公用经费。</w:t>
      </w:r>
    </w:p>
    <w:p>
      <w:pPr>
        <w:spacing w:line="600" w:lineRule="exact"/>
        <w:ind w:firstLine="643" w:firstLineChars="200"/>
        <w:rPr>
          <w:rFonts w:eastAsia="仿宋_GB2312"/>
          <w:b/>
          <w:sz w:val="32"/>
          <w:szCs w:val="32"/>
        </w:rPr>
      </w:pPr>
      <w:r>
        <w:rPr>
          <w:rFonts w:hint="eastAsia" w:eastAsia="仿宋_GB2312"/>
          <w:b/>
          <w:sz w:val="32"/>
          <w:szCs w:val="32"/>
        </w:rPr>
        <w:t>（二）项目支出情况</w:t>
      </w:r>
    </w:p>
    <w:p>
      <w:pPr>
        <w:pStyle w:val="2"/>
        <w:ind w:firstLine="56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2022年年度决算数为0万元，是指单位为完成选定行政工作或事业发展目标而发生的支出，包括有关事业发展专项、专项业务费、基本建设支出等。我单位项目支出由县教育局统一上报。</w:t>
      </w:r>
    </w:p>
    <w:p>
      <w:pPr>
        <w:pStyle w:val="2"/>
        <w:ind w:firstLine="700" w:firstLineChars="250"/>
        <w:rPr>
          <w:rFonts w:ascii="楷体" w:hAnsi="楷体" w:eastAsia="楷体" w:cs="楷体"/>
          <w:color w:val="333333"/>
          <w:sz w:val="28"/>
          <w:szCs w:val="28"/>
          <w:shd w:val="clear" w:color="auto" w:fill="FFFFFF"/>
        </w:rPr>
      </w:pPr>
    </w:p>
    <w:p>
      <w:pPr>
        <w:pStyle w:val="2"/>
        <w:ind w:firstLine="643"/>
        <w:rPr>
          <w:rFonts w:ascii="楷体" w:hAnsi="楷体" w:eastAsia="楷体" w:cs="楷体"/>
          <w:b/>
          <w:color w:val="333333"/>
          <w:szCs w:val="32"/>
          <w:shd w:val="clear" w:color="auto" w:fill="FFFFFF"/>
        </w:rPr>
      </w:pPr>
      <w:r>
        <w:rPr>
          <w:rFonts w:hint="eastAsia" w:ascii="楷体" w:hAnsi="楷体" w:eastAsia="楷体" w:cs="楷体"/>
          <w:b/>
          <w:color w:val="333333"/>
          <w:szCs w:val="32"/>
          <w:shd w:val="clear" w:color="auto" w:fill="FFFFFF"/>
        </w:rPr>
        <w:t>（三）</w:t>
      </w:r>
      <w:r>
        <w:rPr>
          <w:rFonts w:ascii="楷体" w:hAnsi="楷体" w:eastAsia="楷体" w:cs="楷体"/>
          <w:b/>
          <w:color w:val="333333"/>
          <w:szCs w:val="32"/>
          <w:shd w:val="clear" w:color="auto" w:fill="FFFFFF"/>
        </w:rPr>
        <w:t>“</w:t>
      </w:r>
      <w:r>
        <w:rPr>
          <w:rFonts w:hint="eastAsia" w:ascii="楷体" w:hAnsi="楷体" w:eastAsia="楷体" w:cs="楷体"/>
          <w:b/>
          <w:color w:val="333333"/>
          <w:szCs w:val="32"/>
          <w:shd w:val="clear" w:color="auto" w:fill="FFFFFF"/>
        </w:rPr>
        <w:t>三公</w:t>
      </w:r>
      <w:r>
        <w:rPr>
          <w:rFonts w:ascii="楷体" w:hAnsi="楷体" w:eastAsia="楷体" w:cs="楷体"/>
          <w:b/>
          <w:color w:val="333333"/>
          <w:szCs w:val="32"/>
          <w:shd w:val="clear" w:color="auto" w:fill="FFFFFF"/>
        </w:rPr>
        <w:t>”</w:t>
      </w:r>
      <w:r>
        <w:rPr>
          <w:rFonts w:hint="eastAsia" w:ascii="楷体" w:hAnsi="楷体" w:eastAsia="楷体" w:cs="楷体"/>
          <w:b/>
          <w:color w:val="333333"/>
          <w:szCs w:val="32"/>
          <w:shd w:val="clear" w:color="auto" w:fill="FFFFFF"/>
        </w:rPr>
        <w:t>经费情况</w:t>
      </w:r>
    </w:p>
    <w:p>
      <w:pPr>
        <w:pStyle w:val="2"/>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2022年我单位“三公”经费 4.98万元。</w:t>
      </w:r>
    </w:p>
    <w:p>
      <w:pPr>
        <w:pStyle w:val="2"/>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1、因公出国(境)费0元；</w:t>
      </w:r>
    </w:p>
    <w:p>
      <w:pPr>
        <w:pStyle w:val="2"/>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2、公务接待费4.98万元；</w:t>
      </w:r>
    </w:p>
    <w:p>
      <w:pPr>
        <w:pStyle w:val="2"/>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3、公务用车费0万元（公务用车运行维护费0万元，公务用车购置费 0 元）。</w:t>
      </w:r>
    </w:p>
    <w:p>
      <w:pPr>
        <w:pStyle w:val="2"/>
        <w:ind w:firstLine="700" w:firstLineChars="250"/>
        <w:rPr>
          <w:rFonts w:ascii="楷体" w:hAnsi="楷体" w:eastAsia="楷体" w:cs="楷体"/>
          <w:color w:val="333333"/>
          <w:sz w:val="28"/>
          <w:szCs w:val="28"/>
          <w:shd w:val="clear" w:color="auto" w:fill="FFFFFF"/>
        </w:rPr>
      </w:pPr>
    </w:p>
    <w:p>
      <w:pPr>
        <w:pStyle w:val="6"/>
        <w:widowControl/>
        <w:spacing w:before="0" w:beforeAutospacing="0" w:after="0" w:afterAutospacing="0" w:line="480" w:lineRule="auto"/>
        <w:ind w:firstLine="643" w:firstLineChars="200"/>
        <w:jc w:val="both"/>
        <w:rPr>
          <w:rFonts w:ascii="黑体" w:hAnsi="黑体" w:eastAsia="黑体"/>
          <w:b/>
          <w:sz w:val="32"/>
          <w:szCs w:val="32"/>
        </w:rPr>
      </w:pPr>
      <w:r>
        <w:rPr>
          <w:rFonts w:hint="eastAsia" w:ascii="黑体" w:hAnsi="黑体" w:eastAsia="黑体"/>
          <w:b/>
          <w:sz w:val="32"/>
          <w:szCs w:val="32"/>
        </w:rPr>
        <w:t>三、部门整体支出绩效情况</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财务管理制度建设情况：资金拨付严格按程序申报、审批，合理合规使用资金，确保财政资金安全。</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资产管理：及时按照要求报送资产情况报表，确保各项资产核算准确、帐实相符、管理到位。</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预决算公开：及时在县人民政府门户网站上进行了预决算公开。</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“三公经费”控制情况：能严格遵守各项规章制度，严控“三公”经费支出，并及时在县人民政府门户网站上对“三公”经费情况进行公示。</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认真履行职责，及时报送财政供养信息、存量资金等有关资料及报表。</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p>
    <w:p>
      <w:pPr>
        <w:pStyle w:val="6"/>
        <w:widowControl/>
        <w:spacing w:before="0" w:beforeAutospacing="0" w:after="0" w:afterAutospacing="0" w:line="480" w:lineRule="auto"/>
        <w:ind w:firstLine="643" w:firstLineChars="200"/>
        <w:jc w:val="both"/>
        <w:rPr>
          <w:rFonts w:ascii="黑体" w:hAnsi="黑体" w:eastAsia="黑体"/>
          <w:b/>
          <w:sz w:val="32"/>
          <w:szCs w:val="32"/>
        </w:rPr>
      </w:pPr>
      <w:r>
        <w:rPr>
          <w:rFonts w:hint="eastAsia" w:ascii="黑体" w:hAnsi="黑体" w:eastAsia="黑体"/>
          <w:b/>
          <w:sz w:val="32"/>
          <w:szCs w:val="32"/>
        </w:rPr>
        <w:t>四、存在的问题</w:t>
      </w:r>
    </w:p>
    <w:p>
      <w:pPr>
        <w:pStyle w:val="6"/>
        <w:widowControl/>
        <w:spacing w:before="0" w:beforeAutospacing="0" w:after="0" w:afterAutospacing="0" w:line="240" w:lineRule="atLeast"/>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1、预算编制工作有待细化。预算编制不够明确和细化，预算编制的合理性需要提高，预算执行力度还要进一步加强。</w:t>
      </w:r>
    </w:p>
    <w:p>
      <w:pPr>
        <w:pStyle w:val="6"/>
        <w:widowControl/>
        <w:spacing w:before="0" w:beforeAutospacing="0" w:after="0" w:afterAutospacing="0" w:line="240" w:lineRule="atLeast"/>
        <w:ind w:firstLine="560" w:firstLineChars="20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2、公用经费的支出数大于预算数。</w:t>
      </w:r>
    </w:p>
    <w:p>
      <w:pPr>
        <w:pStyle w:val="6"/>
        <w:widowControl/>
        <w:spacing w:before="0" w:beforeAutospacing="0" w:after="0" w:afterAutospacing="0" w:line="240" w:lineRule="atLeast"/>
        <w:ind w:firstLine="560" w:firstLineChars="20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3、工会经费等人头经费严重不足。</w:t>
      </w:r>
    </w:p>
    <w:p>
      <w:pPr>
        <w:pStyle w:val="6"/>
        <w:widowControl/>
        <w:spacing w:before="0" w:beforeAutospacing="0" w:after="0" w:afterAutospacing="0" w:line="240" w:lineRule="atLeast"/>
        <w:ind w:firstLine="560" w:firstLineChars="200"/>
        <w:jc w:val="both"/>
        <w:rPr>
          <w:rFonts w:ascii="楷体" w:hAnsi="楷体" w:eastAsia="楷体" w:cs="楷体"/>
          <w:sz w:val="28"/>
          <w:szCs w:val="28"/>
        </w:rPr>
      </w:pP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五、改进措施和有关建议</w:t>
      </w:r>
    </w:p>
    <w:p>
      <w:pPr>
        <w:pStyle w:val="2"/>
        <w:ind w:firstLine="640"/>
      </w:pP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pStyle w:val="6"/>
        <w:widowControl/>
        <w:spacing w:before="0" w:beforeAutospacing="0" w:after="0" w:afterAutospacing="0" w:line="240" w:lineRule="atLeast"/>
        <w:ind w:firstLine="420"/>
        <w:jc w:val="both"/>
        <w:rPr>
          <w:rFonts w:ascii="楷体" w:hAnsi="楷体" w:eastAsia="楷体" w:cs="楷体"/>
          <w:sz w:val="28"/>
          <w:szCs w:val="28"/>
        </w:rPr>
      </w:pPr>
      <w:r>
        <w:rPr>
          <w:rFonts w:hint="eastAsia" w:ascii="楷体" w:hAnsi="楷体" w:eastAsia="楷体" w:cs="楷体"/>
          <w:sz w:val="28"/>
          <w:szCs w:val="28"/>
          <w:shd w:val="clear" w:color="auto" w:fill="FFFFFF"/>
        </w:rPr>
        <w:t>2、加强财务管理，严格财务审核。加强单位财务管理，在费用报账支付时，按照预算规定的费用项目和用途进行资金使用审核、列报支付、财务核算，杜绝超支现象的发生。</w:t>
      </w: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3、完善资产管理，抓好“三公”经费控制。把关“三公”经费支出的审核、审批，杜绝挪用和挤占其他预算资金行为；合理压缩“三公”经费支出。</w:t>
      </w: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4、希望财政管理部门能落实好单位的奖励绩效缺口经费及工会缺口经费。</w:t>
      </w: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p>
    <w:p>
      <w:pPr>
        <w:pStyle w:val="6"/>
        <w:widowControl/>
        <w:spacing w:before="0" w:beforeAutospacing="0" w:after="0" w:afterAutospacing="0" w:line="240" w:lineRule="atLeast"/>
        <w:ind w:firstLine="3640" w:firstLineChars="1300"/>
        <w:jc w:val="right"/>
        <w:rPr>
          <w:rFonts w:ascii="楷体" w:hAnsi="楷体" w:eastAsia="楷体" w:cs="楷体"/>
          <w:sz w:val="28"/>
          <w:szCs w:val="28"/>
          <w:shd w:val="clear" w:color="auto" w:fill="FFFFFF"/>
        </w:rPr>
      </w:pPr>
    </w:p>
    <w:p>
      <w:pPr>
        <w:pStyle w:val="6"/>
        <w:widowControl/>
        <w:wordWrap w:val="0"/>
        <w:spacing w:before="0" w:beforeAutospacing="0" w:after="0" w:afterAutospacing="0" w:line="240" w:lineRule="atLeast"/>
        <w:ind w:firstLine="3640" w:firstLineChars="1300"/>
        <w:jc w:val="righ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隆回县第六中学</w:t>
      </w:r>
    </w:p>
    <w:p>
      <w:pPr>
        <w:pStyle w:val="6"/>
        <w:widowControl/>
        <w:spacing w:before="0" w:beforeAutospacing="0" w:after="0" w:afterAutospacing="0" w:line="240" w:lineRule="atLeast"/>
        <w:ind w:firstLine="3640" w:firstLineChars="1300"/>
        <w:jc w:val="right"/>
        <w:rPr>
          <w:rFonts w:ascii="楷体" w:hAnsi="楷体" w:eastAsia="楷体" w:cs="楷体"/>
          <w:sz w:val="28"/>
          <w:szCs w:val="28"/>
          <w:shd w:val="clear" w:color="auto" w:fill="FFFFFF"/>
        </w:rPr>
      </w:pPr>
    </w:p>
    <w:p>
      <w:pPr>
        <w:pStyle w:val="6"/>
        <w:widowControl/>
        <w:spacing w:before="0" w:beforeAutospacing="0" w:after="0" w:afterAutospacing="0" w:line="240" w:lineRule="atLeast"/>
        <w:ind w:firstLine="420"/>
        <w:jc w:val="righ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 xml:space="preserve">                            2023年4月</w:t>
      </w:r>
      <w:r>
        <w:rPr>
          <w:rFonts w:hint="default" w:ascii="楷体" w:hAnsi="楷体" w:eastAsia="楷体" w:cs="楷体"/>
          <w:sz w:val="28"/>
          <w:szCs w:val="28"/>
          <w:shd w:val="clear" w:color="auto" w:fill="FFFFFF"/>
          <w:lang w:val="en-US"/>
        </w:rPr>
        <w:t>20</w:t>
      </w:r>
      <w:bookmarkStart w:id="0" w:name="_GoBack"/>
      <w:bookmarkEnd w:id="0"/>
      <w:r>
        <w:rPr>
          <w:rFonts w:hint="eastAsia" w:ascii="楷体" w:hAnsi="楷体" w:eastAsia="楷体" w:cs="楷体"/>
          <w:sz w:val="28"/>
          <w:szCs w:val="28"/>
          <w:shd w:val="clear" w:color="auto" w:fill="FFFFFF"/>
        </w:rPr>
        <w:t>日</w:t>
      </w:r>
    </w:p>
    <w:p>
      <w:pPr>
        <w:spacing w:line="600" w:lineRule="exact"/>
        <w:rPr>
          <w:rFonts w:eastAsia="仿宋_GB2312"/>
          <w:sz w:val="28"/>
          <w:szCs w:val="28"/>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cs="宋体"/>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5</w:t>
    </w:r>
    <w:r>
      <w:rPr>
        <w:sz w:val="28"/>
        <w:szCs w:val="28"/>
      </w:rPr>
      <w:fldChar w:fldCharType="end"/>
    </w:r>
    <w:r>
      <w:rPr>
        <w:rStyle w:val="9"/>
        <w:rFonts w:hint="eastAsia"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MDI0YmVlOGZhNTgyOTE2NTU2MmRhNDUwYTk5MmYifQ=="/>
  </w:docVars>
  <w:rsids>
    <w:rsidRoot w:val="7B711489"/>
    <w:rsid w:val="00004B43"/>
    <w:rsid w:val="00057C7B"/>
    <w:rsid w:val="00106DA1"/>
    <w:rsid w:val="0016226A"/>
    <w:rsid w:val="00267812"/>
    <w:rsid w:val="003B7D59"/>
    <w:rsid w:val="00427905"/>
    <w:rsid w:val="004809DC"/>
    <w:rsid w:val="004900AD"/>
    <w:rsid w:val="00575715"/>
    <w:rsid w:val="00583B64"/>
    <w:rsid w:val="005F6F77"/>
    <w:rsid w:val="006828E8"/>
    <w:rsid w:val="008664AA"/>
    <w:rsid w:val="008A0037"/>
    <w:rsid w:val="00947949"/>
    <w:rsid w:val="00954BF8"/>
    <w:rsid w:val="009A359C"/>
    <w:rsid w:val="00A67069"/>
    <w:rsid w:val="00AA356E"/>
    <w:rsid w:val="00B776E5"/>
    <w:rsid w:val="00BE00C6"/>
    <w:rsid w:val="00BE1819"/>
    <w:rsid w:val="00C05BC3"/>
    <w:rsid w:val="00C24A08"/>
    <w:rsid w:val="00CA57FD"/>
    <w:rsid w:val="00D366FB"/>
    <w:rsid w:val="00DA6399"/>
    <w:rsid w:val="00E138CD"/>
    <w:rsid w:val="00F65B55"/>
    <w:rsid w:val="02DA2291"/>
    <w:rsid w:val="16B34BE9"/>
    <w:rsid w:val="31830071"/>
    <w:rsid w:val="31AA3DFB"/>
    <w:rsid w:val="44F91E86"/>
    <w:rsid w:val="59E04093"/>
    <w:rsid w:val="5B930B8F"/>
    <w:rsid w:val="5CB21B90"/>
    <w:rsid w:val="5CF508CD"/>
    <w:rsid w:val="630C5145"/>
    <w:rsid w:val="7B71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2109</Words>
  <Characters>2208</Characters>
  <Lines>18</Lines>
  <Paragraphs>5</Paragraphs>
  <TotalTime>36</TotalTime>
  <ScaleCrop>false</ScaleCrop>
  <LinksUpToDate>false</LinksUpToDate>
  <CharactersWithSpaces>2363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2023-04-26T23:52:00Z</dcterms:created>
  <dc:creator>曦微。</dc:creator>
  <cp:lastModifiedBy>心大天地宽</cp:lastModifiedBy>
  <cp:lastPrinted>2023-04-27T00:44:00Z</cp:lastPrinted>
  <dcterms:modified xsi:type="dcterms:W3CDTF">2023-05-19T07:08:29Z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D87DB9FB74604437B2AA51EA1FC41DDF_13</vt:lpwstr>
  </property>
</Properties>
</file>