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0" w:rsidRPr="000E6306" w:rsidRDefault="00687584">
      <w:pPr>
        <w:spacing w:line="600" w:lineRule="exact"/>
        <w:jc w:val="center"/>
        <w:rPr>
          <w:rFonts w:asciiTheme="majorEastAsia" w:eastAsiaTheme="majorEastAsia" w:hAnsiTheme="majorEastAsia"/>
          <w:bCs/>
          <w:kern w:val="0"/>
          <w:sz w:val="36"/>
          <w:szCs w:val="36"/>
        </w:rPr>
      </w:pPr>
      <w:r w:rsidRPr="000E6306">
        <w:rPr>
          <w:rFonts w:asciiTheme="majorEastAsia" w:eastAsiaTheme="majorEastAsia" w:hAnsiTheme="majorEastAsia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93"/>
      </w:tblGrid>
      <w:tr w:rsidR="00686290">
        <w:trPr>
          <w:gridAfter w:val="1"/>
          <w:wAfter w:w="393" w:type="dxa"/>
          <w:trHeight w:val="480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86290" w:rsidRDefault="00687584" w:rsidP="000E6306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 w:rsidR="000E6306">
              <w:rPr>
                <w:rFonts w:ascii="黑体" w:eastAsia="黑体" w:hAnsi="黑体" w:cs="黑体" w:hint="eastAsia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036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中共隆回县委政法委员会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466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686290" w:rsidRDefault="0068758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17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686290" w:rsidRDefault="0068758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3119" w:type="dxa"/>
            <w:gridSpan w:val="6"/>
            <w:noWrap/>
            <w:vAlign w:val="center"/>
          </w:tcPr>
          <w:p w:rsidR="00686290" w:rsidRDefault="00687584" w:rsidP="00332793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 w:rsidR="00332793">
              <w:rPr>
                <w:rFonts w:ascii="楷体" w:eastAsia="楷体" w:hAnsi="楷体" w:cs="楷体" w:hint="eastAsia"/>
                <w:szCs w:val="21"/>
              </w:rPr>
              <w:t>2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226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spacing w:line="240" w:lineRule="exact"/>
              <w:jc w:val="left"/>
              <w:rPr>
                <w:rFonts w:ascii="楷体" w:eastAsia="楷体" w:hAnsi="楷体" w:cs="楷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隆回县政法委是县委工作机关，其</w:t>
            </w: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主要职责是：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深入贯彻习近平新时代中国特色社会主义思想，深入贯彻党的路线方针政策和决策部署，统一政法各部门思想和行动坚持党对政法工作的绝对领导，坚持维护党中央权威和集中统一领导。对全县政法工作研究提出全局性部署，坚持推进平安隆回、法治隆回建设，加强过硬队伍建设，深化智能化建设，坚决维护国家政治安全，确保社会大局稳定、促进社会公平正义，保障人民安居乐业。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72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4B4C8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774.31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/>
          </w:tcPr>
          <w:p w:rsidR="00686290" w:rsidRDefault="00686290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5" w:type="dxa"/>
            <w:gridSpan w:val="2"/>
            <w:vMerge w:val="restart"/>
            <w:noWrap/>
          </w:tcPr>
          <w:p w:rsidR="00686290" w:rsidRDefault="004B4C87">
            <w:pPr>
              <w:spacing w:line="2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774.31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noWrap/>
            <w:vAlign w:val="center"/>
          </w:tcPr>
          <w:p w:rsidR="00686290" w:rsidRDefault="00687584">
            <w:pPr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/>
            <w:vAlign w:val="center"/>
          </w:tcPr>
          <w:p w:rsidR="00686290" w:rsidRDefault="004B4C8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494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  <w:gridSpan w:val="2"/>
            <w:vMerge/>
            <w:noWrap/>
          </w:tcPr>
          <w:p w:rsidR="00686290" w:rsidRDefault="00686290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687584" w:rsidP="004B4C8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4</w:t>
            </w:r>
            <w:r w:rsidR="004B4C87">
              <w:rPr>
                <w:rFonts w:ascii="楷体" w:eastAsia="楷体" w:hAnsi="楷体" w:cs="楷体" w:hint="eastAsia"/>
                <w:szCs w:val="21"/>
              </w:rPr>
              <w:t>99.01</w:t>
            </w:r>
          </w:p>
        </w:tc>
        <w:tc>
          <w:tcPr>
            <w:tcW w:w="1559" w:type="dxa"/>
            <w:gridSpan w:val="3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686290" w:rsidRDefault="004B4C8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275.51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5" w:type="dxa"/>
            <w:gridSpan w:val="2"/>
            <w:vMerge w:val="restart"/>
            <w:noWrap/>
            <w:vAlign w:val="center"/>
          </w:tcPr>
          <w:p w:rsidR="00686290" w:rsidRDefault="004B4C8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774.52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noWrap/>
            <w:tcMar>
              <w:left w:w="0" w:type="dxa"/>
              <w:right w:w="0" w:type="dxa"/>
            </w:tcMar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686290" w:rsidRDefault="004B4C8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1.34</w:t>
            </w:r>
          </w:p>
        </w:tc>
        <w:tc>
          <w:tcPr>
            <w:tcW w:w="1559" w:type="dxa"/>
            <w:gridSpan w:val="3"/>
            <w:vMerge/>
            <w:noWrap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  <w:noWrap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5" w:type="dxa"/>
            <w:gridSpan w:val="2"/>
            <w:vMerge/>
            <w:noWrap/>
            <w:vAlign w:val="center"/>
          </w:tcPr>
          <w:p w:rsidR="00686290" w:rsidRDefault="00686290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15"/>
          <w:jc w:val="center"/>
        </w:trPr>
        <w:tc>
          <w:tcPr>
            <w:tcW w:w="533" w:type="dxa"/>
            <w:vMerge w:val="restart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是否存在超编超配人员：是√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37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招待费用是否明确招待标准和招待人数：是√     否□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  否□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三公经费是否比年度下降：是√   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是否实行收支两条线管理：是√ 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有√   无□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31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年度是否制定了政府采购计划：是√   否□</w:t>
            </w:r>
          </w:p>
          <w:p w:rsidR="00686290" w:rsidRDefault="00687584" w:rsidP="002856C5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2856C5">
              <w:rPr>
                <w:rFonts w:ascii="楷体" w:eastAsia="楷体" w:hAnsi="楷体" w:cs="楷体" w:hint="eastAsia"/>
                <w:szCs w:val="21"/>
              </w:rPr>
              <w:t>18.80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万元，实际采购金额1</w:t>
            </w:r>
            <w:r w:rsidR="002856C5">
              <w:rPr>
                <w:rFonts w:ascii="楷体" w:eastAsia="楷体" w:hAnsi="楷体" w:cs="楷体" w:hint="eastAsia"/>
                <w:szCs w:val="21"/>
              </w:rPr>
              <w:t>8.80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74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 w:rsidR="00191110"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BD6189">
              <w:rPr>
                <w:rFonts w:ascii="楷体" w:eastAsia="楷体" w:hAnsi="楷体" w:cs="楷体" w:hint="eastAsia"/>
                <w:szCs w:val="21"/>
              </w:rPr>
              <w:t xml:space="preserve">□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BD6189">
              <w:rPr>
                <w:rFonts w:ascii="楷体" w:eastAsia="楷体" w:hAnsi="楷体" w:cs="楷体" w:hint="eastAsia"/>
                <w:szCs w:val="21"/>
              </w:rPr>
              <w:t>√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 w:rsidR="00BD6189"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否□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20</w:t>
            </w:r>
            <w:r w:rsidR="00191110">
              <w:rPr>
                <w:rFonts w:ascii="楷体" w:eastAsia="楷体" w:hAnsi="楷体" w:cs="楷体" w:hint="eastAsia"/>
                <w:szCs w:val="21"/>
              </w:rPr>
              <w:t>20</w:t>
            </w:r>
            <w:r>
              <w:rPr>
                <w:rFonts w:ascii="楷体" w:eastAsia="楷体" w:hAnsi="楷体" w:cs="楷体" w:hint="eastAsia"/>
                <w:szCs w:val="21"/>
              </w:rPr>
              <w:t>年1月2</w:t>
            </w:r>
            <w:r w:rsidR="00191110"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686290" w:rsidRDefault="0068758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门户网站√  单位内部□  其它□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有√   无□</w:t>
            </w:r>
          </w:p>
          <w:p w:rsidR="00686290" w:rsidRDefault="0068758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  □否√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资产是否产权清晰、两证齐全：是√   否□</w:t>
            </w:r>
          </w:p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1"/>
          <w:jc w:val="center"/>
        </w:trPr>
        <w:tc>
          <w:tcPr>
            <w:tcW w:w="533" w:type="dxa"/>
            <w:vMerge/>
            <w:noWrap/>
            <w:vAlign w:val="center"/>
          </w:tcPr>
          <w:p w:rsidR="00686290" w:rsidRDefault="00686290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655" w:type="dxa"/>
            <w:gridSpan w:val="10"/>
            <w:noWrap/>
            <w:vAlign w:val="center"/>
          </w:tcPr>
          <w:p w:rsidR="00686290" w:rsidRDefault="0068758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是√   否□</w:t>
            </w:r>
          </w:p>
        </w:tc>
      </w:tr>
      <w:tr w:rsidR="00686290" w:rsidTr="007B5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092"/>
          <w:jc w:val="center"/>
        </w:trPr>
        <w:tc>
          <w:tcPr>
            <w:tcW w:w="533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823" w:type="dxa"/>
            <w:gridSpan w:val="11"/>
            <w:noWrap/>
            <w:vAlign w:val="center"/>
          </w:tcPr>
          <w:p w:rsidR="00686290" w:rsidRPr="007B5B86" w:rsidRDefault="00687584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7B5B86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坚持以人民为中心的发展理念，服务全县发展大局，忠诚履职、敢于担当、创新机制、主动作为，确保了全县政治大局稳定和治安秩序平稳。国安工作被评为全省人民防线先进县，扫黑除恶、禁毒工作均在全市名列前矛，县司法局被司法部评为人民调解宣传工作先进单位、荣获全省“三调联动解纠纷、防控风险促发展”先进集体、全市司法行政工作先进单位。县委政法委、县人民检察院被评为市级文明标兵单位，县人民检察院执法质量考评获全市第二名，扫黑除恶工作在全市检察工作会议上做典型发言。县人民法院被评为全市优秀法院。县公安局荣获全市扫黑除恶先进单位、全市命案侦破先进单位、全市绩效评估先进单位。 5个基层政法单位，30余名干警受到市级以上荣誉表彰。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101"/>
          <w:jc w:val="center"/>
        </w:trPr>
        <w:tc>
          <w:tcPr>
            <w:tcW w:w="533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823" w:type="dxa"/>
            <w:gridSpan w:val="11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1"/>
              </w:rPr>
              <w:t>良好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13"/>
          <w:jc w:val="center"/>
        </w:trPr>
        <w:tc>
          <w:tcPr>
            <w:tcW w:w="533" w:type="dxa"/>
            <w:noWrap/>
            <w:vAlign w:val="center"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823" w:type="dxa"/>
            <w:gridSpan w:val="11"/>
            <w:noWrap/>
            <w:vAlign w:val="center"/>
          </w:tcPr>
          <w:p w:rsidR="00686290" w:rsidRDefault="00687584">
            <w:pPr>
              <w:jc w:val="left"/>
              <w:rPr>
                <w:rFonts w:ascii="楷体" w:eastAsia="楷体" w:hAnsi="楷体" w:cs="楷体"/>
                <w:sz w:val="24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1"/>
              </w:rPr>
              <w:t>财务管理存在不足之处，财务人员均为兼职，对政策的把握及业务水平有待进一步提高。</w:t>
            </w:r>
          </w:p>
        </w:tc>
      </w:tr>
      <w:tr w:rsidR="00686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74"/>
          <w:jc w:val="center"/>
        </w:trPr>
        <w:tc>
          <w:tcPr>
            <w:tcW w:w="533" w:type="dxa"/>
            <w:noWrap/>
          </w:tcPr>
          <w:p w:rsidR="00686290" w:rsidRDefault="006875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823" w:type="dxa"/>
            <w:gridSpan w:val="11"/>
            <w:noWrap/>
          </w:tcPr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6290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686290" w:rsidRDefault="0068758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686290" w:rsidRDefault="00686290">
      <w:pPr>
        <w:rPr>
          <w:rFonts w:ascii="宋体"/>
          <w:szCs w:val="21"/>
        </w:rPr>
      </w:pPr>
    </w:p>
    <w:p w:rsidR="00686290" w:rsidRDefault="0068758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填报人：刘瑾      联系电话：18075930821         时间：202</w:t>
      </w:r>
      <w:r w:rsidR="00191110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年</w:t>
      </w:r>
      <w:r w:rsidR="00191110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  23日</w:t>
      </w:r>
    </w:p>
    <w:p w:rsidR="00686290" w:rsidRDefault="00687584">
      <w:pPr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  <w:bookmarkStart w:id="0" w:name="_GoBack"/>
      <w:bookmarkEnd w:id="0"/>
    </w:p>
    <w:sectPr w:rsidR="00686290" w:rsidSect="0068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7E" w:rsidRDefault="0008037E" w:rsidP="007B5B86">
      <w:r>
        <w:separator/>
      </w:r>
    </w:p>
  </w:endnote>
  <w:endnote w:type="continuationSeparator" w:id="0">
    <w:p w:rsidR="0008037E" w:rsidRDefault="0008037E" w:rsidP="007B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7E" w:rsidRDefault="0008037E" w:rsidP="007B5B86">
      <w:r>
        <w:separator/>
      </w:r>
    </w:p>
  </w:footnote>
  <w:footnote w:type="continuationSeparator" w:id="0">
    <w:p w:rsidR="0008037E" w:rsidRDefault="0008037E" w:rsidP="007B5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97"/>
    <w:rsid w:val="0008037E"/>
    <w:rsid w:val="000E6306"/>
    <w:rsid w:val="00127045"/>
    <w:rsid w:val="00191110"/>
    <w:rsid w:val="002856C5"/>
    <w:rsid w:val="00332793"/>
    <w:rsid w:val="003D3FD0"/>
    <w:rsid w:val="003F784D"/>
    <w:rsid w:val="004B4C87"/>
    <w:rsid w:val="00662C97"/>
    <w:rsid w:val="00686290"/>
    <w:rsid w:val="00687584"/>
    <w:rsid w:val="007B5B86"/>
    <w:rsid w:val="00BD6189"/>
    <w:rsid w:val="00C66679"/>
    <w:rsid w:val="00E0418B"/>
    <w:rsid w:val="77F6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862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rsid w:val="00686290"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686290"/>
    <w:pPr>
      <w:spacing w:after="120"/>
      <w:ind w:leftChars="200" w:left="420"/>
    </w:pPr>
  </w:style>
  <w:style w:type="paragraph" w:styleId="a4">
    <w:name w:val="Normal (Web)"/>
    <w:basedOn w:val="a"/>
    <w:qFormat/>
    <w:rsid w:val="006862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686290"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sid w:val="00686290"/>
  </w:style>
  <w:style w:type="paragraph" w:styleId="a5">
    <w:name w:val="header"/>
    <w:basedOn w:val="a"/>
    <w:link w:val="Char0"/>
    <w:uiPriority w:val="99"/>
    <w:semiHidden/>
    <w:unhideWhenUsed/>
    <w:rsid w:val="007B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B5B8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B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B5B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2020-03-24T01:32:00Z</cp:lastPrinted>
  <dcterms:created xsi:type="dcterms:W3CDTF">2020-03-23T00:50:00Z</dcterms:created>
  <dcterms:modified xsi:type="dcterms:W3CDTF">2021-04-24T03:01:00Z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