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203"/>
          <w:tab w:val="left" w:pos="4145"/>
          <w:tab w:val="left" w:pos="5718"/>
          <w:tab w:val="left" w:pos="6938"/>
          <w:tab w:val="left" w:pos="8139"/>
        </w:tabs>
        <w:spacing w:line="640" w:lineRule="exact"/>
        <w:ind w:left="93"/>
        <w:jc w:val="left"/>
        <w:rPr>
          <w:rFonts w:eastAsia="黑体"/>
          <w:kern w:val="0"/>
          <w:sz w:val="32"/>
          <w:szCs w:val="32"/>
        </w:rPr>
      </w:pPr>
      <w:r>
        <w:rPr>
          <w:rFonts w:hint="eastAsia" w:eastAsia="黑体"/>
          <w:kern w:val="0"/>
          <w:sz w:val="32"/>
          <w:szCs w:val="32"/>
        </w:rPr>
        <w:t>附件</w:t>
      </w:r>
      <w:r>
        <w:rPr>
          <w:rFonts w:eastAsia="黑体"/>
          <w:kern w:val="0"/>
          <w:sz w:val="32"/>
          <w:szCs w:val="32"/>
        </w:rPr>
        <w:t>1</w:t>
      </w:r>
    </w:p>
    <w:p>
      <w:pPr>
        <w:jc w:val="center"/>
        <w:rPr>
          <w:rFonts w:eastAsia="楷体_GB2312"/>
          <w:bCs/>
          <w:kern w:val="0"/>
          <w:sz w:val="32"/>
          <w:szCs w:val="32"/>
        </w:rPr>
      </w:pPr>
      <w:r>
        <w:rPr>
          <w:rFonts w:hint="eastAsia" w:eastAsia="方正小标宋_GBK"/>
          <w:bCs/>
          <w:kern w:val="0"/>
          <w:sz w:val="36"/>
          <w:szCs w:val="36"/>
        </w:rPr>
        <w:t>隆回县</w:t>
      </w:r>
      <w:r>
        <w:rPr>
          <w:rFonts w:eastAsia="方正小标宋_GBK"/>
          <w:bCs/>
          <w:kern w:val="0"/>
          <w:sz w:val="36"/>
          <w:szCs w:val="36"/>
        </w:rPr>
        <w:t>2020</w:t>
      </w:r>
      <w:r>
        <w:rPr>
          <w:rFonts w:hint="eastAsia" w:eastAsia="方正小标宋_GBK"/>
          <w:bCs/>
          <w:kern w:val="0"/>
          <w:sz w:val="36"/>
          <w:szCs w:val="36"/>
        </w:rPr>
        <w:t>年部门整体支出绩效目标表</w:t>
      </w:r>
    </w:p>
    <w:p>
      <w:pPr>
        <w:widowControl/>
        <w:tabs>
          <w:tab w:val="left" w:pos="2593"/>
        </w:tabs>
        <w:ind w:left="93"/>
        <w:jc w:val="left"/>
        <w:rPr>
          <w:rFonts w:eastAsia="黑体"/>
          <w:kern w:val="0"/>
          <w:szCs w:val="21"/>
        </w:rPr>
      </w:pPr>
    </w:p>
    <w:p>
      <w:pPr>
        <w:widowControl/>
        <w:tabs>
          <w:tab w:val="left" w:pos="2593"/>
        </w:tabs>
        <w:ind w:left="93"/>
        <w:jc w:val="left"/>
        <w:rPr>
          <w:rFonts w:hint="eastAsia" w:eastAsia="黑体"/>
          <w:kern w:val="0"/>
          <w:szCs w:val="21"/>
          <w:lang w:eastAsia="zh-CN"/>
        </w:rPr>
      </w:pPr>
      <w:r>
        <w:rPr>
          <w:rFonts w:hint="eastAsia" w:eastAsia="黑体"/>
          <w:kern w:val="0"/>
          <w:szCs w:val="21"/>
        </w:rPr>
        <w:t>填报单位：中共隆回县委</w:t>
      </w:r>
      <w:r>
        <w:rPr>
          <w:rFonts w:hint="eastAsia" w:eastAsia="黑体"/>
          <w:kern w:val="0"/>
          <w:szCs w:val="21"/>
          <w:lang w:eastAsia="zh-CN"/>
        </w:rPr>
        <w:t>统战部</w:t>
      </w:r>
    </w:p>
    <w:tbl>
      <w:tblPr>
        <w:tblStyle w:val="5"/>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200"/>
        <w:gridCol w:w="2740"/>
        <w:gridCol w:w="3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61" w:type="dxa"/>
            <w:vAlign w:val="center"/>
          </w:tcPr>
          <w:p>
            <w:pPr>
              <w:widowControl/>
              <w:jc w:val="center"/>
              <w:rPr>
                <w:rFonts w:eastAsia="黑体"/>
                <w:kern w:val="0"/>
                <w:szCs w:val="21"/>
              </w:rPr>
            </w:pPr>
            <w:r>
              <w:rPr>
                <w:rFonts w:hint="eastAsia" w:eastAsia="黑体"/>
                <w:kern w:val="0"/>
                <w:szCs w:val="21"/>
              </w:rPr>
              <w:t>部门名称</w:t>
            </w:r>
          </w:p>
        </w:tc>
        <w:tc>
          <w:tcPr>
            <w:tcW w:w="7681" w:type="dxa"/>
            <w:gridSpan w:val="3"/>
            <w:vAlign w:val="center"/>
          </w:tcPr>
          <w:p>
            <w:pPr>
              <w:widowControl/>
              <w:jc w:val="center"/>
              <w:rPr>
                <w:rFonts w:eastAsia="黑体"/>
                <w:kern w:val="0"/>
                <w:szCs w:val="21"/>
              </w:rPr>
            </w:pPr>
            <w:r>
              <w:rPr>
                <w:rFonts w:hint="eastAsia" w:eastAsia="黑体"/>
                <w:kern w:val="0"/>
                <w:szCs w:val="21"/>
              </w:rPr>
              <w:t>中共隆回县委</w:t>
            </w:r>
            <w:r>
              <w:rPr>
                <w:rFonts w:hint="eastAsia" w:eastAsia="黑体"/>
                <w:kern w:val="0"/>
                <w:szCs w:val="21"/>
                <w:lang w:eastAsia="zh-CN"/>
              </w:rPr>
              <w:t>统战部</w:t>
            </w:r>
            <w:r>
              <w:rPr>
                <w:rFonts w:hint="eastAsia" w:eastAsia="黑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restart"/>
            <w:vAlign w:val="center"/>
          </w:tcPr>
          <w:p>
            <w:pPr>
              <w:widowControl/>
              <w:jc w:val="center"/>
              <w:rPr>
                <w:rFonts w:eastAsia="黑体"/>
                <w:kern w:val="0"/>
                <w:szCs w:val="21"/>
              </w:rPr>
            </w:pPr>
            <w:r>
              <w:rPr>
                <w:rFonts w:hint="eastAsia" w:eastAsia="黑体"/>
                <w:kern w:val="0"/>
                <w:szCs w:val="21"/>
              </w:rPr>
              <w:t>年度预算申请</w:t>
            </w:r>
            <w:r>
              <w:rPr>
                <w:rFonts w:eastAsia="黑体"/>
                <w:kern w:val="0"/>
                <w:szCs w:val="21"/>
              </w:rPr>
              <w:br w:type="textWrapping"/>
            </w:r>
            <w:r>
              <w:rPr>
                <w:rFonts w:hint="eastAsia" w:eastAsia="黑体"/>
                <w:kern w:val="0"/>
                <w:szCs w:val="21"/>
              </w:rPr>
              <w:t>（万元）</w:t>
            </w:r>
          </w:p>
        </w:tc>
        <w:tc>
          <w:tcPr>
            <w:tcW w:w="7681" w:type="dxa"/>
            <w:gridSpan w:val="3"/>
            <w:vAlign w:val="center"/>
          </w:tcPr>
          <w:p>
            <w:pPr>
              <w:widowControl/>
              <w:jc w:val="left"/>
              <w:rPr>
                <w:kern w:val="0"/>
                <w:szCs w:val="21"/>
              </w:rPr>
            </w:pPr>
            <w:r>
              <w:rPr>
                <w:rFonts w:hint="eastAsia"/>
                <w:kern w:val="0"/>
                <w:szCs w:val="21"/>
              </w:rPr>
              <w:t>资金总额：3382409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left"/>
              <w:rPr>
                <w:rFonts w:eastAsia="黑体"/>
                <w:kern w:val="0"/>
                <w:szCs w:val="21"/>
              </w:rPr>
            </w:pPr>
          </w:p>
        </w:tc>
        <w:tc>
          <w:tcPr>
            <w:tcW w:w="3940" w:type="dxa"/>
            <w:gridSpan w:val="2"/>
            <w:vAlign w:val="center"/>
          </w:tcPr>
          <w:p>
            <w:pPr>
              <w:widowControl/>
              <w:jc w:val="left"/>
              <w:rPr>
                <w:kern w:val="0"/>
                <w:szCs w:val="21"/>
              </w:rPr>
            </w:pPr>
            <w:r>
              <w:rPr>
                <w:rFonts w:hint="eastAsia"/>
                <w:kern w:val="0"/>
                <w:szCs w:val="21"/>
              </w:rPr>
              <w:t>按收入性质分：</w:t>
            </w:r>
          </w:p>
        </w:tc>
        <w:tc>
          <w:tcPr>
            <w:tcW w:w="3741" w:type="dxa"/>
            <w:vAlign w:val="center"/>
          </w:tcPr>
          <w:p>
            <w:pPr>
              <w:widowControl/>
              <w:jc w:val="left"/>
              <w:rPr>
                <w:kern w:val="0"/>
                <w:szCs w:val="21"/>
              </w:rPr>
            </w:pPr>
            <w:r>
              <w:rPr>
                <w:rFonts w:hint="eastAsia"/>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left"/>
              <w:rPr>
                <w:rFonts w:eastAsia="黑体"/>
                <w:kern w:val="0"/>
                <w:szCs w:val="21"/>
              </w:rPr>
            </w:pPr>
          </w:p>
        </w:tc>
        <w:tc>
          <w:tcPr>
            <w:tcW w:w="3940" w:type="dxa"/>
            <w:gridSpan w:val="2"/>
            <w:vAlign w:val="center"/>
          </w:tcPr>
          <w:p>
            <w:pPr>
              <w:widowControl/>
              <w:ind w:firstLine="105" w:firstLineChars="50"/>
              <w:jc w:val="left"/>
              <w:rPr>
                <w:rFonts w:hint="default" w:eastAsia="宋体"/>
                <w:kern w:val="0"/>
                <w:szCs w:val="21"/>
                <w:lang w:val="en-US" w:eastAsia="zh-CN"/>
              </w:rPr>
            </w:pPr>
            <w:r>
              <w:rPr>
                <w:rFonts w:hint="eastAsia"/>
                <w:kern w:val="0"/>
                <w:szCs w:val="21"/>
              </w:rPr>
              <w:t>其中：</w:t>
            </w:r>
            <w:r>
              <w:rPr>
                <w:kern w:val="0"/>
                <w:szCs w:val="21"/>
              </w:rPr>
              <w:t xml:space="preserve">  </w:t>
            </w:r>
            <w:r>
              <w:rPr>
                <w:rFonts w:hint="eastAsia"/>
                <w:kern w:val="0"/>
                <w:szCs w:val="21"/>
              </w:rPr>
              <w:t>一般公共预算：</w:t>
            </w:r>
            <w:r>
              <w:rPr>
                <w:rFonts w:hint="eastAsia"/>
                <w:kern w:val="0"/>
                <w:szCs w:val="21"/>
                <w:lang w:val="en-US" w:eastAsia="zh-CN"/>
              </w:rPr>
              <w:t>3382409</w:t>
            </w:r>
          </w:p>
        </w:tc>
        <w:tc>
          <w:tcPr>
            <w:tcW w:w="3741" w:type="dxa"/>
            <w:vAlign w:val="center"/>
          </w:tcPr>
          <w:p>
            <w:pPr>
              <w:widowControl/>
              <w:jc w:val="left"/>
              <w:rPr>
                <w:kern w:val="0"/>
                <w:szCs w:val="21"/>
              </w:rPr>
            </w:pPr>
            <w:r>
              <w:rPr>
                <w:rFonts w:hint="eastAsia"/>
                <w:kern w:val="0"/>
                <w:szCs w:val="21"/>
              </w:rPr>
              <w:t>其中：</w:t>
            </w:r>
            <w:r>
              <w:rPr>
                <w:kern w:val="0"/>
                <w:szCs w:val="21"/>
              </w:rPr>
              <w:t xml:space="preserve"> </w:t>
            </w:r>
            <w:r>
              <w:rPr>
                <w:rFonts w:hint="eastAsia"/>
                <w:kern w:val="0"/>
                <w:szCs w:val="21"/>
              </w:rPr>
              <w:t>基本支出：1684409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left"/>
              <w:rPr>
                <w:rFonts w:eastAsia="黑体"/>
                <w:kern w:val="0"/>
                <w:szCs w:val="21"/>
              </w:rPr>
            </w:pPr>
          </w:p>
        </w:tc>
        <w:tc>
          <w:tcPr>
            <w:tcW w:w="3940" w:type="dxa"/>
            <w:gridSpan w:val="2"/>
            <w:vAlign w:val="center"/>
          </w:tcPr>
          <w:p>
            <w:pPr>
              <w:widowControl/>
              <w:jc w:val="left"/>
              <w:rPr>
                <w:kern w:val="0"/>
                <w:szCs w:val="21"/>
              </w:rPr>
            </w:pPr>
            <w:r>
              <w:rPr>
                <w:kern w:val="0"/>
                <w:szCs w:val="21"/>
              </w:rPr>
              <w:t xml:space="preserve">       </w:t>
            </w:r>
            <w:r>
              <w:rPr>
                <w:rFonts w:hint="eastAsia"/>
                <w:kern w:val="0"/>
                <w:szCs w:val="21"/>
              </w:rPr>
              <w:t>政府性基金拨款：</w:t>
            </w:r>
          </w:p>
        </w:tc>
        <w:tc>
          <w:tcPr>
            <w:tcW w:w="3741" w:type="dxa"/>
            <w:vAlign w:val="center"/>
          </w:tcPr>
          <w:p>
            <w:pPr>
              <w:widowControl/>
              <w:jc w:val="left"/>
              <w:rPr>
                <w:kern w:val="0"/>
                <w:szCs w:val="21"/>
              </w:rPr>
            </w:pPr>
            <w:r>
              <w:rPr>
                <w:kern w:val="0"/>
                <w:szCs w:val="21"/>
              </w:rPr>
              <w:t xml:space="preserve">       </w:t>
            </w:r>
            <w:r>
              <w:rPr>
                <w:rFonts w:hint="eastAsia"/>
                <w:kern w:val="0"/>
                <w:szCs w:val="21"/>
              </w:rPr>
              <w:t>项目支出：1698000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left"/>
              <w:rPr>
                <w:rFonts w:eastAsia="黑体"/>
                <w:kern w:val="0"/>
                <w:szCs w:val="21"/>
              </w:rPr>
            </w:pPr>
          </w:p>
        </w:tc>
        <w:tc>
          <w:tcPr>
            <w:tcW w:w="3940" w:type="dxa"/>
            <w:gridSpan w:val="2"/>
            <w:vAlign w:val="center"/>
          </w:tcPr>
          <w:p>
            <w:pPr>
              <w:widowControl/>
              <w:ind w:firstLine="735" w:firstLineChars="350"/>
              <w:jc w:val="left"/>
              <w:rPr>
                <w:kern w:val="0"/>
                <w:szCs w:val="21"/>
              </w:rPr>
            </w:pPr>
            <w:r>
              <w:rPr>
                <w:rFonts w:hint="eastAsia"/>
                <w:kern w:val="0"/>
                <w:szCs w:val="21"/>
              </w:rPr>
              <w:t>纳入专户管理的</w:t>
            </w:r>
          </w:p>
          <w:p>
            <w:pPr>
              <w:widowControl/>
              <w:ind w:firstLine="945" w:firstLineChars="450"/>
              <w:jc w:val="left"/>
              <w:rPr>
                <w:kern w:val="0"/>
                <w:szCs w:val="21"/>
              </w:rPr>
            </w:pPr>
            <w:r>
              <w:rPr>
                <w:rFonts w:hint="eastAsia"/>
                <w:kern w:val="0"/>
                <w:szCs w:val="21"/>
              </w:rPr>
              <w:t>非税收入拨款：</w:t>
            </w:r>
          </w:p>
        </w:tc>
        <w:tc>
          <w:tcPr>
            <w:tcW w:w="3741" w:type="dxa"/>
            <w:vAlign w:val="center"/>
          </w:tcPr>
          <w:p>
            <w:pPr>
              <w:widowControl/>
              <w:jc w:val="left"/>
              <w:rPr>
                <w:kern w:val="0"/>
                <w:szCs w:val="21"/>
              </w:rPr>
            </w:pPr>
            <w:r>
              <w:rPr>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left"/>
              <w:rPr>
                <w:rFonts w:eastAsia="黑体"/>
                <w:kern w:val="0"/>
                <w:szCs w:val="21"/>
              </w:rPr>
            </w:pPr>
          </w:p>
        </w:tc>
        <w:tc>
          <w:tcPr>
            <w:tcW w:w="3940" w:type="dxa"/>
            <w:gridSpan w:val="2"/>
            <w:vAlign w:val="center"/>
          </w:tcPr>
          <w:p>
            <w:pPr>
              <w:widowControl/>
              <w:jc w:val="left"/>
              <w:rPr>
                <w:kern w:val="0"/>
                <w:szCs w:val="21"/>
              </w:rPr>
            </w:pPr>
            <w:r>
              <w:rPr>
                <w:kern w:val="0"/>
                <w:szCs w:val="21"/>
              </w:rPr>
              <w:t xml:space="preserve">             </w:t>
            </w:r>
            <w:r>
              <w:rPr>
                <w:rFonts w:hint="eastAsia"/>
                <w:kern w:val="0"/>
                <w:szCs w:val="21"/>
              </w:rPr>
              <w:t>其他资金：</w:t>
            </w:r>
          </w:p>
        </w:tc>
        <w:tc>
          <w:tcPr>
            <w:tcW w:w="3741" w:type="dxa"/>
            <w:vAlign w:val="center"/>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761" w:type="dxa"/>
            <w:vAlign w:val="center"/>
          </w:tcPr>
          <w:p>
            <w:pPr>
              <w:widowControl/>
              <w:jc w:val="center"/>
              <w:rPr>
                <w:rFonts w:eastAsia="黑体"/>
                <w:kern w:val="0"/>
                <w:szCs w:val="21"/>
              </w:rPr>
            </w:pPr>
            <w:r>
              <w:rPr>
                <w:rFonts w:hint="eastAsia" w:eastAsia="黑体"/>
                <w:kern w:val="0"/>
                <w:szCs w:val="21"/>
              </w:rPr>
              <w:t>部门职能</w:t>
            </w:r>
          </w:p>
          <w:p>
            <w:pPr>
              <w:widowControl/>
              <w:jc w:val="center"/>
              <w:rPr>
                <w:rFonts w:eastAsia="黑体"/>
                <w:kern w:val="0"/>
                <w:szCs w:val="21"/>
              </w:rPr>
            </w:pPr>
            <w:r>
              <w:rPr>
                <w:rFonts w:hint="eastAsia" w:eastAsia="黑体"/>
                <w:kern w:val="0"/>
                <w:szCs w:val="21"/>
              </w:rPr>
              <w:t>职责概述</w:t>
            </w:r>
          </w:p>
        </w:tc>
        <w:tc>
          <w:tcPr>
            <w:tcW w:w="7681" w:type="dxa"/>
            <w:gridSpan w:val="3"/>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640"/>
              <w:textAlignment w:val="auto"/>
              <w:rPr>
                <w:rFonts w:hint="eastAsia" w:ascii="仿宋_GB2312" w:hAnsi="Calibri" w:eastAsia="仿宋_GB2312" w:cs="宋体"/>
                <w:kern w:val="0"/>
                <w:sz w:val="24"/>
                <w:szCs w:val="24"/>
              </w:rPr>
            </w:pPr>
            <w:r>
              <w:rPr>
                <w:rFonts w:hint="eastAsia" w:ascii="仿宋_GB2312" w:hAnsi="Calibri" w:eastAsia="仿宋_GB2312" w:cs="宋体"/>
                <w:kern w:val="0"/>
                <w:sz w:val="24"/>
                <w:szCs w:val="24"/>
              </w:rPr>
              <w:t>（一）贯彻落实加强党对统一战线工作集中统一领导的要求，发挥县委在统战工作方面的参谋机构、组织协调机构、具体执行、督促检查机构作用，了解情况、掌握政策、协调关系、安排人事、增进共识、加强团结，协调统一战线各方面关系，组织和落实中央、省委、市委和县委关于统一战线工作重大决策部署，巩固壮大最广泛的统一战线。</w:t>
            </w:r>
          </w:p>
          <w:p>
            <w:pPr>
              <w:keepNext w:val="0"/>
              <w:keepLines w:val="0"/>
              <w:pageBreakBefore w:val="0"/>
              <w:widowControl w:val="0"/>
              <w:kinsoku/>
              <w:wordWrap/>
              <w:overflowPunct/>
              <w:topLinePunct w:val="0"/>
              <w:autoSpaceDE/>
              <w:autoSpaceDN/>
              <w:bidi w:val="0"/>
              <w:adjustRightInd/>
              <w:snapToGrid w:val="0"/>
              <w:spacing w:line="460" w:lineRule="exact"/>
              <w:ind w:firstLine="640"/>
              <w:textAlignment w:val="auto"/>
              <w:rPr>
                <w:rFonts w:hint="eastAsia" w:ascii="仿宋_GB2312" w:hAnsi="Calibri" w:eastAsia="仿宋_GB2312" w:cs="宋体"/>
                <w:kern w:val="0"/>
                <w:sz w:val="24"/>
                <w:szCs w:val="24"/>
              </w:rPr>
            </w:pPr>
            <w:r>
              <w:rPr>
                <w:rFonts w:hint="eastAsia" w:ascii="仿宋_GB2312" w:hAnsi="Calibri" w:eastAsia="仿宋_GB2312" w:cs="宋体"/>
                <w:kern w:val="0"/>
                <w:sz w:val="24"/>
                <w:szCs w:val="24"/>
              </w:rPr>
              <w:t>(二)协调开展全县统一战线重大理论研究，拟订全县统一战线政策并推动落实。深入调查研究，及时向县委报告统一战线工作情况并提出建议，统筹协调和指导县直机关单位、乡镇（街道）统一战线工作。</w:t>
            </w:r>
          </w:p>
          <w:p>
            <w:pPr>
              <w:keepNext w:val="0"/>
              <w:keepLines w:val="0"/>
              <w:pageBreakBefore w:val="0"/>
              <w:widowControl w:val="0"/>
              <w:kinsoku/>
              <w:wordWrap/>
              <w:overflowPunct/>
              <w:topLinePunct w:val="0"/>
              <w:autoSpaceDE/>
              <w:autoSpaceDN/>
              <w:bidi w:val="0"/>
              <w:adjustRightInd/>
              <w:snapToGrid w:val="0"/>
              <w:spacing w:line="460" w:lineRule="exact"/>
              <w:ind w:firstLine="640"/>
              <w:textAlignment w:val="auto"/>
              <w:rPr>
                <w:rFonts w:hint="eastAsia" w:ascii="仿宋_GB2312" w:hAnsi="Calibri" w:eastAsia="仿宋_GB2312" w:cs="宋体"/>
                <w:kern w:val="0"/>
                <w:sz w:val="24"/>
                <w:szCs w:val="24"/>
              </w:rPr>
            </w:pPr>
            <w:r>
              <w:rPr>
                <w:rFonts w:hint="eastAsia" w:ascii="仿宋_GB2312" w:hAnsi="Calibri" w:eastAsia="仿宋_GB2312" w:cs="宋体"/>
                <w:kern w:val="0"/>
                <w:sz w:val="24"/>
                <w:szCs w:val="24"/>
              </w:rPr>
              <w:t>(三)负责发现、培养党外代表人士，负责党外人士的政治安排，会同有关部门做好安排党外人士担任政府和司法机关及其他单位领导职务的工作，协助县工商联做好干部管理工作，反映和协调解决党外代表人士工作生活中的实际困难。</w:t>
            </w:r>
          </w:p>
          <w:p>
            <w:pPr>
              <w:keepNext w:val="0"/>
              <w:keepLines w:val="0"/>
              <w:pageBreakBefore w:val="0"/>
              <w:widowControl w:val="0"/>
              <w:kinsoku/>
              <w:wordWrap/>
              <w:overflowPunct/>
              <w:topLinePunct w:val="0"/>
              <w:autoSpaceDE/>
              <w:autoSpaceDN/>
              <w:bidi w:val="0"/>
              <w:adjustRightInd/>
              <w:snapToGrid w:val="0"/>
              <w:spacing w:line="460" w:lineRule="exact"/>
              <w:ind w:firstLine="480"/>
              <w:textAlignment w:val="auto"/>
              <w:rPr>
                <w:rFonts w:hint="eastAsia" w:ascii="仿宋_GB2312" w:hAnsi="Calibri" w:eastAsia="仿宋_GB2312" w:cs="宋体"/>
                <w:kern w:val="0"/>
                <w:sz w:val="24"/>
                <w:szCs w:val="24"/>
              </w:rPr>
            </w:pPr>
            <w:r>
              <w:rPr>
                <w:rFonts w:hint="eastAsia" w:ascii="仿宋_GB2312" w:hAnsi="Calibri" w:eastAsia="仿宋_GB2312" w:cs="宋体"/>
                <w:kern w:val="0"/>
                <w:sz w:val="24"/>
                <w:szCs w:val="24"/>
              </w:rPr>
              <w:t>（四）贯彻落实党的宣传工作方针，统筹推进全县统一战线宣传工作，拟订我县统一战线宣传工作规划并组织实施，研判涉及统一战线的舆情并协调有关部门应对处置。</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五）贯彻落实党的民族宗教工作方针和政策，研究拟订全县民族宗教工作的政策措施并督促落实，协调处理民族宗教工作中的重大问题，依法管理民族宗教事务，根据分工做好少数民族干部工作，联系、培养宗教界代表人士，引导各宗教坚持中国化方向，巩固和发展同宗教界的爱国统一战线。</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六）负责联系、培养无党派代表人士，支持、帮助无党派人士加强自身建设、发挥作用。调查研究党外知识分子和新的社会阶层人士情况并提出政策建议，联系、培养党外知识分子和新的社会阶层代表人士，开展思想政治工作，指导全县事业单位、国有企业和社会组织开展党外知识分子和新的社会阶层人士统战工作。</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七）参与制定、推动落实鼓励支持引导非公有制经济发展的政策，调查研究非公有制经济人士情况并提出政策建议，了解和反映非公有制经济人士的意见，团结、服务、引导、教育非公有制经济人士，促进非公有制经济健康发展和非公有制经济人士健康成长。</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八）统一领导全县海外统战工作，牵头开展港澳统战工作，开展对台统战工作。联系香港、澳门、台湾有关党派、团体及代表人士，联系海外有关社团及代表人士，做好台胞、台属有关工作。做好统一战线外事管理工作。</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九）统一管理全县侨务工作，贯彻落实党的侨务工作方针政策，负责拟订侨务工作规划并组织协调、督促检查落实。调查研究国内外侨情和侨务工作有关情况，管理侨务行政事务，统筹协调有关部门和社会团体涉侨工作，联系海外有关侨团和代表人士，指导推动涉侨宣传、文化交流等工作，保护华侨和归侨侨眷在国内的合法权利和利益。</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(十）受县委委托，领导县工商联党组，指导县工商联工作。做好统一战线有关单位和团体的管理工作。</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宋体"/>
                <w:kern w:val="0"/>
                <w:szCs w:val="21"/>
              </w:rPr>
            </w:pPr>
            <w:r>
              <w:rPr>
                <w:rFonts w:hint="eastAsia" w:ascii="仿宋_GB2312" w:hAnsi="宋体" w:eastAsia="仿宋_GB2312" w:cs="宋体"/>
                <w:color w:val="000000"/>
                <w:kern w:val="0"/>
                <w:sz w:val="24"/>
                <w:szCs w:val="24"/>
              </w:rPr>
              <w:t>(十一）完成县委交办的其他任务。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restart"/>
            <w:vAlign w:val="center"/>
          </w:tcPr>
          <w:p>
            <w:pPr>
              <w:widowControl/>
              <w:jc w:val="center"/>
              <w:rPr>
                <w:rFonts w:eastAsia="黑体"/>
                <w:kern w:val="0"/>
                <w:szCs w:val="21"/>
              </w:rPr>
            </w:pPr>
            <w:r>
              <w:rPr>
                <w:rFonts w:hint="eastAsia" w:eastAsia="黑体"/>
                <w:kern w:val="0"/>
                <w:szCs w:val="21"/>
              </w:rPr>
              <w:t>整体绩效目标</w:t>
            </w:r>
          </w:p>
        </w:tc>
        <w:tc>
          <w:tcPr>
            <w:tcW w:w="7681" w:type="dxa"/>
            <w:gridSpan w:val="3"/>
            <w:vAlign w:val="center"/>
          </w:tcPr>
          <w:p>
            <w:pPr>
              <w:widowControl/>
              <w:jc w:val="left"/>
              <w:rPr>
                <w:rFonts w:hint="eastAsia" w:eastAsia="宋体"/>
                <w:kern w:val="0"/>
                <w:szCs w:val="21"/>
                <w:lang w:eastAsia="zh-CN"/>
              </w:rPr>
            </w:pPr>
            <w:r>
              <w:rPr>
                <w:rFonts w:hint="eastAsia"/>
                <w:kern w:val="0"/>
                <w:szCs w:val="21"/>
              </w:rPr>
              <w:t>目标</w:t>
            </w:r>
            <w:r>
              <w:rPr>
                <w:kern w:val="0"/>
                <w:szCs w:val="21"/>
              </w:rPr>
              <w:t>1</w:t>
            </w:r>
            <w:r>
              <w:rPr>
                <w:rFonts w:hint="eastAsia"/>
                <w:kern w:val="0"/>
                <w:szCs w:val="21"/>
              </w:rPr>
              <w:t>：</w:t>
            </w:r>
            <w:r>
              <w:rPr>
                <w:rFonts w:hint="eastAsia"/>
                <w:kern w:val="0"/>
                <w:szCs w:val="21"/>
                <w:lang w:eastAsia="zh-CN"/>
              </w:rPr>
              <w:t>保证统战工作正常运转，做好统战人物服务工作和民族宗教和谐工作。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center"/>
              <w:rPr>
                <w:rFonts w:eastAsia="黑体"/>
                <w:kern w:val="0"/>
                <w:szCs w:val="21"/>
              </w:rPr>
            </w:pPr>
          </w:p>
        </w:tc>
        <w:tc>
          <w:tcPr>
            <w:tcW w:w="7681" w:type="dxa"/>
            <w:gridSpan w:val="3"/>
            <w:vAlign w:val="center"/>
          </w:tcPr>
          <w:p>
            <w:pPr>
              <w:widowControl/>
              <w:jc w:val="left"/>
              <w:rPr>
                <w:rFonts w:hint="eastAsia" w:eastAsia="宋体"/>
                <w:kern w:val="0"/>
                <w:szCs w:val="21"/>
                <w:lang w:eastAsia="zh-CN"/>
              </w:rPr>
            </w:pPr>
            <w:r>
              <w:rPr>
                <w:rFonts w:hint="eastAsia"/>
                <w:kern w:val="0"/>
                <w:szCs w:val="21"/>
              </w:rPr>
              <w:t>目标</w:t>
            </w:r>
            <w:r>
              <w:rPr>
                <w:kern w:val="0"/>
                <w:szCs w:val="21"/>
              </w:rPr>
              <w:t>2</w:t>
            </w:r>
            <w:r>
              <w:rPr>
                <w:rFonts w:hint="eastAsia"/>
                <w:kern w:val="0"/>
                <w:szCs w:val="21"/>
              </w:rPr>
              <w:t>：</w:t>
            </w:r>
            <w:r>
              <w:rPr>
                <w:rFonts w:hint="eastAsia"/>
                <w:kern w:val="0"/>
                <w:szCs w:val="21"/>
                <w:lang w:eastAsia="zh-CN"/>
              </w:rPr>
              <w:t>保证统战专项工作的有序开展落实。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center"/>
              <w:rPr>
                <w:rFonts w:eastAsia="黑体"/>
                <w:kern w:val="0"/>
                <w:szCs w:val="21"/>
              </w:rPr>
            </w:pPr>
          </w:p>
        </w:tc>
        <w:tc>
          <w:tcPr>
            <w:tcW w:w="7681" w:type="dxa"/>
            <w:gridSpan w:val="3"/>
            <w:vAlign w:val="center"/>
          </w:tcPr>
          <w:p>
            <w:pPr>
              <w:widowControl/>
              <w:jc w:val="left"/>
              <w:rPr>
                <w:kern w:val="0"/>
                <w:szCs w:val="21"/>
              </w:rPr>
            </w:pPr>
            <w:r>
              <w:rPr>
                <w:rFonts w:hint="eastAsia"/>
                <w:kern w:val="0"/>
                <w:szCs w:val="21"/>
              </w:rPr>
              <w:t>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restart"/>
            <w:vAlign w:val="center"/>
          </w:tcPr>
          <w:p>
            <w:pPr>
              <w:widowControl/>
              <w:jc w:val="center"/>
              <w:rPr>
                <w:rFonts w:eastAsia="黑体"/>
                <w:kern w:val="0"/>
                <w:szCs w:val="21"/>
              </w:rPr>
            </w:pPr>
            <w:r>
              <w:rPr>
                <w:rFonts w:hint="eastAsia" w:eastAsia="黑体"/>
                <w:kern w:val="0"/>
                <w:szCs w:val="21"/>
              </w:rPr>
              <w:t>部门整体支出</w:t>
            </w:r>
          </w:p>
          <w:p>
            <w:pPr>
              <w:widowControl/>
              <w:jc w:val="center"/>
              <w:rPr>
                <w:rFonts w:eastAsia="黑体"/>
                <w:kern w:val="0"/>
                <w:szCs w:val="21"/>
              </w:rPr>
            </w:pPr>
            <w:r>
              <w:rPr>
                <w:rFonts w:hint="eastAsia" w:eastAsia="黑体"/>
                <w:kern w:val="0"/>
                <w:szCs w:val="21"/>
              </w:rPr>
              <w:t>年度绩效指标</w:t>
            </w:r>
          </w:p>
        </w:tc>
        <w:tc>
          <w:tcPr>
            <w:tcW w:w="1200" w:type="dxa"/>
            <w:vMerge w:val="restart"/>
            <w:vAlign w:val="center"/>
          </w:tcPr>
          <w:p>
            <w:pPr>
              <w:widowControl/>
              <w:jc w:val="center"/>
              <w:rPr>
                <w:kern w:val="0"/>
                <w:szCs w:val="21"/>
              </w:rPr>
            </w:pPr>
            <w:r>
              <w:rPr>
                <w:rFonts w:hint="eastAsia"/>
                <w:kern w:val="0"/>
                <w:szCs w:val="21"/>
              </w:rPr>
              <w:t>产出指标</w:t>
            </w:r>
          </w:p>
        </w:tc>
        <w:tc>
          <w:tcPr>
            <w:tcW w:w="6481" w:type="dxa"/>
            <w:gridSpan w:val="2"/>
            <w:vAlign w:val="center"/>
          </w:tcPr>
          <w:p>
            <w:pPr>
              <w:rPr>
                <w:kern w:val="0"/>
                <w:szCs w:val="21"/>
              </w:rPr>
            </w:pPr>
            <w:r>
              <w:rPr>
                <w:rFonts w:hint="eastAsia"/>
                <w:kern w:val="0"/>
                <w:szCs w:val="21"/>
              </w:rPr>
              <w:t>指标</w:t>
            </w:r>
            <w:r>
              <w:rPr>
                <w:kern w:val="0"/>
                <w:szCs w:val="21"/>
              </w:rPr>
              <w:t>1</w:t>
            </w:r>
            <w:r>
              <w:rPr>
                <w:rFonts w:hint="eastAsia"/>
                <w:kern w:val="0"/>
                <w:szCs w:val="21"/>
              </w:rPr>
              <w:t>：</w:t>
            </w:r>
            <w:r>
              <w:rPr>
                <w:rFonts w:hint="eastAsia" w:ascii="宋体" w:hAnsi="宋体" w:eastAsia="宋体" w:cs="宋体"/>
                <w:kern w:val="0"/>
                <w:sz w:val="21"/>
                <w:szCs w:val="21"/>
                <w:lang w:eastAsia="zh-CN"/>
              </w:rPr>
              <w:t>落实好上级各项方针政策，各项工作按计划开展，全年完成工作及时率</w:t>
            </w: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center"/>
              <w:rPr>
                <w:rFonts w:eastAsia="黑体"/>
                <w:kern w:val="0"/>
                <w:szCs w:val="21"/>
              </w:rPr>
            </w:pPr>
          </w:p>
        </w:tc>
        <w:tc>
          <w:tcPr>
            <w:tcW w:w="1200" w:type="dxa"/>
            <w:vMerge w:val="continue"/>
            <w:vAlign w:val="center"/>
          </w:tcPr>
          <w:p>
            <w:pPr>
              <w:widowControl/>
              <w:jc w:val="center"/>
              <w:rPr>
                <w:kern w:val="0"/>
                <w:szCs w:val="21"/>
              </w:rPr>
            </w:pPr>
          </w:p>
        </w:tc>
        <w:tc>
          <w:tcPr>
            <w:tcW w:w="6481" w:type="dxa"/>
            <w:gridSpan w:val="2"/>
            <w:vAlign w:val="center"/>
          </w:tcPr>
          <w:p>
            <w:pPr>
              <w:rPr>
                <w:kern w:val="0"/>
                <w:szCs w:val="21"/>
              </w:rPr>
            </w:pPr>
            <w:r>
              <w:rPr>
                <w:rFonts w:hint="eastAsia"/>
                <w:kern w:val="0"/>
                <w:szCs w:val="21"/>
              </w:rPr>
              <w:t>指标</w:t>
            </w:r>
            <w:r>
              <w:rPr>
                <w:kern w:val="0"/>
                <w:szCs w:val="21"/>
              </w:rPr>
              <w:t>2</w:t>
            </w:r>
            <w:r>
              <w:rPr>
                <w:rFonts w:hint="eastAsia"/>
                <w:kern w:val="0"/>
                <w:szCs w:val="21"/>
              </w:rPr>
              <w:t>：</w:t>
            </w:r>
            <w:r>
              <w:rPr>
                <w:rFonts w:hint="eastAsia"/>
                <w:lang w:eastAsia="zh-CN"/>
              </w:rPr>
              <w:t>全力做好大统战工作，构建大统战格局，协调处理好工商联、港澳台、民宗各项工作。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center"/>
              <w:rPr>
                <w:rFonts w:eastAsia="黑体"/>
                <w:kern w:val="0"/>
                <w:szCs w:val="21"/>
              </w:rPr>
            </w:pPr>
          </w:p>
        </w:tc>
        <w:tc>
          <w:tcPr>
            <w:tcW w:w="1200" w:type="dxa"/>
            <w:vMerge w:val="continue"/>
            <w:vAlign w:val="center"/>
          </w:tcPr>
          <w:p>
            <w:pPr>
              <w:widowControl/>
              <w:jc w:val="center"/>
              <w:rPr>
                <w:kern w:val="0"/>
                <w:szCs w:val="21"/>
              </w:rPr>
            </w:pPr>
          </w:p>
        </w:tc>
        <w:tc>
          <w:tcPr>
            <w:tcW w:w="6481" w:type="dxa"/>
            <w:gridSpan w:val="2"/>
            <w:vAlign w:val="center"/>
          </w:tcPr>
          <w:p>
            <w:pPr>
              <w:rPr>
                <w:kern w:val="0"/>
                <w:szCs w:val="21"/>
              </w:rPr>
            </w:pPr>
            <w:r>
              <w:rPr>
                <w:rFonts w:hint="eastAsia"/>
                <w:kern w:val="0"/>
                <w:szCs w:val="21"/>
              </w:rPr>
              <w:t>指标</w:t>
            </w:r>
            <w:r>
              <w:rPr>
                <w:kern w:val="0"/>
                <w:szCs w:val="21"/>
              </w:rPr>
              <w:t>3</w:t>
            </w:r>
            <w:r>
              <w:rPr>
                <w:rFonts w:hint="eastAsia"/>
                <w:kern w:val="0"/>
                <w:szCs w:val="21"/>
              </w:rPr>
              <w:t>：</w:t>
            </w:r>
            <w:r>
              <w:rPr>
                <w:rFonts w:hint="eastAsia" w:ascii="宋体" w:hAnsi="宋体" w:eastAsia="宋体" w:cs="宋体"/>
                <w:kern w:val="0"/>
                <w:sz w:val="21"/>
                <w:szCs w:val="21"/>
                <w:lang w:eastAsia="zh-CN"/>
              </w:rPr>
              <w:t>加强财务管理，资产管理，</w:t>
            </w:r>
            <w:r>
              <w:rPr>
                <w:rFonts w:hint="eastAsia" w:ascii="宋体" w:hAnsi="宋体" w:eastAsia="宋体" w:cs="宋体"/>
                <w:sz w:val="21"/>
                <w:szCs w:val="21"/>
              </w:rPr>
              <w:t>对所占有、使用的固定资产做到物尽其用，发挥其最大使用效益，维护资产的安全和完善，防止资产的流失。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center"/>
              <w:rPr>
                <w:rFonts w:eastAsia="黑体"/>
                <w:kern w:val="0"/>
                <w:szCs w:val="21"/>
              </w:rPr>
            </w:pPr>
          </w:p>
        </w:tc>
        <w:tc>
          <w:tcPr>
            <w:tcW w:w="1200" w:type="dxa"/>
            <w:vMerge w:val="continue"/>
            <w:vAlign w:val="center"/>
          </w:tcPr>
          <w:p>
            <w:pPr>
              <w:widowControl/>
              <w:jc w:val="center"/>
              <w:rPr>
                <w:kern w:val="0"/>
                <w:szCs w:val="21"/>
              </w:rPr>
            </w:pPr>
          </w:p>
        </w:tc>
        <w:tc>
          <w:tcPr>
            <w:tcW w:w="6481" w:type="dxa"/>
            <w:gridSpan w:val="2"/>
            <w:vAlign w:val="center"/>
          </w:tcPr>
          <w:p>
            <w:pPr>
              <w:rPr>
                <w:kern w:val="0"/>
                <w:szCs w:val="21"/>
              </w:rPr>
            </w:pPr>
            <w:r>
              <w:rPr>
                <w:rFonts w:hint="eastAsia"/>
                <w:kern w:val="0"/>
                <w:szCs w:val="21"/>
              </w:rPr>
              <w:t>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left"/>
              <w:rPr>
                <w:rFonts w:eastAsia="黑体"/>
                <w:kern w:val="0"/>
                <w:szCs w:val="21"/>
              </w:rPr>
            </w:pPr>
          </w:p>
        </w:tc>
        <w:tc>
          <w:tcPr>
            <w:tcW w:w="1200" w:type="dxa"/>
            <w:vMerge w:val="restart"/>
            <w:vAlign w:val="center"/>
          </w:tcPr>
          <w:p>
            <w:pPr>
              <w:widowControl/>
              <w:jc w:val="center"/>
              <w:rPr>
                <w:kern w:val="0"/>
                <w:szCs w:val="21"/>
              </w:rPr>
            </w:pPr>
            <w:r>
              <w:rPr>
                <w:rFonts w:hint="eastAsia"/>
                <w:kern w:val="0"/>
                <w:szCs w:val="21"/>
              </w:rPr>
              <w:t>效益指标</w:t>
            </w:r>
          </w:p>
        </w:tc>
        <w:tc>
          <w:tcPr>
            <w:tcW w:w="6481" w:type="dxa"/>
            <w:gridSpan w:val="2"/>
            <w:vAlign w:val="center"/>
          </w:tcPr>
          <w:p>
            <w:pPr>
              <w:rPr>
                <w:rFonts w:hint="eastAsia" w:eastAsia="宋体"/>
                <w:kern w:val="0"/>
                <w:szCs w:val="21"/>
                <w:lang w:eastAsia="zh-CN"/>
              </w:rPr>
            </w:pPr>
            <w:r>
              <w:rPr>
                <w:rFonts w:hint="eastAsia"/>
                <w:kern w:val="0"/>
                <w:szCs w:val="21"/>
              </w:rPr>
              <w:t>指标</w:t>
            </w:r>
            <w:r>
              <w:rPr>
                <w:kern w:val="0"/>
                <w:szCs w:val="21"/>
              </w:rPr>
              <w:t>1</w:t>
            </w:r>
            <w:r>
              <w:rPr>
                <w:rFonts w:hint="eastAsia"/>
                <w:kern w:val="0"/>
                <w:szCs w:val="21"/>
              </w:rPr>
              <w:t>：</w:t>
            </w:r>
            <w:r>
              <w:rPr>
                <w:rFonts w:hint="eastAsia"/>
                <w:kern w:val="0"/>
                <w:szCs w:val="21"/>
                <w:lang w:eastAsia="zh-CN"/>
              </w:rPr>
              <w:t>搭好“同心桥”，为建设美丽隆回贡献统战力量。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left"/>
              <w:rPr>
                <w:rFonts w:eastAsia="黑体"/>
                <w:kern w:val="0"/>
                <w:szCs w:val="21"/>
              </w:rPr>
            </w:pPr>
          </w:p>
        </w:tc>
        <w:tc>
          <w:tcPr>
            <w:tcW w:w="1200" w:type="dxa"/>
            <w:vMerge w:val="continue"/>
            <w:vAlign w:val="center"/>
          </w:tcPr>
          <w:p>
            <w:pPr>
              <w:widowControl/>
              <w:jc w:val="center"/>
              <w:rPr>
                <w:kern w:val="0"/>
                <w:szCs w:val="21"/>
              </w:rPr>
            </w:pPr>
          </w:p>
        </w:tc>
        <w:tc>
          <w:tcPr>
            <w:tcW w:w="6481" w:type="dxa"/>
            <w:gridSpan w:val="2"/>
            <w:vAlign w:val="center"/>
          </w:tcPr>
          <w:p>
            <w:pPr>
              <w:rPr>
                <w:kern w:val="0"/>
                <w:szCs w:val="21"/>
              </w:rPr>
            </w:pPr>
            <w:r>
              <w:rPr>
                <w:rFonts w:hint="eastAsia"/>
                <w:kern w:val="0"/>
                <w:szCs w:val="21"/>
              </w:rPr>
              <w:t>指标</w:t>
            </w:r>
            <w:r>
              <w:rPr>
                <w:kern w:val="0"/>
                <w:szCs w:val="21"/>
              </w:rPr>
              <w:t>2</w:t>
            </w:r>
            <w:r>
              <w:rPr>
                <w:rFonts w:hint="eastAsia"/>
                <w:kern w:val="0"/>
                <w:szCs w:val="21"/>
              </w:rPr>
              <w:t>：</w:t>
            </w:r>
            <w:r>
              <w:rPr>
                <w:rFonts w:hint="eastAsia" w:ascii="宋体" w:hAnsi="宋体" w:eastAsia="宋体" w:cs="宋体"/>
                <w:kern w:val="0"/>
                <w:sz w:val="21"/>
                <w:szCs w:val="21"/>
                <w:lang w:eastAsia="zh-CN"/>
              </w:rPr>
              <w:t>严格落实上级厉行节约的有关要求，即有效保障单位运转，又坚决制止铺张浪费。压缩一般性支出，保障重点支出</w:t>
            </w: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left"/>
              <w:rPr>
                <w:rFonts w:eastAsia="黑体"/>
                <w:kern w:val="0"/>
                <w:szCs w:val="21"/>
              </w:rPr>
            </w:pPr>
          </w:p>
        </w:tc>
        <w:tc>
          <w:tcPr>
            <w:tcW w:w="1200" w:type="dxa"/>
            <w:vMerge w:val="continue"/>
            <w:vAlign w:val="center"/>
          </w:tcPr>
          <w:p>
            <w:pPr>
              <w:widowControl/>
              <w:jc w:val="center"/>
              <w:rPr>
                <w:kern w:val="0"/>
                <w:szCs w:val="21"/>
              </w:rPr>
            </w:pPr>
          </w:p>
        </w:tc>
        <w:tc>
          <w:tcPr>
            <w:tcW w:w="6481" w:type="dxa"/>
            <w:gridSpan w:val="2"/>
            <w:vAlign w:val="center"/>
          </w:tcPr>
          <w:p>
            <w:pPr>
              <w:rPr>
                <w:kern w:val="0"/>
                <w:szCs w:val="21"/>
              </w:rPr>
            </w:pPr>
            <w:r>
              <w:rPr>
                <w:rFonts w:hint="eastAsia"/>
                <w:kern w:val="0"/>
                <w:szCs w:val="21"/>
              </w:rPr>
              <w:t>指标</w:t>
            </w:r>
            <w:r>
              <w:rPr>
                <w:kern w:val="0"/>
                <w:szCs w:val="21"/>
              </w:rPr>
              <w:t>3</w:t>
            </w: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1" w:type="dxa"/>
            <w:vMerge w:val="continue"/>
            <w:vAlign w:val="center"/>
          </w:tcPr>
          <w:p>
            <w:pPr>
              <w:widowControl/>
              <w:jc w:val="left"/>
              <w:rPr>
                <w:rFonts w:eastAsia="黑体"/>
                <w:kern w:val="0"/>
                <w:szCs w:val="21"/>
              </w:rPr>
            </w:pPr>
          </w:p>
        </w:tc>
        <w:tc>
          <w:tcPr>
            <w:tcW w:w="1200" w:type="dxa"/>
            <w:vMerge w:val="continue"/>
            <w:vAlign w:val="center"/>
          </w:tcPr>
          <w:p>
            <w:pPr>
              <w:widowControl/>
              <w:jc w:val="center"/>
              <w:rPr>
                <w:kern w:val="0"/>
                <w:szCs w:val="21"/>
              </w:rPr>
            </w:pPr>
          </w:p>
        </w:tc>
        <w:tc>
          <w:tcPr>
            <w:tcW w:w="6481" w:type="dxa"/>
            <w:gridSpan w:val="2"/>
            <w:vAlign w:val="center"/>
          </w:tcPr>
          <w:p>
            <w:pPr>
              <w:rPr>
                <w:kern w:val="0"/>
                <w:szCs w:val="21"/>
              </w:rPr>
            </w:pPr>
            <w:r>
              <w:rPr>
                <w:rFonts w:hint="eastAsia"/>
                <w:kern w:val="0"/>
                <w:szCs w:val="21"/>
              </w:rPr>
              <w:t>厖</w:t>
            </w:r>
          </w:p>
        </w:tc>
      </w:tr>
    </w:tbl>
    <w:p>
      <w:pPr>
        <w:widowControl/>
        <w:tabs>
          <w:tab w:val="left" w:pos="1333"/>
          <w:tab w:val="left" w:pos="3793"/>
          <w:tab w:val="left" w:pos="5853"/>
        </w:tabs>
        <w:ind w:firstLine="315" w:firstLineChars="150"/>
        <w:jc w:val="left"/>
        <w:rPr>
          <w:kern w:val="0"/>
          <w:szCs w:val="21"/>
        </w:rPr>
      </w:pPr>
    </w:p>
    <w:p>
      <w:pPr>
        <w:spacing w:line="600" w:lineRule="exact"/>
        <w:ind w:firstLine="420" w:firstLineChars="200"/>
      </w:pPr>
      <w:r>
        <w:rPr>
          <w:rFonts w:hint="eastAsia"/>
          <w:kern w:val="0"/>
          <w:szCs w:val="21"/>
        </w:rPr>
        <w:t>填报人：</w:t>
      </w:r>
      <w:r>
        <w:rPr>
          <w:kern w:val="0"/>
          <w:szCs w:val="21"/>
        </w:rPr>
        <w:t xml:space="preserve">  </w:t>
      </w:r>
      <w:r>
        <w:rPr>
          <w:rFonts w:hint="eastAsia"/>
          <w:kern w:val="0"/>
          <w:szCs w:val="21"/>
          <w:lang w:eastAsia="zh-CN"/>
        </w:rPr>
        <w:t>陈婷婷</w:t>
      </w:r>
      <w:r>
        <w:rPr>
          <w:kern w:val="0"/>
          <w:szCs w:val="21"/>
        </w:rPr>
        <w:t xml:space="preserve">         </w:t>
      </w:r>
      <w:r>
        <w:rPr>
          <w:rFonts w:hint="eastAsia"/>
          <w:kern w:val="0"/>
          <w:szCs w:val="21"/>
        </w:rPr>
        <w:t>联系电话：</w:t>
      </w:r>
      <w:r>
        <w:rPr>
          <w:rFonts w:hint="eastAsia"/>
          <w:kern w:val="0"/>
          <w:szCs w:val="21"/>
          <w:lang w:val="en-US" w:eastAsia="zh-CN"/>
        </w:rPr>
        <w:t>18873978977</w:t>
      </w:r>
      <w:r>
        <w:rPr>
          <w:kern w:val="0"/>
          <w:szCs w:val="21"/>
        </w:rPr>
        <w:t xml:space="preserve">          </w:t>
      </w:r>
      <w:r>
        <w:rPr>
          <w:rFonts w:hint="eastAsia"/>
          <w:kern w:val="0"/>
          <w:szCs w:val="21"/>
        </w:rPr>
        <w:t>填报日期：</w:t>
      </w:r>
      <w:r>
        <w:rPr>
          <w:rFonts w:hint="eastAsia"/>
          <w:kern w:val="0"/>
          <w:szCs w:val="21"/>
          <w:lang w:val="en-US" w:eastAsia="zh-CN"/>
        </w:rPr>
        <w:t>4月8日</w:t>
      </w:r>
      <w:bookmarkStart w:id="0" w:name="_GoBack"/>
      <w:bookmarkEnd w:id="0"/>
    </w:p>
    <w:sectPr>
      <w:footerReference r:id="rId5" w:type="first"/>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7"/>
        <w:rFonts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 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Style w:val="7"/>
        <w:rFonts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 PAGE </w:instrText>
    </w:r>
    <w:r>
      <w:rPr>
        <w:rStyle w:val="7"/>
        <w:rFonts w:ascii="宋体" w:hAnsi="宋体"/>
        <w:sz w:val="28"/>
        <w:szCs w:val="28"/>
      </w:rPr>
      <w:fldChar w:fldCharType="separate"/>
    </w:r>
    <w:r>
      <w:rPr>
        <w:rStyle w:val="7"/>
        <w:rFonts w:ascii="宋体" w:hAnsi="宋体"/>
        <w:sz w:val="28"/>
        <w:szCs w:val="28"/>
      </w:rPr>
      <w:t>6</w:t>
    </w:r>
    <w:r>
      <w:rPr>
        <w:rStyle w:val="7"/>
        <w:rFonts w:ascii="宋体" w:hAnsi="宋体"/>
        <w:sz w:val="28"/>
        <w:szCs w:val="28"/>
      </w:rPr>
      <w:fldChar w:fldCharType="end"/>
    </w:r>
    <w:r>
      <w:rPr>
        <w:rStyle w:val="7"/>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Style w:val="7"/>
        <w:rFonts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 PAGE </w:instrText>
    </w:r>
    <w:r>
      <w:rPr>
        <w:rStyle w:val="7"/>
        <w:rFonts w:ascii="宋体" w:hAnsi="宋体"/>
        <w:sz w:val="28"/>
        <w:szCs w:val="28"/>
      </w:rPr>
      <w:fldChar w:fldCharType="separate"/>
    </w:r>
    <w:r>
      <w:rPr>
        <w:rStyle w:val="7"/>
        <w:rFonts w:ascii="宋体" w:hAnsi="宋体"/>
        <w:sz w:val="28"/>
        <w:szCs w:val="28"/>
      </w:rPr>
      <w:t>8</w:t>
    </w:r>
    <w:r>
      <w:rPr>
        <w:rStyle w:val="7"/>
        <w:rFonts w:ascii="宋体" w:hAnsi="宋体"/>
        <w:sz w:val="28"/>
        <w:szCs w:val="28"/>
      </w:rPr>
      <w:fldChar w:fldCharType="end"/>
    </w:r>
    <w:r>
      <w:rPr>
        <w:rStyle w:val="7"/>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D3128"/>
    <w:rsid w:val="00000D9D"/>
    <w:rsid w:val="00072B03"/>
    <w:rsid w:val="000A5040"/>
    <w:rsid w:val="000D1E3C"/>
    <w:rsid w:val="000F087D"/>
    <w:rsid w:val="001A6BAC"/>
    <w:rsid w:val="001E61D6"/>
    <w:rsid w:val="00374CA6"/>
    <w:rsid w:val="003756CE"/>
    <w:rsid w:val="003A7147"/>
    <w:rsid w:val="004021AC"/>
    <w:rsid w:val="00456EFA"/>
    <w:rsid w:val="004A29A1"/>
    <w:rsid w:val="00763E9B"/>
    <w:rsid w:val="009242A3"/>
    <w:rsid w:val="009A1885"/>
    <w:rsid w:val="009B673D"/>
    <w:rsid w:val="00A30510"/>
    <w:rsid w:val="00A33E19"/>
    <w:rsid w:val="00B058E8"/>
    <w:rsid w:val="00B4715A"/>
    <w:rsid w:val="00C13386"/>
    <w:rsid w:val="00E72129"/>
    <w:rsid w:val="00F114D8"/>
    <w:rsid w:val="00F32AAF"/>
    <w:rsid w:val="00F55EF0"/>
    <w:rsid w:val="00F91D56"/>
    <w:rsid w:val="00FF778F"/>
    <w:rsid w:val="03BF0DD5"/>
    <w:rsid w:val="03CE6AC7"/>
    <w:rsid w:val="078649CA"/>
    <w:rsid w:val="0EF246FC"/>
    <w:rsid w:val="0F6E5470"/>
    <w:rsid w:val="128E3BE8"/>
    <w:rsid w:val="154D751E"/>
    <w:rsid w:val="1A601929"/>
    <w:rsid w:val="1BE3794F"/>
    <w:rsid w:val="1FD7491D"/>
    <w:rsid w:val="20E44C44"/>
    <w:rsid w:val="21AB0AC0"/>
    <w:rsid w:val="22CE7AF7"/>
    <w:rsid w:val="22D255BD"/>
    <w:rsid w:val="24EF231F"/>
    <w:rsid w:val="3083100C"/>
    <w:rsid w:val="3A783AB4"/>
    <w:rsid w:val="3C843D25"/>
    <w:rsid w:val="3E342807"/>
    <w:rsid w:val="412D3128"/>
    <w:rsid w:val="4A110628"/>
    <w:rsid w:val="4DD364EA"/>
    <w:rsid w:val="50AF39E8"/>
    <w:rsid w:val="510D04C1"/>
    <w:rsid w:val="521C4412"/>
    <w:rsid w:val="530D68DD"/>
    <w:rsid w:val="55005D8C"/>
    <w:rsid w:val="593816ED"/>
    <w:rsid w:val="5B0418E8"/>
    <w:rsid w:val="5B317C83"/>
    <w:rsid w:val="5D874FF5"/>
    <w:rsid w:val="5E935085"/>
    <w:rsid w:val="64F42E59"/>
    <w:rsid w:val="6A944041"/>
    <w:rsid w:val="6BCB049F"/>
    <w:rsid w:val="6F505200"/>
    <w:rsid w:val="70E33256"/>
    <w:rsid w:val="74B41A19"/>
    <w:rsid w:val="7CFA2FF8"/>
    <w:rsid w:val="7ECB23C0"/>
    <w:rsid w:val="7ED7452C"/>
    <w:rsid w:val="7FF459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
    <w:qFormat/>
    <w:uiPriority w:val="99"/>
    <w:pPr>
      <w:ind w:firstLine="420"/>
    </w:pPr>
  </w:style>
  <w:style w:type="paragraph" w:styleId="3">
    <w:name w:val="Body Text Indent"/>
    <w:basedOn w:val="1"/>
    <w:link w:val="8"/>
    <w:qFormat/>
    <w:uiPriority w:val="99"/>
    <w:pPr>
      <w:ind w:firstLine="640" w:firstLineChars="200"/>
    </w:pPr>
    <w:rPr>
      <w:sz w:val="32"/>
    </w:rPr>
  </w:style>
  <w:style w:type="paragraph" w:styleId="4">
    <w:name w:val="footer"/>
    <w:basedOn w:val="1"/>
    <w:link w:val="10"/>
    <w:qFormat/>
    <w:uiPriority w:val="99"/>
    <w:pPr>
      <w:tabs>
        <w:tab w:val="center" w:pos="4153"/>
        <w:tab w:val="right" w:pos="8306"/>
      </w:tabs>
      <w:snapToGrid w:val="0"/>
      <w:jc w:val="left"/>
    </w:pPr>
    <w:rPr>
      <w:sz w:val="18"/>
      <w:szCs w:val="18"/>
    </w:rPr>
  </w:style>
  <w:style w:type="character" w:styleId="7">
    <w:name w:val="page number"/>
    <w:basedOn w:val="6"/>
    <w:qFormat/>
    <w:uiPriority w:val="99"/>
    <w:rPr>
      <w:rFonts w:cs="Times New Roman"/>
    </w:rPr>
  </w:style>
  <w:style w:type="character" w:customStyle="1" w:styleId="8">
    <w:name w:val="Body Text Indent Char"/>
    <w:basedOn w:val="6"/>
    <w:link w:val="3"/>
    <w:semiHidden/>
    <w:qFormat/>
    <w:locked/>
    <w:uiPriority w:val="99"/>
    <w:rPr>
      <w:rFonts w:cs="Times New Roman"/>
      <w:sz w:val="24"/>
      <w:szCs w:val="24"/>
    </w:rPr>
  </w:style>
  <w:style w:type="character" w:customStyle="1" w:styleId="9">
    <w:name w:val="Body Text First Indent 2 Char"/>
    <w:basedOn w:val="8"/>
    <w:link w:val="2"/>
    <w:semiHidden/>
    <w:qFormat/>
    <w:locked/>
    <w:uiPriority w:val="99"/>
  </w:style>
  <w:style w:type="character" w:customStyle="1" w:styleId="10">
    <w:name w:val="Footer Char"/>
    <w:basedOn w:val="6"/>
    <w:link w:val="4"/>
    <w:semiHidden/>
    <w:qFormat/>
    <w:locked/>
    <w:uiPriority w:val="99"/>
    <w:rPr>
      <w:rFonts w:cs="Times New Roman"/>
      <w:sz w:val="18"/>
      <w:szCs w:val="18"/>
    </w:rPr>
  </w:style>
  <w:style w:type="paragraph" w:customStyle="1" w:styleId="11">
    <w:name w:val="列出段落"/>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204</Words>
  <Characters>1169</Characters>
  <Lines>0</Lines>
  <Paragraphs>0</Paragraphs>
  <TotalTime>30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2020-01-15T01:50:00Z</dcterms:created>
  <dc:creator>彭礼孝</dc:creator>
  <cp:lastModifiedBy>Administrator</cp:lastModifiedBy>
  <cp:lastPrinted>2020-03-12T09:17:00Z</cp:lastPrinted>
  <dcterms:modified xsi:type="dcterms:W3CDTF">2020-04-09T01:10:18Z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